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3825"/>
      <w:r>
        <w:drawing>
          <wp:anchor distT="0" distB="0" distL="114300" distR="114300" simplePos="0" relativeHeight="251659264"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xmlns:r="http://schemas.openxmlformats.org/officeDocument/2006/relationships" r:embed="rId4"/>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8240"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xmlns:r="http://schemas.openxmlformats.org/officeDocument/2006/relationships" r:embed="rId5">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重庆市鹧鸪哨信息技术有限责任公司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10019"/>
      <w:r>
        <w:rPr>
          <w:rFonts w:hint="eastAsia"/>
          <w:lang w:val="en-US" w:eastAsia="zh-CN"/>
        </w:rPr>
        <w:t>信息安全管理制度</w:t>
      </w:r>
      <w:bookmarkEnd w:id="1"/>
    </w:p>
    <w:p>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right="0" w:firstLine="0" w:leftChars="0" w:rightChars="0" w:firstLineChars="0"/>
        <w:jc w:val="center"/>
        <w:textAlignment w:val="baseline"/>
        <w:rPr>
          <w:rFonts w:ascii="宋体" w:eastAsia="宋体" w:hAnsi="宋体" w:cs="宋体" w:hint="default"/>
          <w:sz w:val="24"/>
          <w:szCs w:val="24"/>
          <w:lang w:val="en-US" w:eastAsia="zh-CN"/>
        </w:rPr>
      </w:pPr>
      <w:r>
        <w:rPr>
          <w:rFonts w:ascii="宋体" w:eastAsia="宋体" w:hAnsi="宋体" w:cs="宋体"/>
          <w:b/>
          <w:bCs/>
          <w:spacing w:val="-3"/>
          <w:sz w:val="24"/>
          <w:szCs w:val="24"/>
        </w:rPr>
        <w:t>文件编号：ZGS-06-11</w:t>
      </w:r>
    </w:p>
    <w:tbl>
      <w:tblPr>
        <w:tblStyle w:val="TableGrid"/>
        <w:tblW w:w="0" w:type="auto"/>
        <w:jc w:val="center"/>
        <w:tblBorders>
          <w:top w:val="nil"/>
          <w:left w:val="nil"/>
          <w:bottom w:val="nil"/>
          <w:right w:val="nil"/>
          <w:insideH w:val="nil"/>
          <w:insideV w:val="nil"/>
        </w:tblBorders>
        <w:tblCellMar>
          <w:top w:w="0" w:type="dxa"/>
          <w:left w:w="108" w:type="dxa"/>
          <w:bottom w:w="0" w:type="dxa"/>
          <w:right w:w="108" w:type="dxa"/>
        </w:tblCellMar>
      </w:tblPr>
      <w:tblGrid>
        <w:gridCol w:w="2432"/>
        <w:gridCol w:w="2708"/>
      </w:tblGrid>
      <w:tr>
        <w:tblPrEx>
          <w:tblW w:w="0" w:type="auto"/>
          <w:jc w:val="center"/>
          <w:tblBorders>
            <w:top w:val="nil"/>
            <w:left w:val="nil"/>
            <w:bottom w:val="nil"/>
            <w:right w:val="nil"/>
            <w:insideH w:val="nil"/>
            <w:insideV w:val="nil"/>
          </w:tblBorders>
          <w:tblCellMar>
            <w:top w:w="0" w:type="dxa"/>
            <w:left w:w="108" w:type="dxa"/>
            <w:bottom w:w="0" w:type="dxa"/>
            <w:right w:w="108" w:type="dxa"/>
          </w:tblCellMar>
        </w:tblPrEx>
        <w:trPr>
          <w:trHeight w:val="810"/>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asciiTheme="minorAscii" w:eastAsiaTheme="minorEastAsia" w:hAnsiTheme="minorAscii" w:hint="default"/>
                <w:spacing w:val="227"/>
                <w:sz w:val="21"/>
                <w:vertAlign w:val="baseline"/>
                <w:lang w:val="en-US" w:eastAsia="zh-CN"/>
              </w:rPr>
              <w:t>:</w:t>
            </w:r>
            <w:r>
              <w:rPr>
                <w:rFonts w:hint="eastAsia"/>
                <w:u w:val="single"/>
                <w:vertAlign w:val="baseline"/>
                <w:lang w:val="en-US" w:eastAsia="zh-CN"/>
              </w:rPr>
              <w:t>运维部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810"/>
          <w:jc w:val="center"/>
        </w:trPr>
        <w:tc>
          <w:tcPr>
            <w:tcW w:w="2432"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asciiTheme="minorAscii" w:eastAsiaTheme="minorEastAsia" w:hAnsiTheme="minorAscii" w:hint="default"/>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hint="default"/>
                <w:snapToGrid w:val="0"/>
                <w:color w:val="000000"/>
                <w:kern w:val="0"/>
                <w:sz w:val="21"/>
                <w:szCs w:val="21"/>
                <w:vertAlign w:val="baseline"/>
                <w:lang w:val="en-US" w:eastAsia="zh-CN" w:bidi="ar-SA"/>
              </w:rPr>
            </w:pPr>
            <w:r>
              <w:rPr>
                <w:rFonts w:hint="eastAsia"/>
                <w:vertAlign w:val="baseline"/>
                <w:lang w:val="en-US" w:eastAsia="zh-CN"/>
              </w:rPr>
              <w:t>审核时间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r>
        <w:tblPrEx>
          <w:tblW w:w="0" w:type="auto"/>
          <w:jc w:val="center"/>
          <w:tblCellMar>
            <w:top w:w="0" w:type="dxa"/>
            <w:left w:w="108" w:type="dxa"/>
            <w:bottom w:w="0" w:type="dxa"/>
            <w:right w:w="108" w:type="dxa"/>
          </w:tblCellMar>
        </w:tblPrEx>
        <w:trPr>
          <w:trHeight w:val="635"/>
          <w:jc w:val="center"/>
        </w:trPr>
        <w:tc>
          <w:tcPr>
            <w:tcW w:w="2432"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批准人:宋海滨</w:t>
            </w:r>
          </w:p>
        </w:tc>
        <w:tc>
          <w:tcPr>
            <w:tcW w:w="2708" w:type="dxa"/>
          </w:tcPr>
          <w:p>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asciiTheme="minorAscii" w:eastAsiaTheme="minorEastAsia" w:hAnsiTheme="minorAscii" w:hint="eastAsia"/>
                <w:spacing w:val="227"/>
                <w:sz w:val="21"/>
                <w:vertAlign w:val="baseline"/>
                <w:lang w:val="en-US" w:eastAsia="zh-CN"/>
              </w:rPr>
              <w:t>:</w:t>
            </w:r>
            <w:r>
              <w:rPr>
                <w:rFonts w:hint="eastAsia"/>
                <w:u w:val="single"/>
                <w:vertAlign w:val="baseline"/>
                <w:lang w:val="en-US" w:eastAsia="zh-CN"/>
              </w:rPr>
              <w:t>2025.01.10</w:t>
            </w: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p>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eastAsia="宋体" w:hAnsi="宋体" w:cs="宋体"/>
          <w:sz w:val="31"/>
          <w:szCs w:val="31"/>
        </w:rPr>
      </w:pPr>
      <w:r>
        <w:rPr>
          <w:rFonts w:ascii="宋体" w:eastAsia="宋体" w:hAnsi="宋体" w:cs="宋体"/>
          <w:b/>
          <w:bCs/>
          <w:spacing w:val="4"/>
          <w:sz w:val="31"/>
          <w:szCs w:val="31"/>
        </w:rPr>
        <w:t>修订记录</w:t>
      </w:r>
    </w:p>
    <w:tbl>
      <w:tblPr>
        <w:tblStyle w:val="TableNormal0"/>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
      <w:tblGrid>
        <w:gridCol w:w="2689"/>
        <w:gridCol w:w="919"/>
        <w:gridCol w:w="2289"/>
        <w:gridCol w:w="1240"/>
      </w:tblGrid>
      <w:tr>
        <w:tblPrEx>
          <w:tblW w:w="7137"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PrEx>
        <w:trPr>
          <w:trHeight w:val="593"/>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6"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14"/>
                <w:sz w:val="20"/>
                <w:szCs w:val="20"/>
              </w:rPr>
              <w:t>日期</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5" w:line="227"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sz w:val="20"/>
                <w:szCs w:val="20"/>
              </w:rPr>
              <w:t>版本</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5"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变更说明</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6" w:line="229"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批准人</w:t>
            </w:r>
          </w:p>
        </w:tc>
      </w:tr>
      <w:tr>
        <w:tblPrEx>
          <w:tblW w:w="7137" w:type="dxa"/>
          <w:jc w:val="center"/>
          <w:tblLayout w:type="fixed"/>
          <w:tblCellMar>
            <w:top w:w="0" w:type="dxa"/>
            <w:left w:w="0" w:type="dxa"/>
            <w:bottom w:w="0" w:type="dxa"/>
            <w:right w:w="0" w:type="dxa"/>
          </w:tblCellMar>
        </w:tblPrEx>
        <w:trPr>
          <w:trHeight w:val="516"/>
          <w:jc w:val="center"/>
        </w:trPr>
        <w:tc>
          <w:tcPr>
            <w:tcW w:w="268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hint="default"/>
                <w:sz w:val="20"/>
                <w:szCs w:val="20"/>
                <w:lang w:val="en-US" w:eastAsia="zh-CN"/>
              </w:rPr>
            </w:pPr>
            <w:r>
              <w:rPr>
                <w:rFonts w:ascii="宋体" w:eastAsia="宋体" w:hAnsi="宋体" w:cs="宋体"/>
                <w:spacing w:val="3"/>
                <w:position w:val="1"/>
                <w:sz w:val="20"/>
                <w:szCs w:val="20"/>
              </w:rPr>
              <w:t>2025.01.</w:t>
            </w:r>
            <w:r>
              <w:rPr>
                <w:rFonts w:ascii="宋体" w:hAnsi="宋体" w:cs="宋体" w:hint="eastAsia"/>
                <w:spacing w:val="3"/>
                <w:position w:val="1"/>
                <w:sz w:val="20"/>
                <w:szCs w:val="20"/>
                <w:lang w:val="en-US" w:eastAsia="zh-CN"/>
              </w:rPr>
              <w:t>10</w:t>
            </w:r>
          </w:p>
        </w:tc>
        <w:tc>
          <w:tcPr>
            <w:tcW w:w="919" w:type="dxa"/>
          </w:tcPr>
          <w:p>
            <w:pPr>
              <w:keepNext w:val="0"/>
              <w:keepLines w:val="0"/>
              <w:pageBreakBefore w:val="0"/>
              <w:widowControl w:val="0"/>
              <w:kinsoku w:val="0"/>
              <w:wordWrap/>
              <w:overflowPunct/>
              <w:autoSpaceDE w:val="0"/>
              <w:autoSpaceDN w:val="0"/>
              <w:bidi w:val="0"/>
              <w:adjustRightInd w:val="0"/>
              <w:snapToGrid w:val="0"/>
              <w:spacing w:before="173" w:line="267" w:lineRule="exact"/>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4"/>
                <w:position w:val="1"/>
                <w:sz w:val="20"/>
                <w:szCs w:val="20"/>
              </w:rPr>
              <w:t>V1.0</w:t>
            </w:r>
          </w:p>
        </w:tc>
        <w:tc>
          <w:tcPr>
            <w:tcW w:w="2289" w:type="dxa"/>
          </w:tcPr>
          <w:p>
            <w:pPr>
              <w:keepNext w:val="0"/>
              <w:keepLines w:val="0"/>
              <w:pageBreakBefore w:val="0"/>
              <w:widowControl w:val="0"/>
              <w:kinsoku w:val="0"/>
              <w:wordWrap/>
              <w:overflowPunct/>
              <w:autoSpaceDE w:val="0"/>
              <w:autoSpaceDN w:val="0"/>
              <w:bidi w:val="0"/>
              <w:adjustRightInd w:val="0"/>
              <w:snapToGrid w:val="0"/>
              <w:spacing w:before="172" w:line="228" w:lineRule="auto"/>
              <w:ind w:left="0" w:right="0" w:firstLine="0" w:leftChars="0" w:rightChars="0" w:firstLineChars="0"/>
              <w:jc w:val="center"/>
              <w:textAlignment w:val="baseline"/>
              <w:rPr>
                <w:rFonts w:ascii="宋体" w:eastAsia="宋体" w:hAnsi="宋体" w:cs="宋体"/>
                <w:sz w:val="20"/>
                <w:szCs w:val="20"/>
              </w:rPr>
            </w:pPr>
            <w:r>
              <w:rPr>
                <w:rFonts w:ascii="宋体" w:eastAsia="宋体" w:hAnsi="宋体" w:cs="宋体"/>
                <w:spacing w:val="7"/>
                <w:sz w:val="20"/>
                <w:szCs w:val="20"/>
              </w:rPr>
              <w:t>新建</w:t>
            </w:r>
          </w:p>
        </w:tc>
        <w:tc>
          <w:tcPr>
            <w:tcW w:w="1240" w:type="dxa"/>
          </w:tcPr>
          <w:p>
            <w:pPr>
              <w:keepNext w:val="0"/>
              <w:keepLines w:val="0"/>
              <w:pageBreakBefore w:val="0"/>
              <w:widowControl w:val="0"/>
              <w:kinsoku w:val="0"/>
              <w:wordWrap/>
              <w:overflowPunct/>
              <w:autoSpaceDE w:val="0"/>
              <w:autoSpaceDN w:val="0"/>
              <w:bidi w:val="0"/>
              <w:adjustRightInd w:val="0"/>
              <w:snapToGrid w:val="0"/>
              <w:spacing w:before="173" w:line="229" w:lineRule="auto"/>
              <w:ind w:left="0" w:right="0" w:firstLine="0" w:leftChars="0" w:rightChars="0" w:firstLineChars="0"/>
              <w:jc w:val="center"/>
              <w:textAlignment w:val="baseline"/>
              <w:rPr>
                <w:rFonts w:ascii="宋体" w:eastAsia="宋体" w:hAnsi="宋体" w:cs="宋体"/>
                <w:sz w:val="20"/>
                <w:szCs w:val="20"/>
              </w:rPr>
            </w:pPr>
            <w:r>
              <w:rPr>
                <w:rFonts w:hint="eastAsia"/>
                <w:lang w:val="en-US" w:eastAsia="zh-CN"/>
              </w:rPr>
              <w:t>宋海滨</w:t>
            </w: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6"/>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r>
        <w:tblPrEx>
          <w:tblW w:w="7137" w:type="dxa"/>
          <w:jc w:val="center"/>
          <w:tblLayout w:type="fixed"/>
          <w:tblCellMar>
            <w:top w:w="0" w:type="dxa"/>
            <w:left w:w="0" w:type="dxa"/>
            <w:bottom w:w="0" w:type="dxa"/>
            <w:right w:w="0" w:type="dxa"/>
          </w:tblCellMar>
        </w:tblPrEx>
        <w:trPr>
          <w:trHeight w:val="557"/>
          <w:jc w:val="center"/>
        </w:trPr>
        <w:tc>
          <w:tcPr>
            <w:tcW w:w="26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91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2289"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c>
          <w:tcPr>
            <w:tcW w:w="1240" w:type="dxa"/>
          </w:tcPr>
          <w:p>
            <w:pPr>
              <w:pStyle w:val="TableText"/>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pPr>
          </w:p>
        </w:tc>
      </w:tr>
    </w:tbl>
    <w:p>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eastAsia="宋体" w:hAnsi="宋体" w:cs="Arial"/>
          <w:snapToGrid w:val="0"/>
          <w:color w:val="000000"/>
          <w:kern w:val="0"/>
          <w:sz w:val="21"/>
          <w:szCs w:val="21"/>
          <w:lang w:val="en-US" w:eastAsia="en-US" w:bidi="ar-SA"/>
        </w:rPr>
        <w:id w:val="147468666"/>
        <w:docPartObj>
          <w:docPartGallery w:val="Table of Contents"/>
          <w:docPartUnique/>
        </w:docPartObj>
      </w:sdtPr>
      <w:sdtEndPr>
        <w:rPr>
          <w:rFonts w:ascii="宋体" w:eastAsia="宋体" w:hAnsi="宋体" w:cs="宋体" w:hint="eastAsia"/>
          <w:snapToGrid w:val="0"/>
          <w:color w:val="000000"/>
          <w:kern w:val="0"/>
          <w:sz w:val="24"/>
          <w:szCs w:val="24"/>
          <w:lang w:val="en-US" w:eastAsia="en-US" w:bidi="ar-SA"/>
        </w:rPr>
      </w:sdtEndPr>
      <w:sdtContent>
        <w:p>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rPr>
              <w:rFonts w:ascii="宋体" w:eastAsia="宋体" w:hAnsi="宋体" w:cs="宋体" w:hint="eastAsia"/>
              <w:sz w:val="24"/>
              <w:szCs w:val="24"/>
            </w:rPr>
          </w:pPr>
          <w:r>
            <w:rPr>
              <w:rFonts w:ascii="宋体" w:eastAsia="宋体" w:hAnsi="宋体" w:cs="宋体" w:hint="eastAsia"/>
              <w:sz w:val="24"/>
              <w:szCs w:val="24"/>
            </w:rPr>
            <w:t>目录</w:t>
          </w:r>
        </w:p>
        <w:p>
          <w:pPr>
            <w:pStyle w:val="TOC1"/>
            <w:tabs>
              <w:tab w:val="right" w:leader="dot" w:pos="8306"/>
            </w:tabs>
          </w:pPr>
          <w:bookmarkStart w:id="2" w:name="_GoBack"/>
          <w:bookmarkEnd w:id="2"/>
          <w:r>
            <w:rPr>
              <w:rFonts w:ascii="宋体" w:eastAsia="宋体" w:hAnsi="宋体" w:cs="宋体" w:hint="eastAsia"/>
              <w:sz w:val="24"/>
              <w:szCs w:val="24"/>
            </w:rPr>
            <w:fldChar w:fldCharType="begin"/>
          </w:r>
          <w:r>
            <w:rPr>
              <w:rFonts w:ascii="宋体" w:eastAsia="宋体" w:hAnsi="宋体" w:cs="宋体" w:hint="eastAsia"/>
              <w:sz w:val="24"/>
              <w:szCs w:val="24"/>
            </w:rPr>
            <w:instrText xml:space="preserve">TOC \o "1-3" \h \u </w:instrText>
          </w:r>
          <w:r>
            <w:rPr>
              <w:rFonts w:ascii="宋体" w:eastAsia="宋体" w:hAnsi="宋体" w:cs="宋体" w:hint="eastAsia"/>
              <w:sz w:val="24"/>
              <w:szCs w:val="24"/>
            </w:rPr>
            <w:fldChar w:fldCharType="separate"/>
          </w:r>
          <w:r>
            <w:rPr>
              <w:rFonts w:ascii="宋体" w:eastAsia="宋体" w:hAnsi="宋体" w:cs="宋体" w:hint="eastAsia"/>
              <w:szCs w:val="24"/>
            </w:rPr>
            <w:fldChar w:fldCharType="begin"/>
          </w:r>
          <w:r>
            <w:rPr>
              <w:rFonts w:ascii="宋体" w:eastAsia="宋体" w:hAnsi="宋体" w:cs="宋体" w:hint="eastAsia"/>
              <w:szCs w:val="24"/>
            </w:rPr>
            <w:instrText xml:space="preserve"> HYPERLINK \l _Toc13825 </w:instrText>
          </w:r>
          <w:r>
            <w:rPr>
              <w:rFonts w:ascii="宋体" w:eastAsia="宋体" w:hAnsi="宋体" w:cs="宋体" w:hint="eastAsia"/>
              <w:szCs w:val="24"/>
            </w:rPr>
            <w:fldChar w:fldCharType="separate"/>
          </w:r>
          <w:r>
            <w:rPr>
              <w:rFonts w:hint="eastAsia"/>
              <w:lang w:val="en-US" w:eastAsia="zh-CN"/>
            </w:rPr>
            <w:t>重庆市鹧鸪哨信息技术有限责任公司</w:t>
          </w:r>
          <w:r>
            <w:tab/>
          </w:r>
          <w:r>
            <w:fldChar w:fldCharType="begin"/>
          </w:r>
          <w:r>
            <w:instrText xml:space="preserve"> PAGEREF _Toc13825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_Toc10019 </w:instrText>
          </w:r>
          <w:r>
            <w:rPr>
              <w:rFonts w:ascii="宋体" w:eastAsia="宋体" w:hAnsi="宋体" w:cs="宋体" w:hint="eastAsia"/>
              <w:szCs w:val="24"/>
            </w:rPr>
            <w:fldChar w:fldCharType="separate"/>
          </w:r>
          <w:r>
            <w:rPr>
              <w:rFonts w:hint="eastAsia"/>
              <w:lang w:val="en-US" w:eastAsia="zh-CN"/>
            </w:rPr>
            <w:t>信息安全管理制度</w:t>
          </w:r>
          <w:r>
            <w:tab/>
          </w:r>
          <w:r>
            <w:fldChar w:fldCharType="begin"/>
          </w:r>
          <w:r>
            <w:instrText xml:space="preserve"> PAGEREF _Toc10019 \h </w:instrText>
          </w:r>
          <w:r>
            <w:fldChar w:fldCharType="separate"/>
          </w:r>
          <w:r>
            <w:t>1</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_Toc13999 </w:instrText>
          </w:r>
          <w:r>
            <w:rPr>
              <w:rFonts w:ascii="宋体" w:eastAsia="宋体" w:hAnsi="宋体" w:cs="宋体" w:hint="eastAsia"/>
              <w:szCs w:val="24"/>
            </w:rPr>
            <w:fldChar w:fldCharType="separate"/>
          </w:r>
          <w:r>
            <w:rPr>
              <w:rFonts w:hint="default"/>
            </w:rPr>
            <w:t xml:space="preserve">1. </w:t>
          </w:r>
          <w:r>
            <w:rPr>
              <w:rFonts w:hint="eastAsia"/>
              <w:lang w:val="en-US" w:eastAsia="zh-CN"/>
            </w:rPr>
            <w:t>总则</w:t>
          </w:r>
          <w:r>
            <w:tab/>
          </w:r>
          <w:r>
            <w:fldChar w:fldCharType="begin"/>
          </w:r>
          <w:r>
            <w:instrText xml:space="preserve"> PAGEREF _Toc13999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_Toc10078 </w:instrText>
          </w:r>
          <w:r>
            <w:rPr>
              <w:rFonts w:ascii="宋体" w:eastAsia="宋体" w:hAnsi="宋体" w:cs="宋体" w:hint="eastAsia"/>
              <w:szCs w:val="24"/>
            </w:rPr>
            <w:fldChar w:fldCharType="separate"/>
          </w:r>
          <w:r>
            <w:rPr>
              <w:rFonts w:hint="default"/>
              <w:lang w:val="en-US" w:eastAsia="zh-CN"/>
            </w:rPr>
            <w:t xml:space="preserve">1.1. </w:t>
          </w:r>
          <w:r>
            <w:rPr>
              <w:rFonts w:hint="eastAsia"/>
              <w:lang w:val="en-US" w:eastAsia="zh-CN"/>
            </w:rPr>
            <w:t>目的</w:t>
          </w:r>
          <w:r>
            <w:tab/>
          </w:r>
          <w:r>
            <w:fldChar w:fldCharType="begin"/>
          </w:r>
          <w:r>
            <w:instrText xml:space="preserve"> PAGEREF _Toc10078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_Toc24265 </w:instrText>
          </w:r>
          <w:r>
            <w:rPr>
              <w:rFonts w:ascii="宋体" w:eastAsia="宋体" w:hAnsi="宋体" w:cs="宋体" w:hint="eastAsia"/>
              <w:szCs w:val="24"/>
            </w:rPr>
            <w:fldChar w:fldCharType="separate"/>
          </w:r>
          <w:r>
            <w:rPr>
              <w:rFonts w:hint="default"/>
              <w:lang w:val="en-US" w:eastAsia="zh-CN"/>
            </w:rPr>
            <w:t xml:space="preserve">1.2. </w:t>
          </w:r>
          <w:r>
            <w:rPr>
              <w:rFonts w:hint="eastAsia"/>
              <w:lang w:val="en-US" w:eastAsia="zh-CN"/>
            </w:rPr>
            <w:t>适用范围</w:t>
          </w:r>
          <w:r>
            <w:tab/>
          </w:r>
          <w:r>
            <w:fldChar w:fldCharType="begin"/>
          </w:r>
          <w:r>
            <w:instrText xml:space="preserve"> PAGEREF _Toc24265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_Toc9685 </w:instrText>
          </w:r>
          <w:r>
            <w:rPr>
              <w:rFonts w:ascii="宋体" w:eastAsia="宋体" w:hAnsi="宋体" w:cs="宋体" w:hint="eastAsia"/>
              <w:szCs w:val="24"/>
            </w:rPr>
            <w:fldChar w:fldCharType="separate"/>
          </w:r>
          <w:r>
            <w:rPr>
              <w:rFonts w:hint="default"/>
              <w:lang w:val="en-US" w:eastAsia="zh-CN"/>
            </w:rPr>
            <w:t xml:space="preserve">1.3. </w:t>
          </w:r>
          <w:r>
            <w:rPr>
              <w:rFonts w:hint="eastAsia"/>
              <w:lang w:val="en-US" w:eastAsia="zh-CN"/>
            </w:rPr>
            <w:t>、原则</w:t>
          </w:r>
          <w:r>
            <w:tab/>
          </w:r>
          <w:r>
            <w:fldChar w:fldCharType="begin"/>
          </w:r>
          <w:r>
            <w:instrText xml:space="preserve"> PAGEREF _Toc9685 \h </w:instrText>
          </w:r>
          <w:r>
            <w:fldChar w:fldCharType="separate"/>
          </w:r>
          <w:r>
            <w:t>5</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_Toc11196 </w:instrText>
          </w:r>
          <w:r>
            <w:rPr>
              <w:rFonts w:ascii="宋体" w:eastAsia="宋体" w:hAnsi="宋体" w:cs="宋体" w:hint="eastAsia"/>
              <w:szCs w:val="24"/>
            </w:rPr>
            <w:fldChar w:fldCharType="separate"/>
          </w:r>
          <w:r>
            <w:rPr>
              <w:rFonts w:hint="default"/>
              <w:lang w:val="en-US" w:eastAsia="zh-CN"/>
            </w:rPr>
            <w:t xml:space="preserve">1.4. </w:t>
          </w:r>
          <w:r>
            <w:rPr>
              <w:rFonts w:hint="eastAsia"/>
              <w:lang w:val="en-US" w:eastAsia="zh-CN"/>
            </w:rPr>
            <w:t>岗位职责</w:t>
          </w:r>
          <w:r>
            <w:tab/>
          </w:r>
          <w:r>
            <w:fldChar w:fldCharType="begin"/>
          </w:r>
          <w:r>
            <w:instrText xml:space="preserve"> PAGEREF _Toc11196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_Toc24595 </w:instrText>
          </w:r>
          <w:r>
            <w:rPr>
              <w:rFonts w:ascii="宋体" w:eastAsia="宋体" w:hAnsi="宋体" w:cs="宋体" w:hint="eastAsia"/>
              <w:szCs w:val="24"/>
            </w:rPr>
            <w:fldChar w:fldCharType="separate"/>
          </w:r>
          <w:r>
            <w:rPr>
              <w:rFonts w:hint="default"/>
              <w:lang w:val="en-US" w:eastAsia="zh-CN"/>
            </w:rPr>
            <w:t xml:space="preserve">1.4.1. </w:t>
          </w:r>
          <w:r>
            <w:rPr>
              <w:rFonts w:hint="eastAsia"/>
              <w:lang w:val="en-US" w:eastAsia="zh-CN"/>
            </w:rPr>
            <w:t>运维部经理</w:t>
          </w:r>
          <w:r>
            <w:tab/>
          </w:r>
          <w:r>
            <w:fldChar w:fldCharType="begin"/>
          </w:r>
          <w:r>
            <w:instrText xml:space="preserve"> PAGEREF _Toc24595 \h </w:instrText>
          </w:r>
          <w:r>
            <w:fldChar w:fldCharType="separate"/>
          </w:r>
          <w:r>
            <w:t>5</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_Toc11098 </w:instrText>
          </w:r>
          <w:r>
            <w:rPr>
              <w:rFonts w:ascii="宋体" w:eastAsia="宋体" w:hAnsi="宋体" w:cs="宋体" w:hint="eastAsia"/>
              <w:szCs w:val="24"/>
            </w:rPr>
            <w:fldChar w:fldCharType="separate"/>
          </w:r>
          <w:r>
            <w:rPr>
              <w:rFonts w:hint="default"/>
              <w:lang w:val="en-US" w:eastAsia="zh-CN"/>
            </w:rPr>
            <w:t xml:space="preserve">1.4.2. </w:t>
          </w:r>
          <w:r>
            <w:rPr>
              <w:rFonts w:hint="eastAsia"/>
              <w:lang w:val="en-US" w:eastAsia="zh-CN"/>
            </w:rPr>
            <w:t>运维工程师</w:t>
          </w:r>
          <w:r>
            <w:tab/>
          </w:r>
          <w:r>
            <w:fldChar w:fldCharType="begin"/>
          </w:r>
          <w:r>
            <w:instrText xml:space="preserve"> PAGEREF _Toc11098 \h </w:instrText>
          </w:r>
          <w:r>
            <w:fldChar w:fldCharType="separate"/>
          </w:r>
          <w:r>
            <w:t>5</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_Toc8526 </w:instrText>
          </w:r>
          <w:r>
            <w:rPr>
              <w:rFonts w:ascii="宋体" w:eastAsia="宋体" w:hAnsi="宋体" w:cs="宋体" w:hint="eastAsia"/>
              <w:szCs w:val="24"/>
            </w:rPr>
            <w:fldChar w:fldCharType="separate"/>
          </w:r>
          <w:r>
            <w:rPr>
              <w:rFonts w:hint="default"/>
              <w:lang w:val="en-US" w:eastAsia="zh-CN"/>
            </w:rPr>
            <w:t xml:space="preserve">2. </w:t>
          </w:r>
          <w:r>
            <w:rPr>
              <w:rFonts w:hint="eastAsia"/>
              <w:lang w:val="en-US" w:eastAsia="zh-CN"/>
            </w:rPr>
            <w:t>信息安全方针</w:t>
          </w:r>
          <w:r>
            <w:tab/>
          </w:r>
          <w:r>
            <w:fldChar w:fldCharType="begin"/>
          </w:r>
          <w:r>
            <w:instrText xml:space="preserve"> PAGEREF _Toc8526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_Toc17922 </w:instrText>
          </w:r>
          <w:r>
            <w:rPr>
              <w:rFonts w:ascii="宋体" w:eastAsia="宋体" w:hAnsi="宋体" w:cs="宋体" w:hint="eastAsia"/>
              <w:szCs w:val="24"/>
            </w:rPr>
            <w:fldChar w:fldCharType="separate"/>
          </w:r>
          <w:r>
            <w:rPr>
              <w:rFonts w:hint="default"/>
              <w:lang w:val="en-US" w:eastAsia="zh-CN"/>
            </w:rPr>
            <w:t xml:space="preserve">2.1. </w:t>
          </w:r>
          <w:r>
            <w:rPr>
              <w:rFonts w:hint="eastAsia"/>
              <w:lang w:val="en-US" w:eastAsia="zh-CN"/>
            </w:rPr>
            <w:t>方针声明</w:t>
          </w:r>
          <w:r>
            <w:tab/>
          </w:r>
          <w:r>
            <w:fldChar w:fldCharType="begin"/>
          </w:r>
          <w:r>
            <w:instrText xml:space="preserve"> PAGEREF _Toc17922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_Toc23143 </w:instrText>
          </w:r>
          <w:r>
            <w:rPr>
              <w:rFonts w:ascii="宋体" w:eastAsia="宋体" w:hAnsi="宋体" w:cs="宋体" w:hint="eastAsia"/>
              <w:szCs w:val="24"/>
            </w:rPr>
            <w:fldChar w:fldCharType="separate"/>
          </w:r>
          <w:r>
            <w:rPr>
              <w:rFonts w:hint="default"/>
              <w:lang w:val="en-US" w:eastAsia="zh-CN"/>
            </w:rPr>
            <w:t xml:space="preserve">2.2. </w:t>
          </w:r>
          <w:r>
            <w:rPr>
              <w:rFonts w:hint="eastAsia"/>
              <w:lang w:val="en-US" w:eastAsia="zh-CN"/>
            </w:rPr>
            <w:t>方针内容</w:t>
          </w:r>
          <w:r>
            <w:tab/>
          </w:r>
          <w:r>
            <w:fldChar w:fldCharType="begin"/>
          </w:r>
          <w:r>
            <w:instrText xml:space="preserve"> PAGEREF _Toc23143 \h </w:instrText>
          </w:r>
          <w:r>
            <w:fldChar w:fldCharType="separate"/>
          </w:r>
          <w:r>
            <w:t>6</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_Toc4904 </w:instrText>
          </w:r>
          <w:r>
            <w:rPr>
              <w:rFonts w:ascii="宋体" w:eastAsia="宋体" w:hAnsi="宋体" w:cs="宋体" w:hint="eastAsia"/>
              <w:szCs w:val="24"/>
            </w:rPr>
            <w:fldChar w:fldCharType="separate"/>
          </w:r>
          <w:r>
            <w:rPr>
              <w:rFonts w:hint="default"/>
              <w:lang w:val="en-US" w:eastAsia="zh-CN"/>
            </w:rPr>
            <w:t xml:space="preserve">2.3. </w:t>
          </w:r>
          <w:r>
            <w:rPr>
              <w:rFonts w:hint="eastAsia"/>
              <w:lang w:val="en-US" w:eastAsia="zh-CN"/>
            </w:rPr>
            <w:t>方针管理</w:t>
          </w:r>
          <w:r>
            <w:tab/>
          </w:r>
          <w:r>
            <w:fldChar w:fldCharType="begin"/>
          </w:r>
          <w:r>
            <w:instrText xml:space="preserve"> PAGEREF _Toc4904 \h </w:instrText>
          </w:r>
          <w:r>
            <w:fldChar w:fldCharType="separate"/>
          </w:r>
          <w:r>
            <w:t>6</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_Toc20171 </w:instrText>
          </w:r>
          <w:r>
            <w:rPr>
              <w:rFonts w:ascii="宋体" w:eastAsia="宋体" w:hAnsi="宋体" w:cs="宋体" w:hint="eastAsia"/>
              <w:szCs w:val="24"/>
            </w:rPr>
            <w:fldChar w:fldCharType="separate"/>
          </w:r>
          <w:r>
            <w:rPr>
              <w:rFonts w:hint="default"/>
              <w:lang w:val="en-US" w:eastAsia="zh-CN"/>
            </w:rPr>
            <w:t xml:space="preserve">3. </w:t>
          </w:r>
          <w:r>
            <w:rPr>
              <w:rFonts w:hint="eastAsia"/>
              <w:lang w:val="en-US" w:eastAsia="zh-CN"/>
            </w:rPr>
            <w:t>引用依据</w:t>
          </w:r>
          <w:r>
            <w:tab/>
          </w:r>
          <w:r>
            <w:fldChar w:fldCharType="begin"/>
          </w:r>
          <w:r>
            <w:instrText xml:space="preserve"> PAGEREF _Toc20171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_Toc21282 </w:instrText>
          </w:r>
          <w:r>
            <w:rPr>
              <w:rFonts w:ascii="宋体" w:eastAsia="宋体" w:hAnsi="宋体" w:cs="宋体" w:hint="eastAsia"/>
              <w:szCs w:val="24"/>
            </w:rPr>
            <w:fldChar w:fldCharType="separate"/>
          </w:r>
          <w:r>
            <w:rPr>
              <w:rFonts w:hint="default"/>
            </w:rPr>
            <w:t xml:space="preserve">4. </w:t>
          </w:r>
          <w:r>
            <w:rPr>
              <w:rFonts w:hint="eastAsia"/>
              <w:lang w:val="en-US" w:eastAsia="zh-CN"/>
            </w:rPr>
            <w:t>定义与术语</w:t>
          </w:r>
          <w:r>
            <w:tab/>
          </w:r>
          <w:r>
            <w:fldChar w:fldCharType="begin"/>
          </w:r>
          <w:r>
            <w:instrText xml:space="preserve"> PAGEREF _Toc21282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_Toc9614 </w:instrText>
          </w:r>
          <w:r>
            <w:rPr>
              <w:rFonts w:ascii="宋体" w:eastAsia="宋体" w:hAnsi="宋体" w:cs="宋体" w:hint="eastAsia"/>
              <w:szCs w:val="24"/>
            </w:rPr>
            <w:fldChar w:fldCharType="separate"/>
          </w:r>
          <w:r>
            <w:rPr>
              <w:rFonts w:hint="default"/>
            </w:rPr>
            <w:t xml:space="preserve">4.1. </w:t>
          </w:r>
          <w:r>
            <w:rPr>
              <w:rFonts w:hint="eastAsia"/>
            </w:rPr>
            <w:t>信息资产</w:t>
          </w:r>
          <w:r>
            <w:tab/>
          </w:r>
          <w:r>
            <w:fldChar w:fldCharType="begin"/>
          </w:r>
          <w:r>
            <w:instrText xml:space="preserve"> PAGEREF _Toc9614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_Toc16485 </w:instrText>
          </w:r>
          <w:r>
            <w:rPr>
              <w:rFonts w:ascii="宋体" w:eastAsia="宋体" w:hAnsi="宋体" w:cs="宋体" w:hint="eastAsia"/>
              <w:szCs w:val="24"/>
            </w:rPr>
            <w:fldChar w:fldCharType="separate"/>
          </w:r>
          <w:r>
            <w:rPr>
              <w:rFonts w:hint="default"/>
            </w:rPr>
            <w:t xml:space="preserve">4.2. </w:t>
          </w:r>
          <w:r>
            <w:rPr>
              <w:rFonts w:hint="eastAsia"/>
            </w:rPr>
            <w:t>信息安全事件</w:t>
          </w:r>
          <w:r>
            <w:tab/>
          </w:r>
          <w:r>
            <w:fldChar w:fldCharType="begin"/>
          </w:r>
          <w:r>
            <w:instrText xml:space="preserve"> PAGEREF _Toc16485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_Toc26683 </w:instrText>
          </w:r>
          <w:r>
            <w:rPr>
              <w:rFonts w:ascii="宋体" w:eastAsia="宋体" w:hAnsi="宋体" w:cs="宋体" w:hint="eastAsia"/>
              <w:szCs w:val="24"/>
            </w:rPr>
            <w:fldChar w:fldCharType="separate"/>
          </w:r>
          <w:r>
            <w:rPr>
              <w:rFonts w:hint="default"/>
            </w:rPr>
            <w:t xml:space="preserve">4.3. </w:t>
          </w:r>
          <w:r>
            <w:rPr>
              <w:rFonts w:hint="eastAsia"/>
            </w:rPr>
            <w:t>风险评估</w:t>
          </w:r>
          <w:r>
            <w:tab/>
          </w:r>
          <w:r>
            <w:fldChar w:fldCharType="begin"/>
          </w:r>
          <w:r>
            <w:instrText xml:space="preserve"> PAGEREF _Toc26683 \h </w:instrText>
          </w:r>
          <w:r>
            <w:fldChar w:fldCharType="separate"/>
          </w:r>
          <w:r>
            <w:t>7</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_Toc15254 </w:instrText>
          </w:r>
          <w:r>
            <w:rPr>
              <w:rFonts w:ascii="宋体" w:eastAsia="宋体" w:hAnsi="宋体" w:cs="宋体" w:hint="eastAsia"/>
              <w:szCs w:val="24"/>
            </w:rPr>
            <w:fldChar w:fldCharType="separate"/>
          </w:r>
          <w:r>
            <w:rPr>
              <w:rFonts w:hint="default"/>
              <w:lang w:val="en-US" w:eastAsia="zh-CN"/>
            </w:rPr>
            <w:t xml:space="preserve">5. </w:t>
          </w:r>
          <w:r>
            <w:rPr>
              <w:rFonts w:hint="eastAsia"/>
              <w:lang w:val="en-US" w:eastAsia="zh-CN"/>
            </w:rPr>
            <w:t>管理内容与要求</w:t>
          </w:r>
          <w:r>
            <w:tab/>
          </w:r>
          <w:r>
            <w:fldChar w:fldCharType="begin"/>
          </w:r>
          <w:r>
            <w:instrText xml:space="preserve"> PAGEREF _Toc15254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_Toc1316 </w:instrText>
          </w:r>
          <w:r>
            <w:rPr>
              <w:rFonts w:ascii="宋体" w:eastAsia="宋体" w:hAnsi="宋体" w:cs="宋体" w:hint="eastAsia"/>
              <w:szCs w:val="24"/>
            </w:rPr>
            <w:fldChar w:fldCharType="separate"/>
          </w:r>
          <w:r>
            <w:rPr>
              <w:rFonts w:hint="default"/>
              <w:lang w:val="en-US" w:eastAsia="zh-CN"/>
            </w:rPr>
            <w:t>5.1. 资产识别与分类</w:t>
          </w:r>
          <w:r>
            <w:tab/>
          </w:r>
          <w:r>
            <w:fldChar w:fldCharType="begin"/>
          </w:r>
          <w:r>
            <w:instrText xml:space="preserve"> PAGEREF _Toc1316 \h </w:instrText>
          </w:r>
          <w:r>
            <w:fldChar w:fldCharType="separate"/>
          </w:r>
          <w:r>
            <w:t>7</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_Toc12559 </w:instrText>
          </w:r>
          <w:r>
            <w:rPr>
              <w:rFonts w:ascii="宋体" w:eastAsia="宋体" w:hAnsi="宋体" w:cs="宋体" w:hint="eastAsia"/>
              <w:szCs w:val="24"/>
            </w:rPr>
            <w:fldChar w:fldCharType="separate"/>
          </w:r>
          <w:r>
            <w:rPr>
              <w:rFonts w:hint="default"/>
              <w:lang w:val="en-US" w:eastAsia="zh-CN"/>
            </w:rPr>
            <w:t>5.2. 风险识别与评估</w:t>
          </w:r>
          <w:r>
            <w:tab/>
          </w:r>
          <w:r>
            <w:fldChar w:fldCharType="begin"/>
          </w:r>
          <w:r>
            <w:instrText xml:space="preserve"> PAGEREF _Toc12559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_Toc22843 </w:instrText>
          </w:r>
          <w:r>
            <w:rPr>
              <w:rFonts w:ascii="宋体" w:eastAsia="宋体" w:hAnsi="宋体" w:cs="宋体" w:hint="eastAsia"/>
              <w:szCs w:val="24"/>
            </w:rPr>
            <w:fldChar w:fldCharType="separate"/>
          </w:r>
          <w:r>
            <w:rPr>
              <w:rFonts w:hint="default"/>
              <w:lang w:val="en-US" w:eastAsia="zh-CN"/>
            </w:rPr>
            <w:t>5.2.1. 风险识别</w:t>
          </w:r>
          <w:r>
            <w:tab/>
          </w:r>
          <w:r>
            <w:fldChar w:fldCharType="begin"/>
          </w:r>
          <w:r>
            <w:instrText xml:space="preserve"> PAGEREF _Toc22843 \h </w:instrText>
          </w:r>
          <w:r>
            <w:fldChar w:fldCharType="separate"/>
          </w:r>
          <w:r>
            <w:t>7</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_Toc19420 </w:instrText>
          </w:r>
          <w:r>
            <w:rPr>
              <w:rFonts w:ascii="宋体" w:eastAsia="宋体" w:hAnsi="宋体" w:cs="宋体" w:hint="eastAsia"/>
              <w:szCs w:val="24"/>
            </w:rPr>
            <w:fldChar w:fldCharType="separate"/>
          </w:r>
          <w:r>
            <w:rPr>
              <w:rFonts w:hint="default"/>
              <w:lang w:val="en-US" w:eastAsia="zh-CN"/>
            </w:rPr>
            <w:t>5.2.2. 风险评估</w:t>
          </w:r>
          <w:r>
            <w:tab/>
          </w:r>
          <w:r>
            <w:fldChar w:fldCharType="begin"/>
          </w:r>
          <w:r>
            <w:instrText xml:space="preserve"> PAGEREF _Toc19420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_Toc9664 </w:instrText>
          </w:r>
          <w:r>
            <w:rPr>
              <w:rFonts w:ascii="宋体" w:eastAsia="宋体" w:hAnsi="宋体" w:cs="宋体" w:hint="eastAsia"/>
              <w:szCs w:val="24"/>
            </w:rPr>
            <w:fldChar w:fldCharType="separate"/>
          </w:r>
          <w:r>
            <w:rPr>
              <w:rFonts w:hint="default"/>
            </w:rPr>
            <w:t>5.3. 风险处置</w:t>
          </w:r>
          <w:r>
            <w:rPr>
              <w:rFonts w:hint="eastAsia"/>
              <w:lang w:val="en-US" w:eastAsia="zh-CN"/>
            </w:rPr>
            <w:t>策略</w:t>
          </w:r>
          <w:r>
            <w:tab/>
          </w:r>
          <w:r>
            <w:fldChar w:fldCharType="begin"/>
          </w:r>
          <w:r>
            <w:instrText xml:space="preserve"> PAGEREF _Toc9664 \h </w:instrText>
          </w:r>
          <w:r>
            <w:fldChar w:fldCharType="separate"/>
          </w:r>
          <w:r>
            <w:t>8</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_Toc26925 </w:instrText>
          </w:r>
          <w:r>
            <w:rPr>
              <w:rFonts w:ascii="宋体" w:eastAsia="宋体" w:hAnsi="宋体" w:cs="宋体" w:hint="eastAsia"/>
              <w:szCs w:val="24"/>
            </w:rPr>
            <w:fldChar w:fldCharType="separate"/>
          </w:r>
          <w:r>
            <w:rPr>
              <w:rFonts w:hint="default"/>
            </w:rPr>
            <w:t>5.4. 安全事件管理</w:t>
          </w:r>
          <w:r>
            <w:tab/>
          </w:r>
          <w:r>
            <w:fldChar w:fldCharType="begin"/>
          </w:r>
          <w:r>
            <w:instrText xml:space="preserve"> PAGEREF _Toc26925 \h </w:instrText>
          </w:r>
          <w:r>
            <w:fldChar w:fldCharType="separate"/>
          </w:r>
          <w:r>
            <w:t>9</w:t>
          </w:r>
          <w:r>
            <w:fldChar w:fldCharType="end"/>
          </w:r>
          <w:r>
            <w:rPr>
              <w:rFonts w:ascii="宋体" w:eastAsia="宋体" w:hAnsi="宋体" w:cs="宋体" w:hint="eastAsia"/>
              <w:szCs w:val="24"/>
            </w:rPr>
            <w:fldChar w:fldCharType="end"/>
          </w:r>
        </w:p>
        <w:p>
          <w:pPr>
            <w:pStyle w:val="TOC2"/>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_Toc14404 </w:instrText>
          </w:r>
          <w:r>
            <w:rPr>
              <w:rFonts w:ascii="宋体" w:eastAsia="宋体" w:hAnsi="宋体" w:cs="宋体" w:hint="eastAsia"/>
              <w:szCs w:val="24"/>
            </w:rPr>
            <w:fldChar w:fldCharType="separate"/>
          </w:r>
          <w:r>
            <w:rPr>
              <w:rFonts w:hint="default"/>
            </w:rPr>
            <w:t>5.5. 关键控制点与测量指标</w:t>
          </w:r>
          <w:r>
            <w:tab/>
          </w:r>
          <w:r>
            <w:fldChar w:fldCharType="begin"/>
          </w:r>
          <w:r>
            <w:instrText xml:space="preserve"> PAGEREF _Toc14404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_Toc6358 </w:instrText>
          </w:r>
          <w:r>
            <w:rPr>
              <w:rFonts w:ascii="宋体" w:eastAsia="宋体" w:hAnsi="宋体" w:cs="宋体" w:hint="eastAsia"/>
              <w:szCs w:val="24"/>
            </w:rPr>
            <w:fldChar w:fldCharType="separate"/>
          </w:r>
          <w:r>
            <w:rPr>
              <w:rFonts w:hint="default"/>
            </w:rPr>
            <w:t>5.5.1. 关键控制点</w:t>
          </w:r>
          <w:r>
            <w:tab/>
          </w:r>
          <w:r>
            <w:fldChar w:fldCharType="begin"/>
          </w:r>
          <w:r>
            <w:instrText xml:space="preserve"> PAGEREF _Toc6358 \h </w:instrText>
          </w:r>
          <w:r>
            <w:fldChar w:fldCharType="separate"/>
          </w:r>
          <w:r>
            <w:t>9</w:t>
          </w:r>
          <w:r>
            <w:fldChar w:fldCharType="end"/>
          </w:r>
          <w:r>
            <w:rPr>
              <w:rFonts w:ascii="宋体" w:eastAsia="宋体" w:hAnsi="宋体" w:cs="宋体" w:hint="eastAsia"/>
              <w:szCs w:val="24"/>
            </w:rPr>
            <w:fldChar w:fldCharType="end"/>
          </w:r>
        </w:p>
        <w:p>
          <w:pPr>
            <w:pStyle w:val="TOC3"/>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_Toc32717 </w:instrText>
          </w:r>
          <w:r>
            <w:rPr>
              <w:rFonts w:ascii="宋体" w:eastAsia="宋体" w:hAnsi="宋体" w:cs="宋体" w:hint="eastAsia"/>
              <w:szCs w:val="24"/>
            </w:rPr>
            <w:fldChar w:fldCharType="separate"/>
          </w:r>
          <w:r>
            <w:rPr>
              <w:rFonts w:hint="default"/>
            </w:rPr>
            <w:t>5.5.2. 过程测量指标</w:t>
          </w:r>
          <w:r>
            <w:tab/>
          </w:r>
          <w:r>
            <w:fldChar w:fldCharType="begin"/>
          </w:r>
          <w:r>
            <w:instrText xml:space="preserve"> PAGEREF _Toc32717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_Toc6742 </w:instrText>
          </w:r>
          <w:r>
            <w:rPr>
              <w:rFonts w:ascii="宋体" w:eastAsia="宋体" w:hAnsi="宋体" w:cs="宋体" w:hint="eastAsia"/>
              <w:szCs w:val="24"/>
            </w:rPr>
            <w:fldChar w:fldCharType="separate"/>
          </w:r>
          <w:r>
            <w:rPr>
              <w:rFonts w:eastAsia="宋体" w:hint="default"/>
              <w:lang w:val="en-US" w:eastAsia="zh-CN"/>
            </w:rPr>
            <w:t xml:space="preserve">6. </w:t>
          </w:r>
          <w:r>
            <w:rPr>
              <w:rFonts w:eastAsia="宋体" w:hint="eastAsia"/>
              <w:lang w:val="en-US" w:eastAsia="zh-CN"/>
            </w:rPr>
            <w:t>附则</w:t>
          </w:r>
          <w:r>
            <w:tab/>
          </w:r>
          <w:r>
            <w:fldChar w:fldCharType="begin"/>
          </w:r>
          <w:r>
            <w:instrText xml:space="preserve"> PAGEREF _Toc6742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_Toc24611 </w:instrText>
          </w:r>
          <w:r>
            <w:rPr>
              <w:rFonts w:ascii="宋体" w:eastAsia="宋体" w:hAnsi="宋体" w:cs="宋体" w:hint="eastAsia"/>
              <w:szCs w:val="24"/>
            </w:rPr>
            <w:fldChar w:fldCharType="separate"/>
          </w:r>
          <w:r>
            <w:rPr>
              <w:rFonts w:hint="default"/>
              <w:lang w:val="en-US" w:eastAsia="zh-CN"/>
            </w:rPr>
            <w:t xml:space="preserve">7. </w:t>
          </w:r>
          <w:r>
            <w:rPr>
              <w:rFonts w:hint="eastAsia"/>
              <w:lang w:val="en-US" w:eastAsia="zh-CN"/>
            </w:rPr>
            <w:t>附件</w:t>
          </w:r>
          <w:r>
            <w:tab/>
          </w:r>
          <w:r>
            <w:fldChar w:fldCharType="begin"/>
          </w:r>
          <w:r>
            <w:instrText xml:space="preserve"> PAGEREF _Toc24611 \h </w:instrText>
          </w:r>
          <w:r>
            <w:fldChar w:fldCharType="separate"/>
          </w:r>
          <w:r>
            <w:t>9</w:t>
          </w:r>
          <w:r>
            <w:fldChar w:fldCharType="end"/>
          </w:r>
          <w:r>
            <w:rPr>
              <w:rFonts w:ascii="宋体" w:eastAsia="宋体" w:hAnsi="宋体" w:cs="宋体" w:hint="eastAsia"/>
              <w:szCs w:val="24"/>
            </w:rPr>
            <w:fldChar w:fldCharType="end"/>
          </w:r>
        </w:p>
        <w:p>
          <w:pPr>
            <w:pStyle w:val="TOC1"/>
            <w:tabs>
              <w:tab w:val="right" w:leader="dot" w:pos="8306"/>
            </w:tabs>
          </w:pPr>
          <w:r>
            <w:rPr>
              <w:rFonts w:ascii="宋体" w:eastAsia="宋体" w:hAnsi="宋体" w:cs="宋体" w:hint="eastAsia"/>
              <w:szCs w:val="24"/>
            </w:rPr>
            <w:fldChar w:fldCharType="begin"/>
          </w:r>
          <w:r>
            <w:rPr>
              <w:rFonts w:ascii="宋体" w:eastAsia="宋体" w:hAnsi="宋体" w:cs="宋体" w:hint="eastAsia"/>
              <w:szCs w:val="24"/>
            </w:rPr>
            <w:instrText xml:space="preserve"> HYPERLINK \l _Toc881 </w:instrText>
          </w:r>
          <w:r>
            <w:rPr>
              <w:rFonts w:ascii="宋体" w:eastAsia="宋体" w:hAnsi="宋体" w:cs="宋体" w:hint="eastAsia"/>
              <w:szCs w:val="24"/>
            </w:rPr>
            <w:fldChar w:fldCharType="separate"/>
          </w:r>
          <w:r>
            <w:rPr>
              <w:rFonts w:hint="default"/>
              <w:lang w:val="en-US" w:eastAsia="zh-CN"/>
            </w:rPr>
            <w:t xml:space="preserve">8. </w:t>
          </w:r>
          <w:r>
            <w:rPr>
              <w:rFonts w:hint="eastAsia"/>
              <w:lang w:val="en-US" w:eastAsia="zh-CN"/>
            </w:rPr>
            <w:t>记录</w:t>
          </w:r>
          <w:r>
            <w:tab/>
          </w:r>
          <w:r>
            <w:fldChar w:fldCharType="begin"/>
          </w:r>
          <w:r>
            <w:instrText xml:space="preserve"> PAGEREF _Toc881 \h </w:instrText>
          </w:r>
          <w:r>
            <w:fldChar w:fldCharType="separate"/>
          </w:r>
          <w:r>
            <w:t>10</w:t>
          </w:r>
          <w:r>
            <w:fldChar w:fldCharType="end"/>
          </w:r>
          <w:r>
            <w:rPr>
              <w:rFonts w:ascii="宋体" w:eastAsia="宋体" w:hAnsi="宋体" w:cs="宋体" w:hint="eastAsia"/>
              <w:szCs w:val="24"/>
            </w:rPr>
            <w:fldChar w:fldCharType="end"/>
          </w:r>
        </w:p>
        <w:p>
          <w:pPr>
            <w:keepNext w:val="0"/>
            <w:keepLines w:val="0"/>
            <w:pageBreakBefore w:val="0"/>
            <w:widowControl w:val="0"/>
            <w:kinsoku w:val="0"/>
            <w:wordWrap/>
            <w:overflowPunct/>
            <w:autoSpaceDE w:val="0"/>
            <w:autoSpaceDN w:val="0"/>
            <w:bidi w:val="0"/>
            <w:adjustRightInd w:val="0"/>
            <w:snapToGrid w:val="0"/>
            <w:textAlignment w:val="baseline"/>
            <w:rPr>
              <w:rFonts w:ascii="宋体" w:eastAsia="宋体" w:hAnsi="宋体" w:cs="宋体" w:hint="eastAsia"/>
              <w:snapToGrid w:val="0"/>
              <w:color w:val="000000"/>
              <w:kern w:val="0"/>
              <w:sz w:val="24"/>
              <w:szCs w:val="24"/>
              <w:lang w:val="en-US" w:eastAsia="en-US" w:bidi="ar-SA"/>
            </w:rPr>
          </w:pPr>
          <w:r>
            <w:rPr>
              <w:rFonts w:ascii="宋体" w:eastAsia="宋体" w:hAnsi="宋体" w:cs="宋体" w:hint="eastAsia"/>
              <w:szCs w:val="24"/>
            </w:rPr>
            <w:fldChar w:fldCharType="end"/>
          </w:r>
        </w:p>
      </w:sdtContent>
    </w:sdt>
    <w:p>
      <w:pPr>
        <w:keepNext w:val="0"/>
        <w:keepLines w:val="0"/>
        <w:pageBreakBefore w:val="0"/>
        <w:widowControl w:val="0"/>
        <w:kinsoku w:val="0"/>
        <w:wordWrap/>
        <w:overflowPunct/>
        <w:autoSpaceDE w:val="0"/>
        <w:autoSpaceDN w:val="0"/>
        <w:bidi w:val="0"/>
        <w:adjustRightInd w:val="0"/>
        <w:snapToGrid w:val="0"/>
        <w:textAlignment w:val="baseline"/>
        <w:rPr>
          <w:rFonts w:ascii="Arial" w:eastAsia="Arial" w:hAnsi="Arial" w:cs="Arial"/>
          <w:snapToGrid w:val="0"/>
          <w:color w:val="000000"/>
          <w:kern w:val="0"/>
          <w:sz w:val="21"/>
          <w:szCs w:val="21"/>
          <w:lang w:val="en-US" w:eastAsia="en-US" w:bidi="ar-SA"/>
        </w:rPr>
      </w:pPr>
      <w:r>
        <w:rPr>
          <w:rFonts w:ascii="Arial" w:eastAsia="Arial" w:hAnsi="Arial" w:cs="Arial"/>
          <w:snapToGrid w:val="0"/>
          <w:color w:val="000000"/>
          <w:kern w:val="0"/>
          <w:sz w:val="21"/>
          <w:szCs w:val="21"/>
          <w:lang w:val="en-US" w:eastAsia="en-US" w:bidi="ar-SA"/>
        </w:rPr>
        <w:br w:type="page"/>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3" w:name="_Toc13999"/>
      <w:r>
        <w:rPr>
          <w:rFonts w:hint="eastAsia"/>
          <w:lang w:val="en-US" w:eastAsia="zh-CN"/>
        </w:rPr>
        <w:t>总则</w:t>
      </w:r>
      <w:bookmarkEnd w:id="3"/>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4" w:name="_Toc10078"/>
      <w:r>
        <w:rPr>
          <w:rFonts w:hint="eastAsia"/>
          <w:lang w:val="en-US" w:eastAsia="zh-CN"/>
        </w:rPr>
        <w:t>目的</w:t>
      </w:r>
      <w:bookmarkEnd w:id="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为规范重庆市鹧鸪哨信息技术有限责任公司运维服务过程中的信息安全管理，系统性地识别、评估并处置信息安全风险，确保客户及公司信息的机密性、完整性和可用性，构建稳定可靠的服务环境，特制定本制度。</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5" w:name="_Toc24265"/>
      <w:r>
        <w:rPr>
          <w:rFonts w:hint="eastAsia"/>
          <w:lang w:val="en-US" w:eastAsia="zh-CN"/>
        </w:rPr>
        <w:t>适用范围</w:t>
      </w:r>
      <w:bookmarkEnd w:id="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本制度适用于公司运维部及其它所有参与运维服务的部门与人员，管理范围覆盖服务交付过程中涉及的所有信息资产及相关活动。</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6" w:name="_Toc9685"/>
      <w:r>
        <w:rPr>
          <w:rFonts w:hint="eastAsia"/>
          <w:lang w:val="en-US" w:eastAsia="zh-CN"/>
        </w:rPr>
        <w:t>、原则</w:t>
      </w:r>
      <w:bookmarkEnd w:id="6"/>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预防为主原则：采取主动措施识别和消除安全隐患，防患于未然。</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风险导向原则：所有安全决策和措施应基于风险评估的结果。</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全员参与原则：每位员工都有责任和义务维护信息安全。</w:t>
      </w:r>
    </w:p>
    <w:p>
      <w:pPr>
        <w:pStyle w:val="a1"/>
        <w:keepNext w:val="0"/>
        <w:keepLines w:val="0"/>
        <w:pageBreakBefore w:val="0"/>
        <w:widowControl w:val="0"/>
        <w:numPr>
          <w:ilvl w:val="0"/>
          <w:numId w:val="2"/>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持续改进原则：定期评审信息安全状况，确保持续有效。</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7" w:name="_Toc11196"/>
      <w:r>
        <w:rPr>
          <w:rFonts w:hint="eastAsia"/>
          <w:lang w:val="en-US" w:eastAsia="zh-CN"/>
        </w:rPr>
        <w:t>岗位职责</w:t>
      </w:r>
      <w:bookmarkEnd w:id="7"/>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8" w:name="_Toc24595"/>
      <w:r>
        <w:rPr>
          <w:rFonts w:hint="eastAsia"/>
          <w:lang w:val="en-US" w:eastAsia="zh-CN"/>
        </w:rPr>
        <w:t>运维部经理</w:t>
      </w:r>
      <w:bookmarkEnd w:id="8"/>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负责信息安全管理的整体规划、实施与维护。</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领导并组织资产盘点与风险评估工作。</w:t>
      </w:r>
    </w:p>
    <w:p>
      <w:pPr>
        <w:pStyle w:val="a1"/>
        <w:keepNext w:val="0"/>
        <w:keepLines w:val="0"/>
        <w:pageBreakBefore w:val="0"/>
        <w:widowControl w:val="0"/>
        <w:numPr>
          <w:ilvl w:val="0"/>
          <w:numId w:val="3"/>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审批重大安全控制措施与改进计划。</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9" w:name="_Toc11098"/>
      <w:r>
        <w:rPr>
          <w:rFonts w:hint="eastAsia"/>
          <w:lang w:val="en-US" w:eastAsia="zh-CN"/>
        </w:rPr>
        <w:t>运维工程师</w:t>
      </w:r>
      <w:bookmarkEnd w:id="9"/>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执行</w:t>
      </w:r>
      <w:r>
        <w:rPr>
          <w:rFonts w:hint="eastAsia"/>
          <w:lang w:val="en-US" w:eastAsia="zh-CN"/>
        </w:rPr>
        <w:t>运维部经理</w:t>
      </w:r>
      <w:r>
        <w:rPr>
          <w:rFonts w:hint="default"/>
          <w:lang w:val="en-US" w:eastAsia="zh-CN"/>
        </w:rPr>
        <w:t>分派的具体安全任务。</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负责日常安全监控、事件初步处理与记录。</w:t>
      </w:r>
    </w:p>
    <w:p>
      <w:pPr>
        <w:pStyle w:val="a1"/>
        <w:keepNext w:val="0"/>
        <w:keepLines w:val="0"/>
        <w:pageBreakBefore w:val="0"/>
        <w:widowControl w:val="0"/>
        <w:numPr>
          <w:ilvl w:val="0"/>
          <w:numId w:val="4"/>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协助完成安全审计与报告编写。</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0" w:name="_Toc8526"/>
      <w:r>
        <w:rPr>
          <w:rFonts w:hint="eastAsia"/>
          <w:lang w:val="en-US" w:eastAsia="zh-CN"/>
        </w:rPr>
        <w:t>信息安全方针</w:t>
      </w:r>
      <w:bookmarkEnd w:id="10"/>
    </w:p>
    <w:p>
      <w:pPr>
        <w:pStyle w:val="2"/>
        <w:bidi w:val="0"/>
        <w:rPr>
          <w:rFonts w:hint="eastAsia"/>
          <w:lang w:val="en-US" w:eastAsia="zh-CN"/>
        </w:rPr>
      </w:pPr>
      <w:bookmarkStart w:id="11" w:name="_Toc17922"/>
      <w:r>
        <w:rPr>
          <w:rFonts w:hint="eastAsia"/>
          <w:lang w:val="en-US" w:eastAsia="zh-CN"/>
        </w:rPr>
        <w:t>方针声明</w:t>
      </w:r>
      <w:bookmarkEnd w:id="11"/>
    </w:p>
    <w:p>
      <w:pPr>
        <w:pStyle w:val="a1"/>
        <w:rPr>
          <w:rFonts w:hint="eastAsia"/>
          <w:lang w:val="en-US" w:eastAsia="zh-CN"/>
        </w:rPr>
      </w:pPr>
      <w:r>
        <w:rPr>
          <w:rFonts w:hint="eastAsia"/>
          <w:lang w:val="en-US" w:eastAsia="zh-CN"/>
        </w:rPr>
        <w:t>公司信息安全方针为：</w:t>
      </w:r>
    </w:p>
    <w:p>
      <w:pPr>
        <w:pStyle w:val="a1"/>
        <w:rPr>
          <w:rFonts w:hint="eastAsia"/>
          <w:lang w:val="en-US" w:eastAsia="zh-CN"/>
        </w:rPr>
      </w:pPr>
      <w:r>
        <w:rPr>
          <w:rFonts w:hint="eastAsia"/>
          <w:lang w:val="en-US" w:eastAsia="zh-CN"/>
        </w:rPr>
        <w:t>“预防为主，风险导向，全员参与，持续改进 —— 构筑安全可信的运维服务体系。”</w:t>
      </w:r>
    </w:p>
    <w:p>
      <w:pPr>
        <w:pStyle w:val="2"/>
        <w:bidi w:val="0"/>
        <w:rPr>
          <w:rFonts w:hint="eastAsia"/>
          <w:lang w:val="en-US" w:eastAsia="zh-CN"/>
        </w:rPr>
      </w:pPr>
      <w:bookmarkStart w:id="12" w:name="_Toc23143"/>
      <w:r>
        <w:rPr>
          <w:rFonts w:hint="eastAsia"/>
          <w:lang w:val="en-US" w:eastAsia="zh-CN"/>
        </w:rPr>
        <w:t>方针内容</w:t>
      </w:r>
      <w:bookmarkEnd w:id="12"/>
    </w:p>
    <w:p>
      <w:pPr>
        <w:pStyle w:val="a1"/>
        <w:rPr>
          <w:rFonts w:hint="eastAsia"/>
          <w:lang w:val="en-US" w:eastAsia="zh-CN"/>
        </w:rPr>
      </w:pPr>
      <w:r>
        <w:rPr>
          <w:rFonts w:hint="eastAsia"/>
          <w:lang w:val="en-US" w:eastAsia="zh-CN"/>
        </w:rPr>
        <w:t>合规守法：严格遵守国家信息安全相关法律法规、行业标准（包括但不限于GB/T 28827系列标准、T/CESA 1299—2023等）及合同约定的安全要求，确保公司信息安全管理工作合法合规。</w:t>
      </w:r>
    </w:p>
    <w:p>
      <w:pPr>
        <w:pStyle w:val="a1"/>
        <w:rPr>
          <w:rFonts w:hint="eastAsia"/>
          <w:lang w:val="en-US" w:eastAsia="zh-CN"/>
        </w:rPr>
      </w:pPr>
      <w:r>
        <w:rPr>
          <w:rFonts w:hint="eastAsia"/>
          <w:lang w:val="en-US" w:eastAsia="zh-CN"/>
        </w:rPr>
        <w:t>资产保护：全面识别、分类并保护运维服务过程中涉及的所有信息资产，确保其免受未经授权的访问、使用、披露、破坏、修改或丢失。</w:t>
      </w:r>
    </w:p>
    <w:p>
      <w:pPr>
        <w:pStyle w:val="a1"/>
        <w:rPr>
          <w:rFonts w:hint="eastAsia"/>
          <w:lang w:val="en-US" w:eastAsia="zh-CN"/>
        </w:rPr>
      </w:pPr>
      <w:r>
        <w:rPr>
          <w:rFonts w:hint="eastAsia"/>
          <w:lang w:val="en-US" w:eastAsia="zh-CN"/>
        </w:rPr>
        <w:t>风险管控：坚持以风险为导向的信息安全管理原则，系统性地识别、评估和处置信息安全风险，将风险控制在可接受水平。</w:t>
      </w:r>
    </w:p>
    <w:p>
      <w:pPr>
        <w:pStyle w:val="a1"/>
        <w:rPr>
          <w:rFonts w:hint="eastAsia"/>
          <w:lang w:val="en-US" w:eastAsia="zh-CN"/>
        </w:rPr>
      </w:pPr>
      <w:r>
        <w:rPr>
          <w:rFonts w:hint="eastAsia"/>
          <w:lang w:val="en-US" w:eastAsia="zh-CN"/>
        </w:rPr>
        <w:t>事件管理：建立完善的信息安全事件管理机制，确保安全事件得到及时记录、有效处理和闭环跟踪，并从中汲取经验用于持续改进。</w:t>
      </w:r>
    </w:p>
    <w:p>
      <w:pPr>
        <w:pStyle w:val="a1"/>
        <w:rPr>
          <w:rFonts w:hint="eastAsia"/>
          <w:lang w:val="en-US" w:eastAsia="zh-CN"/>
        </w:rPr>
      </w:pPr>
      <w:r>
        <w:rPr>
          <w:rFonts w:hint="eastAsia"/>
          <w:lang w:val="en-US" w:eastAsia="zh-CN"/>
        </w:rPr>
        <w:t>全员责任：信息安全是每一位员工的责任。公司持续开展信息安全意识教育和技能培训，确保全体员工理解并遵守本方针及相关制度。</w:t>
      </w:r>
    </w:p>
    <w:p>
      <w:pPr>
        <w:pStyle w:val="a1"/>
        <w:rPr>
          <w:rFonts w:hint="eastAsia"/>
          <w:lang w:val="en-US" w:eastAsia="zh-CN"/>
        </w:rPr>
      </w:pPr>
      <w:r>
        <w:rPr>
          <w:rFonts w:hint="eastAsia"/>
          <w:lang w:val="en-US" w:eastAsia="zh-CN"/>
        </w:rPr>
        <w:t>持续改进：定期评审信息安全方针和管理体系的有效性，根据内外部环境变化不断优化完善，确保信息安全管理水平持续提升。</w:t>
      </w:r>
    </w:p>
    <w:p>
      <w:pPr>
        <w:pStyle w:val="2"/>
        <w:bidi w:val="0"/>
        <w:rPr>
          <w:rFonts w:hint="eastAsia"/>
          <w:lang w:val="en-US" w:eastAsia="zh-CN"/>
        </w:rPr>
      </w:pPr>
      <w:bookmarkStart w:id="13" w:name="_Toc4904"/>
      <w:r>
        <w:rPr>
          <w:rFonts w:hint="eastAsia"/>
          <w:lang w:val="en-US" w:eastAsia="zh-CN"/>
        </w:rPr>
        <w:t>方针管理</w:t>
      </w:r>
      <w:bookmarkEnd w:id="13"/>
    </w:p>
    <w:p>
      <w:pPr>
        <w:pStyle w:val="a1"/>
        <w:rPr>
          <w:rFonts w:hint="eastAsia"/>
          <w:lang w:val="en-US" w:eastAsia="zh-CN"/>
        </w:rPr>
      </w:pPr>
      <w:r>
        <w:rPr>
          <w:rFonts w:hint="eastAsia"/>
          <w:lang w:val="en-US" w:eastAsia="zh-CN"/>
        </w:rPr>
        <w:t>本方针由公司总经理（最高管理者）批准发布，是公司信息安全管理的最高纲领性文件。</w:t>
      </w:r>
    </w:p>
    <w:p>
      <w:pPr>
        <w:pStyle w:val="a1"/>
        <w:rPr>
          <w:rFonts w:hint="eastAsia"/>
          <w:lang w:val="en-US" w:eastAsia="zh-CN"/>
        </w:rPr>
      </w:pPr>
      <w:r>
        <w:rPr>
          <w:rFonts w:hint="eastAsia"/>
          <w:lang w:val="en-US" w:eastAsia="zh-CN"/>
        </w:rPr>
        <w:t>本方针通过培训、内部宣贯等方式传达到公司全体员工，确保人人知晓、人人遵守。</w:t>
      </w:r>
    </w:p>
    <w:p>
      <w:pPr>
        <w:pStyle w:val="a1"/>
        <w:rPr>
          <w:rFonts w:hint="eastAsia"/>
          <w:lang w:val="en-US" w:eastAsia="zh-CN"/>
        </w:rPr>
      </w:pPr>
      <w:r>
        <w:rPr>
          <w:rFonts w:hint="eastAsia"/>
          <w:lang w:val="en-US" w:eastAsia="zh-CN"/>
        </w:rPr>
        <w:t>本方针每年至少评审一次，必要时进行修订，以确保其持续适宜和有效。</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14" w:name="_Toc20171"/>
      <w:r>
        <w:rPr>
          <w:rFonts w:hint="eastAsia"/>
          <w:lang w:val="en-US" w:eastAsia="zh-CN"/>
        </w:rPr>
        <w:t>引用依据</w:t>
      </w:r>
      <w:bookmarkEnd w:id="1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本制度制定引用了以下国家标准与行业规范：</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28827.1-2022 《信息技术服务 运行维护 第1部分：通用要求》</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28827.2-2012 《信息技术服务 运行维护 第2部分：交付规范》</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GB/T 28827.3-2012 《信息技术服务 运行维护 第3部分：应急响应规范》</w:t>
      </w:r>
    </w:p>
    <w:p>
      <w:pPr>
        <w:pStyle w:val="a1"/>
        <w:keepNext w:val="0"/>
        <w:keepLines w:val="0"/>
        <w:pageBreakBefore w:val="0"/>
        <w:widowControl w:val="0"/>
        <w:numPr>
          <w:ilvl w:val="0"/>
          <w:numId w:val="5"/>
        </w:numPr>
        <w:kinsoku w:val="0"/>
        <w:wordWrap/>
        <w:overflowPunct/>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T/CESA 1299—2023 《信息技术服务 运行维护服务能力成熟度模型》</w:t>
      </w:r>
    </w:p>
    <w:p>
      <w:pPr>
        <w:pStyle w:val="1"/>
        <w:keepNext w:val="0"/>
        <w:keepLines w:val="0"/>
        <w:pageBreakBefore w:val="0"/>
        <w:widowControl w:val="0"/>
        <w:kinsoku w:val="0"/>
        <w:wordWrap/>
        <w:overflowPunct/>
        <w:autoSpaceDE w:val="0"/>
        <w:autoSpaceDN w:val="0"/>
        <w:bidi w:val="0"/>
        <w:adjustRightInd w:val="0"/>
        <w:snapToGrid w:val="0"/>
        <w:textAlignment w:val="baseline"/>
      </w:pPr>
      <w:bookmarkStart w:id="15" w:name="_Toc21282"/>
      <w:r>
        <w:rPr>
          <w:rFonts w:hint="eastAsia"/>
          <w:lang w:val="en-US" w:eastAsia="zh-CN"/>
        </w:rPr>
        <w:t>定义与术语</w:t>
      </w:r>
      <w:bookmarkEnd w:id="15"/>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6" w:name="_Toc9614"/>
      <w:r>
        <w:rPr>
          <w:rFonts w:hint="eastAsia"/>
        </w:rPr>
        <w:t>信息资产</w:t>
      </w:r>
      <w:bookmarkEnd w:id="1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任何对组织具有价值的信息及相关载体，如硬件、软件、数据、文档等。</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7" w:name="_Toc16485"/>
      <w:r>
        <w:rPr>
          <w:rFonts w:hint="eastAsia"/>
        </w:rPr>
        <w:t>信息安全事件</w:t>
      </w:r>
      <w:bookmarkEnd w:id="17"/>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rPr>
      </w:pPr>
      <w:r>
        <w:rPr>
          <w:rFonts w:hint="eastAsia"/>
        </w:rPr>
        <w:t>导致或可能导致信息的机密性、完整性、可用性遭受破坏的单起或多起事件。</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eastAsia"/>
        </w:rPr>
      </w:pPr>
      <w:bookmarkStart w:id="18" w:name="_Toc26683"/>
      <w:r>
        <w:rPr>
          <w:rFonts w:hint="eastAsia"/>
        </w:rPr>
        <w:t>风险评估</w:t>
      </w:r>
      <w:bookmarkEnd w:id="18"/>
    </w:p>
    <w:p>
      <w:pPr>
        <w:pStyle w:val="a1"/>
        <w:keepNext w:val="0"/>
        <w:keepLines w:val="0"/>
        <w:pageBreakBefore w:val="0"/>
        <w:widowControl w:val="0"/>
        <w:kinsoku w:val="0"/>
        <w:wordWrap/>
        <w:overflowPunct/>
        <w:autoSpaceDE w:val="0"/>
        <w:autoSpaceDN w:val="0"/>
        <w:bidi w:val="0"/>
        <w:adjustRightInd w:val="0"/>
        <w:snapToGrid w:val="0"/>
        <w:textAlignment w:val="baseline"/>
      </w:pPr>
      <w:r>
        <w:rPr>
          <w:rFonts w:hint="eastAsia"/>
        </w:rPr>
        <w:t>识别信息资产的风险、评估风险影响并确定处置优先级的过程。</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19" w:name="_Toc15254"/>
      <w:r>
        <w:rPr>
          <w:rFonts w:hint="eastAsia"/>
          <w:lang w:val="en-US" w:eastAsia="zh-CN"/>
        </w:rPr>
        <w:t>管理内容与要求</w:t>
      </w:r>
      <w:bookmarkEnd w:id="19"/>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0" w:name="_Toc1316"/>
      <w:r>
        <w:rPr>
          <w:rFonts w:hint="default"/>
          <w:lang w:val="en-US" w:eastAsia="zh-CN"/>
        </w:rPr>
        <w:t>资产识别与分类</w:t>
      </w:r>
      <w:bookmarkEnd w:id="20"/>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eastAsia"/>
          <w:lang w:val="en-US" w:eastAsia="zh-CN"/>
        </w:rPr>
        <w:t>运维部经理</w:t>
      </w:r>
      <w:r>
        <w:rPr>
          <w:rFonts w:hint="default"/>
          <w:lang w:val="en-US" w:eastAsia="zh-CN"/>
        </w:rPr>
        <w:t>应组织对运维服务相关的所有信息资产进行识别、登记与分类。资产分类应依据《资产分类表》进行，并填写《关键资产风险评估及控制表》，明确资产的责任人、位置、数量等关键属性。</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1" w:name="_Toc12559"/>
      <w:r>
        <w:rPr>
          <w:rFonts w:hint="default"/>
          <w:lang w:val="en-US" w:eastAsia="zh-CN"/>
        </w:rPr>
        <w:t>风险识别与评估</w:t>
      </w:r>
      <w:bookmarkEnd w:id="21"/>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2" w:name="_Toc22843"/>
      <w:r>
        <w:rPr>
          <w:rFonts w:hint="default"/>
          <w:lang w:val="en-US" w:eastAsia="zh-CN"/>
        </w:rPr>
        <w:t>风险识别</w:t>
      </w:r>
      <w:bookmarkEnd w:id="22"/>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应参照《机房环境安全管理规范》等系列安全规范，识别各资产面临的安全威胁与自身弱点。变更管理流程中必须充分考虑信息安全风险。</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23" w:name="_Toc19420"/>
      <w:r>
        <w:rPr>
          <w:rFonts w:hint="default"/>
          <w:lang w:val="en-US" w:eastAsia="zh-CN"/>
        </w:rPr>
        <w:t>风险评估</w:t>
      </w:r>
      <w:bookmarkEnd w:id="23"/>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r>
        <w:rPr>
          <w:rFonts w:hint="default"/>
          <w:lang w:val="en-US" w:eastAsia="zh-CN"/>
        </w:rPr>
        <w:t>采用风险值（Risk Value）进行量化评估。风险值由资产重要度（Asset Criticality）与风险发生概率（Risk Probability）相乘得出。</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资产重要度判定表如图4-1所示</w:t>
      </w:r>
    </w:p>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r>
        <w:rPr>
          <w:rFonts w:hint="eastAsia"/>
          <w:lang w:val="en-US" w:eastAsia="zh-CN"/>
        </w:rPr>
        <w:t xml:space="preserve"> 资产重要度判定表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81"/>
        <w:gridCol w:w="3449"/>
        <w:gridCol w:w="2766"/>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原值</w:t>
            </w:r>
          </w:p>
        </w:tc>
        <w:tc>
          <w:tcPr>
            <w:tcW w:w="3552"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关联的服务重要度</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等级</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低</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低</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1</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较低</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较低</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2</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中</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中</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3</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较高</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较高</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4</w:t>
            </w:r>
          </w:p>
        </w:tc>
      </w:tr>
      <w:tr>
        <w:tblPrEx>
          <w:tblW w:w="0" w:type="auto"/>
          <w:tblInd w:w="0" w:type="dxa"/>
          <w:tblCellMar>
            <w:top w:w="0" w:type="dxa"/>
            <w:left w:w="108" w:type="dxa"/>
            <w:bottom w:w="0" w:type="dxa"/>
            <w:right w:w="108" w:type="dxa"/>
          </w:tblCellMar>
        </w:tblPrEx>
        <w:tc>
          <w:tcPr>
            <w:tcW w:w="2129"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高</w:t>
            </w:r>
          </w:p>
        </w:tc>
        <w:tc>
          <w:tcPr>
            <w:tcW w:w="3552"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hint="eastAsia"/>
                <w:vertAlign w:val="baseline"/>
                <w:lang w:val="en-US" w:eastAsia="zh-CN"/>
              </w:rPr>
              <w:t>高</w:t>
            </w:r>
          </w:p>
        </w:tc>
        <w:tc>
          <w:tcPr>
            <w:tcW w:w="2841"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5</w:t>
            </w:r>
          </w:p>
        </w:tc>
      </w:tr>
    </w:tbl>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hint="default"/>
          <w:lang w:val="en-US" w:eastAsia="zh-CN"/>
        </w:rPr>
      </w:pP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风险发生概率判定表如图4-2所示</w:t>
      </w:r>
    </w:p>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r>
        <w:rPr>
          <w:rFonts w:hint="eastAsia"/>
          <w:lang w:val="en-US" w:eastAsia="zh-CN"/>
        </w:rPr>
        <w:t xml:space="preserve"> 风险发生概率判定表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836"/>
        <w:gridCol w:w="5460"/>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发生可能性范围</w:t>
            </w:r>
          </w:p>
        </w:tc>
        <w:tc>
          <w:tcPr>
            <w:tcW w:w="5647"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等级</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default"/>
                <w:vertAlign w:val="baseline"/>
                <w:lang w:val="en-US" w:eastAsia="zh-CN"/>
              </w:rPr>
            </w:pPr>
            <w:r>
              <w:rPr>
                <w:rFonts w:hint="eastAsia"/>
                <w:vertAlign w:val="baseline"/>
                <w:lang w:val="en-US" w:eastAsia="zh-CN"/>
              </w:rPr>
              <w:t>1%~20%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1</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eastAsia"/>
                <w:vertAlign w:val="baseline"/>
                <w:lang w:val="en-US" w:eastAsia="zh-CN"/>
              </w:rPr>
            </w:pPr>
            <w:r>
              <w:rPr>
                <w:rFonts w:hint="eastAsia"/>
                <w:vertAlign w:val="baseline"/>
                <w:lang w:val="en-US" w:eastAsia="zh-CN"/>
              </w:rPr>
              <w:t>21%~40%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2</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eastAsia"/>
                <w:vertAlign w:val="baseline"/>
                <w:lang w:val="en-US" w:eastAsia="zh-CN"/>
              </w:rPr>
            </w:pPr>
            <w:r>
              <w:rPr>
                <w:rFonts w:hint="eastAsia"/>
                <w:vertAlign w:val="baseline"/>
                <w:lang w:val="en-US" w:eastAsia="zh-CN"/>
              </w:rPr>
              <w:t>41%~60%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3</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eastAsia"/>
                <w:vertAlign w:val="baseline"/>
                <w:lang w:val="en-US" w:eastAsia="zh-CN"/>
              </w:rPr>
            </w:pPr>
            <w:r>
              <w:rPr>
                <w:rFonts w:hint="eastAsia"/>
                <w:vertAlign w:val="baseline"/>
                <w:lang w:val="en-US" w:eastAsia="zh-CN"/>
              </w:rPr>
              <w:t>61%~80%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4</w:t>
            </w:r>
          </w:p>
        </w:tc>
      </w:tr>
      <w:tr>
        <w:tblPrEx>
          <w:tblW w:w="0" w:type="auto"/>
          <w:tblInd w:w="0" w:type="dxa"/>
          <w:tblCellMar>
            <w:top w:w="0" w:type="dxa"/>
            <w:left w:w="108" w:type="dxa"/>
            <w:bottom w:w="0" w:type="dxa"/>
            <w:right w:w="108" w:type="dxa"/>
          </w:tblCellMar>
        </w:tblPrEx>
        <w:tc>
          <w:tcPr>
            <w:tcW w:w="2875" w:type="dxa"/>
          </w:tcPr>
          <w:p>
            <w:pPr>
              <w:pStyle w:val="a1"/>
              <w:keepNext w:val="0"/>
              <w:keepLines w:val="0"/>
              <w:pageBreakBefore w:val="0"/>
              <w:widowControl w:val="0"/>
              <w:kinsoku w:val="0"/>
              <w:wordWrap/>
              <w:overflowPunct/>
              <w:autoSpaceDE w:val="0"/>
              <w:autoSpaceDN w:val="0"/>
              <w:bidi w:val="0"/>
              <w:adjustRightInd w:val="0"/>
              <w:snapToGrid w:val="0"/>
              <w:ind w:right="0" w:rightChars="0"/>
              <w:jc w:val="center"/>
              <w:textAlignment w:val="baseline"/>
              <w:rPr>
                <w:rFonts w:hint="eastAsia"/>
                <w:vertAlign w:val="baseline"/>
                <w:lang w:val="en-US" w:eastAsia="zh-CN"/>
              </w:rPr>
            </w:pPr>
            <w:r>
              <w:rPr>
                <w:rFonts w:hint="eastAsia"/>
                <w:vertAlign w:val="baseline"/>
                <w:lang w:val="en-US" w:eastAsia="zh-CN"/>
              </w:rPr>
              <w:t>81%~100%</w:t>
            </w:r>
          </w:p>
        </w:tc>
        <w:tc>
          <w:tcPr>
            <w:tcW w:w="5647" w:type="dxa"/>
            <w:shd w:val="clear" w:color="auto" w:fill="auto"/>
          </w:tcPr>
          <w:p>
            <w:pPr>
              <w:pStyle w:val="a1"/>
              <w:keepNext w:val="0"/>
              <w:keepLines w:val="0"/>
              <w:pageBreakBefore w:val="0"/>
              <w:widowControl w:val="0"/>
              <w:kinsoku w:val="0"/>
              <w:wordWrap/>
              <w:overflowPunct/>
              <w:autoSpaceDE w:val="0"/>
              <w:autoSpaceDN w:val="0"/>
              <w:bidi w:val="0"/>
              <w:adjustRightInd w:val="0"/>
              <w:snapToGrid w:val="0"/>
              <w:ind w:right="0" w:firstLine="420" w:rightChars="0" w:firstLineChars="20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hint="eastAsia"/>
                <w:vertAlign w:val="baseline"/>
                <w:lang w:val="en-US" w:eastAsia="zh-CN"/>
              </w:rPr>
              <w:t>5</w:t>
            </w:r>
          </w:p>
        </w:tc>
      </w:tr>
    </w:tbl>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t>风险等级</w:t>
      </w:r>
      <w:r>
        <w:rPr>
          <w:rFonts w:hint="default"/>
        </w:rPr>
        <w:t>：计算风险值（1-25），并依据公司设定的可接受风险水平（阈值）确定风险等级。</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4" w:name="_Toc9664"/>
      <w:r>
        <w:rPr>
          <w:rFonts w:hint="default"/>
        </w:rPr>
        <w:t>风险处置</w:t>
      </w:r>
      <w:r>
        <w:rPr>
          <w:rFonts w:hint="eastAsia"/>
          <w:lang w:val="en-US" w:eastAsia="zh-CN"/>
        </w:rPr>
        <w:t>策略</w:t>
      </w:r>
      <w:bookmarkEnd w:id="2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对于超过可接受水平的风险，应采取以下一种或多种方式进行处置：</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实施控制措施：采用适当的技术或管理措施降低风险。</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风险接受：在符合组织政策的前提下，明确接受该风险。</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风险规避：通过取消相关活动来避免风险。</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风险转移：通过保险或第三方服务转移风险。</w:t>
      </w:r>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处置后需重新评估，确保风险已降至可接受水平。</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5" w:name="_Toc26925"/>
      <w:r>
        <w:rPr>
          <w:rFonts w:hint="default"/>
        </w:rPr>
        <w:t>安全事件管理</w:t>
      </w:r>
      <w:bookmarkEnd w:id="25"/>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所有信息安全事件必须通过事件管理流程进行记录、处理和跟踪。信</w:t>
      </w:r>
      <w:r>
        <w:rPr>
          <w:rFonts w:hint="eastAsia"/>
          <w:lang w:val="en-US" w:eastAsia="zh-CN"/>
        </w:rPr>
        <w:t>运维部经理</w:t>
      </w:r>
      <w:r>
        <w:rPr>
          <w:rFonts w:hint="default"/>
        </w:rPr>
        <w:t>应定期分析事件数据，编制《信息安全事件统计表》，并据此提出改进措施。</w:t>
      </w:r>
    </w:p>
    <w:p>
      <w:pPr>
        <w:pStyle w:val="2"/>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6" w:name="_Toc14404"/>
      <w:r>
        <w:rPr>
          <w:rFonts w:hint="default"/>
        </w:rPr>
        <w:t>关键控制点与测量指标</w:t>
      </w:r>
      <w:bookmarkEnd w:id="26"/>
    </w:p>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rPr>
      </w:pPr>
      <w:r>
        <w:rPr>
          <w:rFonts w:hint="default"/>
        </w:rPr>
        <w:t>为确保信息安全管理流程的有效执行和持续改进，特设定以下关键控制点与量化测量指标。</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7" w:name="_Toc6358"/>
      <w:r>
        <w:rPr>
          <w:rFonts w:hint="default"/>
        </w:rPr>
        <w:t>关键控制点</w:t>
      </w:r>
      <w:bookmarkEnd w:id="27"/>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rPr>
      </w:pPr>
      <w:r>
        <w:rPr>
          <w:rFonts w:hint="default"/>
        </w:rPr>
        <w:t>所有关键信息资产必须被识别、登记并定期审核。</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rPr>
      </w:pPr>
      <w:r>
        <w:rPr>
          <w:rFonts w:hint="default"/>
        </w:rPr>
        <w:t>所有变更必须经过信息安全风险评估。</w:t>
      </w:r>
    </w:p>
    <w:p>
      <w:pPr>
        <w:pStyle w:val="a1"/>
        <w:keepNext w:val="0"/>
        <w:keepLines w:val="0"/>
        <w:pageBreakBefore w:val="0"/>
        <w:widowControl w:val="0"/>
        <w:numPr>
          <w:ilvl w:val="0"/>
          <w:numId w:val="6"/>
        </w:numPr>
        <w:kinsoku w:val="0"/>
        <w:wordWrap/>
        <w:overflowPunct/>
        <w:autoSpaceDE w:val="0"/>
        <w:autoSpaceDN w:val="0"/>
        <w:bidi w:val="0"/>
        <w:adjustRightInd w:val="0"/>
        <w:snapToGrid w:val="0"/>
        <w:ind w:left="425" w:hanging="425" w:leftChars="0" w:firstLineChars="0"/>
        <w:textAlignment w:val="baseline"/>
        <w:rPr>
          <w:rFonts w:hint="default"/>
        </w:rPr>
      </w:pPr>
      <w:r>
        <w:rPr>
          <w:rFonts w:hint="default"/>
        </w:rPr>
        <w:t>所有信息安全事件必须被记录、分析并用于持续改进。</w:t>
      </w:r>
    </w:p>
    <w:p>
      <w:pPr>
        <w:pStyle w:val="3"/>
        <w:keepNext w:val="0"/>
        <w:keepLines w:val="0"/>
        <w:pageBreakBefore w:val="0"/>
        <w:widowControl w:val="0"/>
        <w:kinsoku w:val="0"/>
        <w:wordWrap/>
        <w:overflowPunct/>
        <w:autoSpaceDE w:val="0"/>
        <w:autoSpaceDN w:val="0"/>
        <w:bidi w:val="0"/>
        <w:adjustRightInd w:val="0"/>
        <w:snapToGrid w:val="0"/>
        <w:textAlignment w:val="baseline"/>
        <w:rPr>
          <w:rFonts w:hint="default"/>
        </w:rPr>
      </w:pPr>
      <w:bookmarkStart w:id="28" w:name="_Toc32717"/>
      <w:r>
        <w:rPr>
          <w:rFonts w:hint="default"/>
        </w:rPr>
        <w:t>过程测量指标</w:t>
      </w:r>
      <w:bookmarkEnd w:id="28"/>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信息安全管理考核标准如表4-2所示</w:t>
      </w:r>
    </w:p>
    <w:p>
      <w:pPr>
        <w:pStyle w:val="a1"/>
        <w:keepNext w:val="0"/>
        <w:keepLines w:val="0"/>
        <w:pageBreakBefore w:val="0"/>
        <w:widowControl w:val="0"/>
        <w:kinsoku w:val="0"/>
        <w:wordWrap/>
        <w:overflowPunct/>
        <w:autoSpaceDE w:val="0"/>
        <w:autoSpaceDN w:val="0"/>
        <w:bidi w:val="0"/>
        <w:adjustRightInd w:val="0"/>
        <w:snapToGrid w:val="0"/>
        <w:ind w:left="0" w:right="0" w:firstLine="0" w:leftChars="0" w:rightChars="0" w:firstLineChars="0"/>
        <w:jc w:val="center"/>
        <w:textAlignment w:val="baseline"/>
        <w:rPr>
          <w:rFonts w:eastAsia="宋体" w:hint="eastAsia"/>
          <w:lang w:val="en-US" w:eastAsia="zh-CN"/>
        </w:rPr>
      </w:pPr>
      <w:r>
        <w:rPr>
          <w:rFonts w:hint="eastAsia"/>
          <w:lang w:val="en-US" w:eastAsia="zh-CN"/>
        </w:rPr>
        <w:t>表</w:t>
      </w:r>
      <w:r>
        <w:rPr>
          <w:rFonts w:hint="eastAsia"/>
          <w:lang w:val="en-US" w:eastAsia="zh-CN"/>
        </w:rPr>
        <w:fldChar w:fldCharType="begin"/>
      </w:r>
      <w:r>
        <w:rPr>
          <w:rFonts w:hint="eastAsia"/>
          <w:lang w:val="en-US" w:eastAsia="zh-CN"/>
        </w:rPr>
        <w:instrText xml:space="preserve">  STYLEREF "柴_标题1" \n \* Charformat </w:instrText>
      </w:r>
      <w:r>
        <w:rPr>
          <w:rFonts w:hint="eastAsia"/>
          <w:lang w:val="en-US" w:eastAsia="zh-CN"/>
        </w:rPr>
        <w:fldChar w:fldCharType="separate"/>
      </w:r>
      <w:r>
        <w:rPr>
          <w:rFonts w:hint="eastAsia"/>
          <w:lang w:val="en-US" w:eastAsia="zh-CN"/>
        </w:rPr>
        <w:t>5</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r>
        <w:rPr>
          <w:rFonts w:hint="eastAsia"/>
        </w:rPr>
        <w:t>过程测量指标</w:t>
      </w:r>
      <w:r>
        <w:rPr>
          <w:rFonts w:hint="eastAsia"/>
          <w:lang w:val="en-US" w:eastAsia="zh-CN"/>
        </w:rPr>
        <w:t>表</w:t>
      </w: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26"/>
        <w:gridCol w:w="1661"/>
        <w:gridCol w:w="3655"/>
        <w:gridCol w:w="1083"/>
        <w:gridCol w:w="1071"/>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84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序号</w:t>
            </w:r>
          </w:p>
        </w:tc>
        <w:tc>
          <w:tcPr>
            <w:tcW w:w="1705"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衡量指标</w:t>
            </w:r>
          </w:p>
        </w:tc>
        <w:tc>
          <w:tcPr>
            <w:tcW w:w="3771"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指标计算说明</w:t>
            </w:r>
          </w:p>
        </w:tc>
        <w:tc>
          <w:tcPr>
            <w:tcW w:w="1107"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考核频次</w:t>
            </w:r>
          </w:p>
        </w:tc>
        <w:tc>
          <w:tcPr>
            <w:tcW w:w="1094" w:type="dxa"/>
          </w:tcPr>
          <w:p>
            <w:pPr>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lang w:val="en-US" w:eastAsia="zh-CN"/>
              </w:rPr>
            </w:pPr>
            <w:r>
              <w:rPr>
                <w:rFonts w:hint="eastAsia"/>
                <w:sz w:val="21"/>
                <w:szCs w:val="21"/>
                <w:lang w:val="en-US" w:eastAsia="zh-CN"/>
              </w:rPr>
              <w:t>目标值</w:t>
            </w:r>
          </w:p>
        </w:tc>
      </w:tr>
      <w:tr>
        <w:tblPrEx>
          <w:tblW w:w="0" w:type="auto"/>
          <w:jc w:val="center"/>
          <w:tblCellMar>
            <w:top w:w="0" w:type="dxa"/>
            <w:left w:w="108" w:type="dxa"/>
            <w:bottom w:w="0" w:type="dxa"/>
            <w:right w:w="108" w:type="dxa"/>
          </w:tblCellMar>
        </w:tblPrEx>
        <w:trPr>
          <w:jc w:val="center"/>
        </w:trPr>
        <w:tc>
          <w:tcPr>
            <w:tcW w:w="841"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1</w:t>
            </w:r>
          </w:p>
        </w:tc>
        <w:tc>
          <w:tcPr>
            <w:tcW w:w="1705" w:type="dxa"/>
          </w:tcPr>
          <w:p>
            <w:pPr>
              <w:pStyle w:val="a1"/>
              <w:keepNext w:val="0"/>
              <w:keepLines w:val="0"/>
              <w:pageBreakBefore w:val="0"/>
              <w:widowControl w:val="0"/>
              <w:kinsoku w:val="0"/>
              <w:wordWrap/>
              <w:overflowPunct/>
              <w:autoSpaceDE w:val="0"/>
              <w:autoSpaceDN w:val="0"/>
              <w:bidi w:val="0"/>
              <w:adjustRightInd w:val="0"/>
              <w:snapToGrid w:val="0"/>
              <w:ind w:left="0" w:firstLine="0" w:leftChars="0" w:firstLineChars="0"/>
              <w:jc w:val="left"/>
              <w:textAlignment w:val="baseline"/>
              <w:rPr>
                <w:rFonts w:eastAsia="宋体" w:hint="default"/>
                <w:sz w:val="21"/>
                <w:szCs w:val="21"/>
                <w:vertAlign w:val="baseline"/>
                <w:lang w:val="en-US" w:eastAsia="zh-CN"/>
              </w:rPr>
            </w:pPr>
            <w:r>
              <w:rPr>
                <w:rFonts w:hint="eastAsia"/>
                <w:sz w:val="21"/>
                <w:szCs w:val="21"/>
                <w:vertAlign w:val="baseline"/>
                <w:lang w:val="en-US" w:eastAsia="zh-CN"/>
              </w:rPr>
              <w:t>信息泄露次数</w:t>
            </w:r>
          </w:p>
        </w:tc>
        <w:tc>
          <w:tcPr>
            <w:tcW w:w="3771" w:type="dxa"/>
          </w:tcPr>
          <w:p>
            <w:pPr>
              <w:pStyle w:val="a1"/>
              <w:keepNext w:val="0"/>
              <w:keepLines w:val="0"/>
              <w:pageBreakBefore w:val="0"/>
              <w:widowControl w:val="0"/>
              <w:kinsoku w:val="0"/>
              <w:wordWrap/>
              <w:overflowPunct/>
              <w:autoSpaceDE w:val="0"/>
              <w:autoSpaceDN w:val="0"/>
              <w:bidi w:val="0"/>
              <w:adjustRightInd w:val="0"/>
              <w:snapToGrid w:val="0"/>
              <w:ind w:left="0" w:firstLine="0" w:leftChars="0" w:firstLineChars="0"/>
              <w:jc w:val="left"/>
              <w:textAlignment w:val="baseline"/>
              <w:rPr>
                <w:rFonts w:eastAsia="宋体" w:hint="default"/>
                <w:sz w:val="21"/>
                <w:szCs w:val="21"/>
                <w:vertAlign w:val="baseline"/>
                <w:lang w:val="en-US" w:eastAsia="zh-CN"/>
              </w:rPr>
            </w:pPr>
            <w:r>
              <w:rPr>
                <w:rFonts w:ascii="Segoe UI" w:eastAsia="宋体" w:hAnsi="Segoe UI" w:cs="Segoe UI" w:hint="eastAsia"/>
                <w:i w:val="0"/>
                <w:iCs w:val="0"/>
                <w:caps w:val="0"/>
                <w:color w:val="0F1115"/>
                <w:spacing w:val="0"/>
                <w:sz w:val="19"/>
                <w:szCs w:val="19"/>
                <w:shd w:val="clear" w:color="auto" w:fill="FFFFFF"/>
                <w:lang w:val="en-US" w:eastAsia="zh-CN"/>
              </w:rPr>
              <w:t>客户信息泄露的事件次数</w:t>
            </w:r>
          </w:p>
        </w:tc>
        <w:tc>
          <w:tcPr>
            <w:tcW w:w="1107"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年度</w:t>
            </w:r>
          </w:p>
        </w:tc>
        <w:tc>
          <w:tcPr>
            <w:tcW w:w="1094" w:type="dxa"/>
          </w:tcPr>
          <w:p>
            <w:pPr>
              <w:pStyle w:val="a1"/>
              <w:keepNext w:val="0"/>
              <w:keepLines w:val="0"/>
              <w:pageBreakBefore w:val="0"/>
              <w:widowControl w:val="0"/>
              <w:kinsoku w:val="0"/>
              <w:wordWrap/>
              <w:overflowPunct/>
              <w:topLinePunct w:val="0"/>
              <w:autoSpaceDE w:val="0"/>
              <w:autoSpaceDN w:val="0"/>
              <w:bidi w:val="0"/>
              <w:adjustRightInd w:val="0"/>
              <w:snapToGrid w:val="0"/>
              <w:ind w:left="0" w:right="0" w:firstLine="0" w:leftChars="0" w:rightChars="0" w:firstLineChars="0"/>
              <w:jc w:val="center"/>
              <w:textAlignment w:val="baseline"/>
              <w:rPr>
                <w:rFonts w:hint="default"/>
                <w:sz w:val="21"/>
                <w:szCs w:val="21"/>
                <w:vertAlign w:val="baseline"/>
                <w:lang w:val="en-US" w:eastAsia="zh-CN"/>
              </w:rPr>
            </w:pPr>
            <w:r>
              <w:rPr>
                <w:rFonts w:hint="eastAsia"/>
                <w:sz w:val="21"/>
                <w:szCs w:val="21"/>
                <w:vertAlign w:val="baseline"/>
                <w:lang w:val="en-US" w:eastAsia="zh-CN"/>
              </w:rPr>
              <w:t>≤2次</w:t>
            </w:r>
          </w:p>
        </w:tc>
      </w:tr>
    </w:tbl>
    <w:p>
      <w:pPr>
        <w:pStyle w:val="a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p>
    <w:p>
      <w:pPr>
        <w:pStyle w:val="1"/>
        <w:keepNext w:val="0"/>
        <w:keepLines w:val="0"/>
        <w:pageBreakBefore w:val="0"/>
        <w:widowControl w:val="0"/>
        <w:kinsoku w:val="0"/>
        <w:wordWrap/>
        <w:overflowPunct/>
        <w:autoSpaceDE w:val="0"/>
        <w:autoSpaceDN w:val="0"/>
        <w:bidi w:val="0"/>
        <w:adjustRightInd w:val="0"/>
        <w:snapToGrid w:val="0"/>
        <w:textAlignment w:val="baseline"/>
        <w:rPr>
          <w:rStyle w:val="1Char"/>
          <w:rFonts w:eastAsia="宋体" w:hint="default"/>
          <w:lang w:val="en-US" w:eastAsia="zh-CN"/>
        </w:rPr>
      </w:pPr>
      <w:bookmarkStart w:id="29" w:name="bookmark3"/>
      <w:bookmarkEnd w:id="29"/>
      <w:bookmarkStart w:id="30" w:name="_Toc17424"/>
      <w:bookmarkStart w:id="31" w:name="_Toc6742"/>
      <w:r>
        <w:rPr>
          <w:rStyle w:val="1Char"/>
          <w:rFonts w:eastAsia="宋体" w:hint="eastAsia"/>
          <w:lang w:val="en-US" w:eastAsia="zh-CN"/>
        </w:rPr>
        <w:t>附则</w:t>
      </w:r>
      <w:bookmarkEnd w:id="30"/>
      <w:bookmarkEnd w:id="31"/>
    </w:p>
    <w:p>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ascii="宋体" w:eastAsia="宋体" w:hAnsi="宋体" w:cs="宋体"/>
          <w:sz w:val="24"/>
          <w:szCs w:val="24"/>
        </w:rPr>
      </w:pPr>
      <w:r>
        <w:rPr>
          <w:rFonts w:ascii="宋体" w:eastAsia="宋体" w:hAnsi="宋体" w:cs="宋体"/>
          <w:spacing w:val="-1"/>
          <w:sz w:val="24"/>
          <w:szCs w:val="24"/>
        </w:rPr>
        <w:t>本制度最终解释权和修订权归</w:t>
      </w:r>
      <w:r>
        <w:rPr>
          <w:rFonts w:ascii="宋体" w:hAnsi="宋体" w:cs="宋体" w:hint="eastAsia"/>
          <w:spacing w:val="-1"/>
          <w:sz w:val="24"/>
          <w:szCs w:val="24"/>
          <w:lang w:val="en-US" w:eastAsia="zh-CN"/>
        </w:rPr>
        <w:t>运维部</w:t>
      </w:r>
      <w:r>
        <w:rPr>
          <w:rFonts w:ascii="宋体" w:eastAsia="宋体" w:hAnsi="宋体" w:cs="宋体"/>
          <w:spacing w:val="-1"/>
          <w:sz w:val="24"/>
          <w:szCs w:val="24"/>
        </w:rPr>
        <w:t>。</w:t>
      </w:r>
    </w:p>
    <w:p>
      <w:pPr>
        <w:keepNext w:val="0"/>
        <w:keepLines w:val="0"/>
        <w:pageBreakBefore w:val="0"/>
        <w:widowControl w:val="0"/>
        <w:numPr>
          <w:ilvl w:val="0"/>
          <w:numId w:val="7"/>
        </w:numPr>
        <w:kinsoku w:val="0"/>
        <w:wordWrap/>
        <w:overflowPunct/>
        <w:topLinePunct/>
        <w:autoSpaceDE w:val="0"/>
        <w:autoSpaceDN w:val="0"/>
        <w:bidi w:val="0"/>
        <w:adjustRightInd w:val="0"/>
        <w:snapToGrid w:val="0"/>
        <w:spacing w:line="360" w:lineRule="auto"/>
        <w:ind w:left="425" w:hanging="425" w:leftChars="0" w:firstLineChars="0"/>
        <w:textAlignment w:val="baseline"/>
        <w:rPr>
          <w:rFonts w:hint="default"/>
          <w:lang w:val="en-US" w:eastAsia="zh-CN"/>
        </w:rPr>
      </w:pPr>
      <w:r>
        <w:rPr>
          <w:rFonts w:ascii="宋体" w:eastAsia="宋体" w:hAnsi="宋体" w:cs="宋体"/>
          <w:spacing w:val="-2"/>
          <w:sz w:val="24"/>
          <w:szCs w:val="24"/>
        </w:rPr>
        <w:t>本制度自颁布之日起施行。</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default"/>
          <w:lang w:val="en-US" w:eastAsia="zh-CN"/>
        </w:rPr>
      </w:pPr>
      <w:bookmarkStart w:id="32" w:name="bookmark14"/>
      <w:bookmarkEnd w:id="32"/>
      <w:bookmarkStart w:id="33" w:name="_Toc24611"/>
      <w:r>
        <w:rPr>
          <w:rFonts w:hint="eastAsia"/>
          <w:lang w:val="en-US" w:eastAsia="zh-CN"/>
        </w:rPr>
        <w:t>附件</w:t>
      </w:r>
      <w:bookmarkEnd w:id="33"/>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《资产分类表》</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《关键资产风险评估及控制表》</w:t>
      </w:r>
    </w:p>
    <w:p>
      <w:pPr>
        <w:pStyle w:val="a1"/>
        <w:keepNext w:val="0"/>
        <w:keepLines w:val="0"/>
        <w:pageBreakBefore w:val="0"/>
        <w:widowControl w:val="0"/>
        <w:numPr>
          <w:ilvl w:val="0"/>
          <w:numId w:val="8"/>
        </w:numPr>
        <w:kinsoku w:val="0"/>
        <w:wordWrap/>
        <w:overflowPunct/>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《信息安全事件统计表》</w:t>
      </w:r>
    </w:p>
    <w:p>
      <w:pPr>
        <w:pStyle w:val="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bookmarkStart w:id="34" w:name="_Toc881"/>
      <w:r>
        <w:rPr>
          <w:rFonts w:hint="eastAsia"/>
          <w:lang w:val="en-US" w:eastAsia="zh-CN"/>
        </w:rPr>
        <w:t>记录</w:t>
      </w:r>
      <w:bookmarkEnd w:id="34"/>
    </w:p>
    <w:p>
      <w:pPr>
        <w:pStyle w:val="a1"/>
        <w:keepNext w:val="0"/>
        <w:keepLines w:val="0"/>
        <w:pageBreakBefore w:val="0"/>
        <w:widowControl w:val="0"/>
        <w:kinsoku w:val="0"/>
        <w:wordWrap/>
        <w:overflowPunct/>
        <w:autoSpaceDE w:val="0"/>
        <w:autoSpaceDN w:val="0"/>
        <w:bidi w:val="0"/>
        <w:adjustRightInd w:val="0"/>
        <w:snapToGrid w:val="0"/>
        <w:textAlignment w:val="baseline"/>
        <w:rPr>
          <w:rFonts w:hint="eastAsia"/>
          <w:lang w:val="en-US" w:eastAsia="zh-CN"/>
        </w:rPr>
      </w:pPr>
      <w:r>
        <w:rPr>
          <w:rFonts w:hint="eastAsia"/>
          <w:lang w:val="en-US" w:eastAsia="zh-CN"/>
        </w:rPr>
        <w:t>信息安全管理制度运行过程中产生的所有记录，包括但不限于风险评估表、事件统计表、审计报告等，应由运维部统一保存，保存期限不少于3年。</w:t>
      </w:r>
    </w:p>
    <w:sectPr>
      <w:headerReference w:type="even" r:id="rId6"/>
      <w:headerReference w:type="default" r:id="rId7"/>
      <w:footerReference w:type="even" r:id="rId8"/>
      <w:footerReference w:type="default" r:id="rId9"/>
      <w:headerReference w:type="first" r:id="rId10"/>
      <w:footerReference w:type="first" r:id="rId11"/>
      <w:pgSz w:w="11906" w:h="16838"/>
      <w:pgMar w:top="1417" w:right="1800" w:bottom="1440" w:left="1800" w:header="1140"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single" w:sz="4" w:space="1" w:color="auto"/>
      </w:pBdr>
      <w:tabs>
        <w:tab w:val="left" w:pos="335"/>
        <w:tab w:val="right" w:pos="8426"/>
      </w:tabs>
      <w:jc w:val="right"/>
      <w:rPr>
        <w:rFonts w:eastAsiaTheme="minorEastAsia" w:hint="eastAsia"/>
        <w:lang w:eastAsia="zh-CN"/>
      </w:rPr>
    </w:pPr>
    <w:r>
      <w:rPr>
        <w:rFonts w:eastAsiaTheme="minorEastAsia" w:hint="eastAsia"/>
        <w:lang w:val="en-US" w:eastAsia="zh-CN"/>
      </w:rPr>
      <w:tab/>
    </w:r>
    <w:r>
      <w:rPr>
        <w:rFonts w:eastAsiaTheme="minorEastAsia" w:hint="eastAsia"/>
        <w:lang w:val="en-US" w:eastAsia="zh-CN"/>
      </w:rPr>
      <w:tab/>
    </w:r>
    <w:r>
      <w:rPr>
        <w:rFonts w:eastAsiaTheme="minorEastAsia" w:hint="eastAsia"/>
        <w:lang w:val="en-US" w:eastAsia="zh-CN"/>
      </w:rPr>
      <w:t>重庆市鹧鸪哨信息技术有限责任公司</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6F270B8"/>
    <w:multiLevelType w:val="singleLevel"/>
    <w:tmpl w:val="A6F270B8"/>
    <w:lvl w:ilvl="0">
      <w:start w:val="1"/>
      <w:numFmt w:val="decimal"/>
      <w:lvlText w:val="%1."/>
      <w:lvlJc w:val="left"/>
      <w:pPr>
        <w:ind w:left="425" w:hanging="425"/>
      </w:pPr>
      <w:rPr>
        <w:rFonts w:hint="default"/>
      </w:rPr>
    </w:lvl>
  </w:abstractNum>
  <w:abstractNum w:abstractNumId="2">
    <w:nsid w:val="BE59BEF0"/>
    <w:multiLevelType w:val="singleLevel"/>
    <w:tmpl w:val="BE59BEF0"/>
    <w:lvl w:ilvl="0">
      <w:start w:val="1"/>
      <w:numFmt w:val="decimal"/>
      <w:lvlText w:val="%1."/>
      <w:lvlJc w:val="left"/>
      <w:pPr>
        <w:ind w:left="425" w:hanging="425"/>
      </w:pPr>
      <w:rPr>
        <w:rFonts w:hint="default"/>
      </w:rPr>
    </w:lvl>
  </w:abstractNum>
  <w:abstractNum w:abstractNumId="3">
    <w:nsid w:val="D4C2FEC3"/>
    <w:multiLevelType w:val="singleLevel"/>
    <w:tmpl w:val="D4C2FEC3"/>
    <w:lvl w:ilvl="0">
      <w:start w:val="1"/>
      <w:numFmt w:val="decimal"/>
      <w:lvlText w:val="%1."/>
      <w:lvlJc w:val="left"/>
      <w:pPr>
        <w:ind w:left="425" w:hanging="425"/>
      </w:pPr>
      <w:rPr>
        <w:rFonts w:hint="default"/>
      </w:rPr>
    </w:lvl>
  </w:abstractNum>
  <w:abstractNum w:abstractNumId="4">
    <w:nsid w:val="EA0F4E69"/>
    <w:multiLevelType w:val="singleLevel"/>
    <w:tmpl w:val="EA0F4E69"/>
    <w:lvl w:ilvl="0">
      <w:start w:val="1"/>
      <w:numFmt w:val="decimal"/>
      <w:lvlText w:val="%1."/>
      <w:lvlJc w:val="left"/>
      <w:pPr>
        <w:ind w:left="425" w:hanging="425"/>
      </w:pPr>
      <w:rPr>
        <w:rFonts w:hint="default"/>
      </w:rPr>
    </w:lvl>
  </w:abstractNum>
  <w:abstractNum w:abstractNumId="5">
    <w:nsid w:val="F67A92D8"/>
    <w:multiLevelType w:val="singleLevel"/>
    <w:tmpl w:val="F67A92D8"/>
    <w:lvl w:ilvl="0">
      <w:start w:val="1"/>
      <w:numFmt w:val="decimal"/>
      <w:lvlText w:val="%1."/>
      <w:lvlJc w:val="left"/>
      <w:pPr>
        <w:ind w:left="425" w:hanging="425"/>
      </w:pPr>
      <w:rPr>
        <w:rFonts w:hint="default"/>
      </w:rPr>
    </w:lvl>
  </w:abstractNum>
  <w:abstractNum w:abstractNumId="6">
    <w:nsid w:val="F9539CF3"/>
    <w:multiLevelType w:val="singleLevel"/>
    <w:tmpl w:val="F9539CF3"/>
    <w:lvl w:ilvl="0">
      <w:start w:val="1"/>
      <w:numFmt w:val="decimal"/>
      <w:lvlText w:val="%1."/>
      <w:lvlJc w:val="left"/>
      <w:pPr>
        <w:ind w:left="425" w:hanging="425"/>
      </w:pPr>
      <w:rPr>
        <w:rFonts w:hint="default"/>
      </w:rPr>
    </w:lvl>
  </w:abstractNum>
  <w:abstractNum w:abstractNumId="7">
    <w:nsid w:val="2347B199"/>
    <w:multiLevelType w:val="singleLevel"/>
    <w:tmpl w:val="2347B199"/>
    <w:lvl w:ilvl="0">
      <w:start w:val="1"/>
      <w:numFmt w:val="decimal"/>
      <w:lvlText w:val="%1."/>
      <w:lvlJc w:val="left"/>
      <w:pPr>
        <w:ind w:left="425" w:hanging="425"/>
      </w:pPr>
      <w:rPr>
        <w:rFonts w:hint="default"/>
      </w:rPr>
    </w:lvl>
  </w:abstractNum>
  <w:num w:numId="1">
    <w:abstractNumId w:val="0"/>
  </w:num>
  <w:num w:numId="2">
    <w:abstractNumId w:val="7"/>
  </w:num>
  <w:num w:numId="3">
    <w:abstractNumId w:val="3"/>
  </w:num>
  <w:num w:numId="4">
    <w:abstractNumId w:val="1"/>
  </w:num>
  <w:num w:numId="5">
    <w:abstractNumId w:val="2"/>
  </w:num>
  <w:num w:numId="6">
    <w:abstractNumId w:val="5"/>
  </w:num>
  <w:num w:numId="7">
    <w:abstractNumId w:val="6"/>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OC2">
    <w:name w:val="toc 2"/>
    <w:basedOn w:val="Normal"/>
    <w:next w:val="Normal"/>
    <w:qFormat/>
    <w:pPr>
      <w:ind w:left="420" w:leftChars="200"/>
    </w:p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table" w:customStyle="1" w:styleId="TableNormal1">
    <w:name w:val="Table Normal_1"/>
    <w:semiHidden/>
    <w:unhideWhenUsed/>
    <w:qFormat/>
    <w:tblPr>
      <w:tblCellMar>
        <w:top w:w="0" w:type="dxa"/>
        <w:left w:w="0" w:type="dxa"/>
        <w:bottom w:w="0" w:type="dxa"/>
        <w:right w:w="0" w:type="dxa"/>
      </w:tblCellMar>
    </w:tblPr>
  </w:style>
  <w:style w:type="paragraph" w:customStyle="1" w:styleId="a3">
    <w:name w:val="柴_正文_无缩进"/>
    <w:basedOn w:val="Normal"/>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10</Pages>
  <Words>2361</Words>
  <Characters>2649</Characters>
  <Application>Microsoft Office Word</Application>
  <DocSecurity>0</DocSecurity>
  <Lines>0</Lines>
  <Paragraphs>0</Paragraphs>
  <ScaleCrop>false</ScaleCrop>
  <Company/>
  <LinksUpToDate>false</LinksUpToDate>
  <CharactersWithSpaces>3151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郝宇</dc:creator>
  <cp:lastModifiedBy>郝宇</cp:lastModifiedBy>
  <cp:revision>1</cp:revision>
  <dcterms:created xsi:type="dcterms:W3CDTF">2025-09-03T14:43:00Z</dcterms:created>
  <dcterms:modified xsi:type="dcterms:W3CDTF">2026-07-01T03:12:59Z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