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6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0482"/>
      <w:r>
        <w:rPr>
          <w:rFonts w:hint="eastAsia"/>
          <w:lang w:val="en-US" w:eastAsia="zh-CN"/>
        </w:rPr>
        <w:t>过程框架需求分析报告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文件编号：ZGS-06-18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_Toc27691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过程框架需求分析报告</w:t>
          </w:r>
          <w:r>
            <w:tab/>
          </w:r>
          <w:r>
            <w:fldChar w:fldCharType="begin"/>
          </w:r>
          <w:r>
            <w:instrText xml:space="preserve"> PAGEREF _Toc20482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_Toc18312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具体内容</w:t>
          </w:r>
          <w:r>
            <w:tab/>
          </w:r>
          <w:r>
            <w:fldChar w:fldCharType="begin"/>
          </w:r>
          <w:r>
            <w:instrText xml:space="preserve"> PAGEREF _Toc18884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服务级别管理</w:t>
          </w:r>
          <w:r>
            <w:tab/>
          </w:r>
          <w:r>
            <w:fldChar w:fldCharType="begin"/>
          </w:r>
          <w:r>
            <w:instrText xml:space="preserve"> PAGEREF _Toc21208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2.1.1. 管理范围</w:t>
          </w:r>
          <w:r>
            <w:tab/>
          </w:r>
          <w:r>
            <w:fldChar w:fldCharType="begin"/>
          </w:r>
          <w:r>
            <w:instrText xml:space="preserve"> PAGEREF _Toc27057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2.1.2. 管理目标</w:t>
          </w:r>
          <w:r>
            <w:tab/>
          </w:r>
          <w:r>
            <w:fldChar w:fldCharType="begin"/>
          </w:r>
          <w:r>
            <w:instrText xml:space="preserve"> PAGEREF _Toc10907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2.1.3. 关键绩效指标（KPI）</w:t>
          </w:r>
          <w:r>
            <w:tab/>
          </w:r>
          <w:r>
            <w:fldChar w:fldCharType="begin"/>
          </w:r>
          <w:r>
            <w:instrText xml:space="preserve"> PAGEREF _Toc17514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2.1.4. 主要参与方</w:t>
          </w:r>
          <w:r>
            <w:tab/>
          </w:r>
          <w:r>
            <w:fldChar w:fldCharType="begin"/>
          </w:r>
          <w:r>
            <w:instrText xml:space="preserve"> PAGEREF _Toc23175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服务报告管理</w:t>
          </w:r>
          <w:r>
            <w:tab/>
          </w:r>
          <w:r>
            <w:fldChar w:fldCharType="begin"/>
          </w:r>
          <w:r>
            <w:instrText xml:space="preserve"> PAGEREF _Toc16898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管理范围</w:t>
          </w:r>
          <w:r>
            <w:tab/>
          </w:r>
          <w:r>
            <w:fldChar w:fldCharType="begin"/>
          </w:r>
          <w:r>
            <w:instrText xml:space="preserve"> PAGEREF _Toc20685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管理目标</w:t>
          </w:r>
          <w:r>
            <w:tab/>
          </w:r>
          <w:r>
            <w:fldChar w:fldCharType="begin"/>
          </w:r>
          <w:r>
            <w:instrText xml:space="preserve"> PAGEREF _Toc19620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关键绩效指标（KPI）</w:t>
          </w:r>
          <w:r>
            <w:tab/>
          </w:r>
          <w:r>
            <w:fldChar w:fldCharType="begin"/>
          </w:r>
          <w:r>
            <w:instrText xml:space="preserve"> PAGEREF _Toc14503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2.2.4. 要参与方</w:t>
          </w:r>
          <w:r>
            <w:tab/>
          </w:r>
          <w:r>
            <w:fldChar w:fldCharType="begin"/>
          </w:r>
          <w:r>
            <w:instrText xml:space="preserve"> PAGEREF _Toc3448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事件管理</w:t>
          </w:r>
          <w:r>
            <w:tab/>
          </w:r>
          <w:r>
            <w:fldChar w:fldCharType="begin"/>
          </w:r>
          <w:r>
            <w:instrText xml:space="preserve"> PAGEREF _Toc24101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2.3.1. 管理范围</w:t>
          </w:r>
          <w:r>
            <w:tab/>
          </w:r>
          <w:r>
            <w:fldChar w:fldCharType="begin"/>
          </w:r>
          <w:r>
            <w:instrText xml:space="preserve"> PAGEREF _Toc29102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2.3.2. 管理目标</w:t>
          </w:r>
          <w:r>
            <w:tab/>
          </w:r>
          <w:r>
            <w:fldChar w:fldCharType="begin"/>
          </w:r>
          <w:r>
            <w:instrText xml:space="preserve"> PAGEREF _Toc3476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2.3.3. 关键绩效指标（KPI）</w:t>
          </w:r>
          <w:r>
            <w:tab/>
          </w:r>
          <w:r>
            <w:fldChar w:fldCharType="begin"/>
          </w:r>
          <w:r>
            <w:instrText xml:space="preserve"> PAGEREF _Toc16594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2.3.4. 主要参与方</w:t>
          </w:r>
          <w:r>
            <w:tab/>
          </w:r>
          <w:r>
            <w:fldChar w:fldCharType="begin"/>
          </w:r>
          <w:r>
            <w:instrText xml:space="preserve"> PAGEREF _Toc13048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问题管理</w:t>
          </w:r>
          <w:r>
            <w:tab/>
          </w:r>
          <w:r>
            <w:fldChar w:fldCharType="begin"/>
          </w:r>
          <w:r>
            <w:instrText xml:space="preserve"> PAGEREF _Toc5849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2.4.1. 管理范围</w:t>
          </w:r>
          <w:r>
            <w:tab/>
          </w:r>
          <w:r>
            <w:fldChar w:fldCharType="begin"/>
          </w:r>
          <w:r>
            <w:instrText xml:space="preserve"> PAGEREF _Toc25193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_Toc26508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2.4.2. 管理目标</w:t>
          </w:r>
          <w:r>
            <w:tab/>
          </w:r>
          <w:r>
            <w:fldChar w:fldCharType="begin"/>
          </w:r>
          <w:r>
            <w:instrText xml:space="preserve"> PAGEREF _Toc26508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_Toc30812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2.4.3. 关键绩效指标（KPI）</w:t>
          </w:r>
          <w:r>
            <w:tab/>
          </w:r>
          <w:r>
            <w:fldChar w:fldCharType="begin"/>
          </w:r>
          <w:r>
            <w:instrText xml:space="preserve"> PAGEREF _Toc30812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2.4.4. 主要参与方</w:t>
          </w:r>
          <w:r>
            <w:tab/>
          </w:r>
          <w:r>
            <w:fldChar w:fldCharType="begin"/>
          </w:r>
          <w:r>
            <w:instrText xml:space="preserve"> PAGEREF _Toc7729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变更管理</w:t>
          </w:r>
          <w:r>
            <w:tab/>
          </w:r>
          <w:r>
            <w:fldChar w:fldCharType="begin"/>
          </w:r>
          <w:r>
            <w:instrText xml:space="preserve"> PAGEREF _Toc14614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2.5.1. 管理范围</w:t>
          </w:r>
          <w:r>
            <w:tab/>
          </w:r>
          <w:r>
            <w:fldChar w:fldCharType="begin"/>
          </w:r>
          <w:r>
            <w:instrText xml:space="preserve"> PAGEREF _Toc17321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2.5.2. 管理目标</w:t>
          </w:r>
          <w:r>
            <w:tab/>
          </w:r>
          <w:r>
            <w:fldChar w:fldCharType="begin"/>
          </w:r>
          <w:r>
            <w:instrText xml:space="preserve"> PAGEREF _Toc20702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2.5.3. 关键绩效指标（KPI）</w:t>
          </w:r>
          <w:r>
            <w:tab/>
          </w:r>
          <w:r>
            <w:fldChar w:fldCharType="begin"/>
          </w:r>
          <w:r>
            <w:instrText xml:space="preserve"> PAGEREF _Toc9822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2.5.4. 主要参与方</w:t>
          </w:r>
          <w:r>
            <w:tab/>
          </w:r>
          <w:r>
            <w:fldChar w:fldCharType="begin"/>
          </w:r>
          <w:r>
            <w:instrText xml:space="preserve"> PAGEREF _Toc25266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 发布管理</w:t>
          </w:r>
          <w:r>
            <w:tab/>
          </w:r>
          <w:r>
            <w:fldChar w:fldCharType="begin"/>
          </w:r>
          <w:r>
            <w:instrText xml:space="preserve"> PAGEREF _Toc6832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2.6.1. 管理范围</w:t>
          </w:r>
          <w:r>
            <w:tab/>
          </w:r>
          <w:r>
            <w:fldChar w:fldCharType="begin"/>
          </w:r>
          <w:r>
            <w:instrText xml:space="preserve"> PAGEREF _Toc376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_Toc24520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2.6.2. 管理目标</w:t>
          </w:r>
          <w:r>
            <w:tab/>
          </w:r>
          <w:r>
            <w:fldChar w:fldCharType="begin"/>
          </w:r>
          <w:r>
            <w:instrText xml:space="preserve"> PAGEREF _Toc24520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_Toc4114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2.6.3. 关键绩效指标（KPI）</w:t>
          </w:r>
          <w:r>
            <w:tab/>
          </w:r>
          <w:r>
            <w:fldChar w:fldCharType="begin"/>
          </w:r>
          <w:r>
            <w:instrText xml:space="preserve"> PAGEREF _Toc4114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2.6.4. 主要参与方</w:t>
          </w:r>
          <w:r>
            <w:tab/>
          </w:r>
          <w:r>
            <w:fldChar w:fldCharType="begin"/>
          </w:r>
          <w:r>
            <w:instrText xml:space="preserve"> PAGEREF _Toc21493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 配置管理</w:t>
          </w:r>
          <w:r>
            <w:tab/>
          </w:r>
          <w:r>
            <w:fldChar w:fldCharType="begin"/>
          </w:r>
          <w:r>
            <w:instrText xml:space="preserve"> PAGEREF _Toc9917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2.7.1. 管理范围</w:t>
          </w:r>
          <w:r>
            <w:tab/>
          </w:r>
          <w:r>
            <w:fldChar w:fldCharType="begin"/>
          </w:r>
          <w:r>
            <w:instrText xml:space="preserve"> PAGEREF _Toc15615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2.7.2. 管理目标</w:t>
          </w:r>
          <w:r>
            <w:tab/>
          </w:r>
          <w:r>
            <w:fldChar w:fldCharType="begin"/>
          </w:r>
          <w:r>
            <w:instrText xml:space="preserve"> PAGEREF _Toc20634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2.7.3. 关键绩效指标（KPI）</w:t>
          </w:r>
          <w:r>
            <w:tab/>
          </w:r>
          <w:r>
            <w:fldChar w:fldCharType="begin"/>
          </w:r>
          <w:r>
            <w:instrText xml:space="preserve"> PAGEREF _Toc19481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_Toc19031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2.7.4. 主要参与方</w:t>
          </w:r>
          <w:r>
            <w:tab/>
          </w:r>
          <w:r>
            <w:fldChar w:fldCharType="begin"/>
          </w:r>
          <w:r>
            <w:instrText xml:space="preserve"> PAGEREF _Toc19031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 可用性和连续性管理</w:t>
          </w:r>
          <w:r>
            <w:tab/>
          </w:r>
          <w:r>
            <w:fldChar w:fldCharType="begin"/>
          </w:r>
          <w:r>
            <w:instrText xml:space="preserve"> PAGEREF _Toc601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2.8.1. 管理范围</w:t>
          </w:r>
          <w:r>
            <w:tab/>
          </w:r>
          <w:r>
            <w:fldChar w:fldCharType="begin"/>
          </w:r>
          <w:r>
            <w:instrText xml:space="preserve"> PAGEREF _Toc29523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2.8.2. 管理目标</w:t>
          </w:r>
          <w:r>
            <w:tab/>
          </w:r>
          <w:r>
            <w:fldChar w:fldCharType="begin"/>
          </w:r>
          <w:r>
            <w:instrText xml:space="preserve"> PAGEREF _Toc468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2.8.3. 关键绩效指标（KPI）</w:t>
          </w:r>
          <w:r>
            <w:tab/>
          </w:r>
          <w:r>
            <w:fldChar w:fldCharType="begin"/>
          </w:r>
          <w:r>
            <w:instrText xml:space="preserve"> PAGEREF _Toc27827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2.8.4. 主要参与方</w:t>
          </w:r>
          <w:r>
            <w:tab/>
          </w:r>
          <w:r>
            <w:fldChar w:fldCharType="begin"/>
          </w:r>
          <w:r>
            <w:instrText xml:space="preserve"> PAGEREF _Toc30941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 容量管理</w:t>
          </w:r>
          <w:r>
            <w:tab/>
          </w:r>
          <w:r>
            <w:fldChar w:fldCharType="begin"/>
          </w:r>
          <w:r>
            <w:instrText xml:space="preserve"> PAGEREF _Toc32318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2.9.1. 管理范围</w:t>
          </w:r>
          <w:r>
            <w:tab/>
          </w:r>
          <w:r>
            <w:fldChar w:fldCharType="begin"/>
          </w:r>
          <w:r>
            <w:instrText xml:space="preserve"> PAGEREF _Toc32754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2.9.2. 管理目标</w:t>
          </w:r>
          <w:r>
            <w:tab/>
          </w:r>
          <w:r>
            <w:fldChar w:fldCharType="begin"/>
          </w:r>
          <w:r>
            <w:instrText xml:space="preserve"> PAGEREF _Toc22267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2.9.3. 关键绩效指标（KPI）</w:t>
          </w:r>
          <w:r>
            <w:tab/>
          </w:r>
          <w:r>
            <w:fldChar w:fldCharType="begin"/>
          </w:r>
          <w:r>
            <w:instrText xml:space="preserve"> PAGEREF _Toc18527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2.9.4. 主要参与方</w:t>
          </w:r>
          <w:r>
            <w:tab/>
          </w:r>
          <w:r>
            <w:fldChar w:fldCharType="begin"/>
          </w:r>
          <w:r>
            <w:instrText xml:space="preserve"> PAGEREF _Toc12264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 信息安全管理</w:t>
          </w:r>
          <w:r>
            <w:tab/>
          </w:r>
          <w:r>
            <w:fldChar w:fldCharType="begin"/>
          </w:r>
          <w:r>
            <w:instrText xml:space="preserve"> PAGEREF _Toc10396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2.10.1. 管理范围</w:t>
          </w:r>
          <w:r>
            <w:tab/>
          </w:r>
          <w:r>
            <w:fldChar w:fldCharType="begin"/>
          </w:r>
          <w:r>
            <w:instrText xml:space="preserve"> PAGEREF _Toc18757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2.10.2. 管理目标</w:t>
          </w:r>
          <w:r>
            <w:tab/>
          </w:r>
          <w:r>
            <w:fldChar w:fldCharType="begin"/>
          </w:r>
          <w:r>
            <w:instrText xml:space="preserve"> PAGEREF _Toc15597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2.10.3. 关键绩效指标（KPI）</w:t>
          </w:r>
          <w:r>
            <w:tab/>
          </w:r>
          <w:r>
            <w:fldChar w:fldCharType="begin"/>
          </w:r>
          <w:r>
            <w:instrText xml:space="preserve"> PAGEREF _Toc16191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2.10.4. 主要参与方</w:t>
          </w:r>
          <w:r>
            <w:tab/>
          </w:r>
          <w:r>
            <w:fldChar w:fldCharType="begin"/>
          </w:r>
          <w:r>
            <w:instrText xml:space="preserve"> PAGEREF _Toc17881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18312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bidi w:val="0"/>
      </w:pPr>
      <w:r>
        <w:t>为进一步明确服务过程所涉及的运维服务管理要求，运维部与人力资源、技术、质量、市场等相关方开展了多轮调研与沟通，在充分收集并整合各方意见的基础上，形成本文件，用以指导后续过程框架的设计与优化，确保其全面贴合运维服务各相关方的实际需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8884"/>
      <w:r>
        <w:rPr>
          <w:rFonts w:hint="eastAsia"/>
          <w:lang w:val="en-US" w:eastAsia="zh-CN"/>
        </w:rPr>
        <w:t>具体内容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1208"/>
      <w:r>
        <w:rPr>
          <w:rFonts w:hint="default"/>
          <w:lang w:val="en-US" w:eastAsia="zh-CN"/>
        </w:rPr>
        <w:t>服务级别管理</w:t>
      </w:r>
      <w:bookmarkEnd w:id="5"/>
    </w:p>
    <w:p>
      <w:pPr>
        <w:pStyle w:val="3"/>
        <w:bidi w:val="0"/>
        <w:rPr>
          <w:rFonts w:hint="default"/>
          <w:lang w:val="en-US" w:eastAsia="zh-CN"/>
        </w:rPr>
      </w:pPr>
      <w:bookmarkStart w:id="6" w:name="_Toc27057"/>
      <w:r>
        <w:rPr>
          <w:rFonts w:hint="default"/>
          <w:lang w:val="en-US" w:eastAsia="zh-CN"/>
        </w:rPr>
        <w:t>管理范围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涵盖公司相关产品及支持软件，从客户运维服务需求受理、方案提供、服务级别协议（SLA）签订到SLA实施与监控的全生命周期管理。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7" w:name="_Toc10907"/>
      <w:r>
        <w:rPr>
          <w:rFonts w:hint="default"/>
          <w:lang w:val="en-US" w:eastAsia="zh-CN"/>
        </w:rPr>
        <w:t>管理目标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确保所管理的服务与组织级服务目录保持一致，新增或变更的服务需经相关方评估后方可发布。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明确管理流程及各角色在流程中的职责。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通过工具化手段确保SLA有效落地，实时掌握SLA达成情况，并能及时处理异常。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17514"/>
      <w:r>
        <w:rPr>
          <w:rFonts w:hint="default"/>
          <w:lang w:val="en-US" w:eastAsia="zh-CN"/>
        </w:rPr>
        <w:t>关键绩效指标（KPI）</w:t>
      </w:r>
      <w:bookmarkEnd w:id="8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9" w:name="_Toc23175"/>
      <w:r>
        <w:rPr>
          <w:rFonts w:hint="default"/>
          <w:lang w:val="en-US" w:eastAsia="zh-CN"/>
        </w:rPr>
        <w:t>主要参与方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质量部、运维部。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6898"/>
      <w:r>
        <w:rPr>
          <w:rFonts w:hint="default"/>
          <w:lang w:val="en-US" w:eastAsia="zh-CN"/>
        </w:rPr>
        <w:t>服务报告管理</w:t>
      </w:r>
      <w:bookmarkEnd w:id="10"/>
    </w:p>
    <w:p>
      <w:pPr>
        <w:pStyle w:val="3"/>
        <w:bidi w:val="0"/>
        <w:rPr>
          <w:rFonts w:hint="default"/>
          <w:lang w:val="en-US" w:eastAsia="zh-CN"/>
        </w:rPr>
      </w:pPr>
      <w:bookmarkStart w:id="11" w:name="_Toc20685"/>
      <w:r>
        <w:rPr>
          <w:rFonts w:hint="default"/>
          <w:lang w:val="en-US" w:eastAsia="zh-CN"/>
        </w:rPr>
        <w:t>管理范围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管理运维项目中产生的各类服务报告，包括但不限于各类技术方案、阶段性总结报告、验收汇报等文档。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19620"/>
      <w:r>
        <w:rPr>
          <w:rFonts w:hint="default"/>
          <w:lang w:val="en-US" w:eastAsia="zh-CN"/>
        </w:rPr>
        <w:t>管理目标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确保输出的各类文件材料符合质量要求、公司业务布局以及客户的实际需求。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14503"/>
      <w:r>
        <w:rPr>
          <w:rFonts w:hint="default"/>
          <w:lang w:val="en-US" w:eastAsia="zh-CN"/>
        </w:rPr>
        <w:t>关键绩效指标（KPI）</w:t>
      </w:r>
      <w:bookmarkEnd w:id="13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3448"/>
      <w:r>
        <w:rPr>
          <w:rFonts w:hint="default"/>
          <w:lang w:val="en-US" w:eastAsia="zh-CN"/>
        </w:rPr>
        <w:t>要参与方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质量部、运维部。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4101"/>
      <w:r>
        <w:rPr>
          <w:rFonts w:hint="default"/>
          <w:lang w:val="en-US" w:eastAsia="zh-CN"/>
        </w:rPr>
        <w:t>事件管理</w:t>
      </w:r>
      <w:bookmarkEnd w:id="15"/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29102"/>
      <w:r>
        <w:rPr>
          <w:rFonts w:hint="default"/>
          <w:lang w:val="en-US" w:eastAsia="zh-CN"/>
        </w:rPr>
        <w:t>管理范围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对客户日常的服务请求、技术咨询、技术支持等各类服务需求进行管控，并依据SLA约定提供服务。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3476"/>
      <w:r>
        <w:rPr>
          <w:rFonts w:hint="default"/>
          <w:lang w:val="en-US" w:eastAsia="zh-CN"/>
        </w:rPr>
        <w:t>管理目标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确保事件能在最短时间内得到解决，满足公司与客户约定的SLA要求。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16594"/>
      <w:r>
        <w:rPr>
          <w:rFonts w:hint="default"/>
          <w:lang w:val="en-US" w:eastAsia="zh-CN"/>
        </w:rPr>
        <w:t>关键绩效指标（KPI）</w:t>
      </w:r>
      <w:bookmarkEnd w:id="18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13048"/>
      <w:r>
        <w:rPr>
          <w:rFonts w:hint="default"/>
          <w:lang w:val="en-US" w:eastAsia="zh-CN"/>
        </w:rPr>
        <w:t>主要参与方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5849"/>
      <w:r>
        <w:rPr>
          <w:rFonts w:hint="default"/>
          <w:lang w:val="en-US" w:eastAsia="zh-CN"/>
        </w:rPr>
        <w:t>问题管理</w:t>
      </w:r>
      <w:bookmarkEnd w:id="20"/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25193"/>
      <w:r>
        <w:rPr>
          <w:rFonts w:hint="default"/>
          <w:lang w:val="en-US" w:eastAsia="zh-CN"/>
        </w:rPr>
        <w:t>管理范围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包括重复发生的事件、影响范围重大的事件以及产品缺陷等。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26508"/>
      <w:r>
        <w:rPr>
          <w:rFonts w:hint="default"/>
          <w:lang w:val="en-US" w:eastAsia="zh-CN"/>
        </w:rPr>
        <w:t>管理目标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从根本上识别和消除导致事件发生的潜在原因，防止故障复发，从而提升系统的可用性、连续性及容量保障能力。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3" w:name="_Toc30812"/>
      <w:r>
        <w:rPr>
          <w:rFonts w:hint="default"/>
          <w:lang w:val="en-US" w:eastAsia="zh-CN"/>
        </w:rPr>
        <w:t>关键绩效指标（KPI）</w:t>
      </w:r>
      <w:bookmarkEnd w:id="23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4" w:name="_Toc7729"/>
      <w:r>
        <w:rPr>
          <w:rFonts w:hint="default"/>
          <w:lang w:val="en-US" w:eastAsia="zh-CN"/>
        </w:rPr>
        <w:t>主要参与方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14614"/>
      <w:r>
        <w:rPr>
          <w:rFonts w:hint="default"/>
          <w:lang w:val="en-US" w:eastAsia="zh-CN"/>
        </w:rPr>
        <w:t>变更管理</w:t>
      </w:r>
      <w:bookmarkEnd w:id="25"/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7321"/>
      <w:r>
        <w:rPr>
          <w:rFonts w:hint="default"/>
          <w:lang w:val="en-US" w:eastAsia="zh-CN"/>
        </w:rPr>
        <w:t>管理范围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管理客户业务系统生产环境的所有变更。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7" w:name="_Toc20702"/>
      <w:r>
        <w:rPr>
          <w:rFonts w:hint="default"/>
          <w:lang w:val="en-US" w:eastAsia="zh-CN"/>
        </w:rPr>
        <w:t>管理目标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从业务和技术两个维度对变更进行评估与审批，最大程度降低变更对生产环境稳定性的影响。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9822"/>
      <w:r>
        <w:rPr>
          <w:rFonts w:hint="default"/>
          <w:lang w:val="en-US" w:eastAsia="zh-CN"/>
        </w:rPr>
        <w:t>关键绩效指标（KPI）</w:t>
      </w:r>
      <w:bookmarkEnd w:id="28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9" w:name="_Toc25266"/>
      <w:r>
        <w:rPr>
          <w:rFonts w:hint="default"/>
          <w:lang w:val="en-US" w:eastAsia="zh-CN"/>
        </w:rPr>
        <w:t>主要参与方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6832"/>
      <w:r>
        <w:rPr>
          <w:rFonts w:hint="default"/>
          <w:lang w:val="en-US" w:eastAsia="zh-CN"/>
        </w:rPr>
        <w:t>发布管理</w:t>
      </w:r>
      <w:bookmarkEnd w:id="30"/>
    </w:p>
    <w:p>
      <w:pPr>
        <w:pStyle w:val="3"/>
        <w:bidi w:val="0"/>
        <w:rPr>
          <w:rFonts w:hint="default"/>
          <w:lang w:val="en-US" w:eastAsia="zh-CN"/>
        </w:rPr>
      </w:pPr>
      <w:bookmarkStart w:id="31" w:name="_Toc376"/>
      <w:r>
        <w:rPr>
          <w:rFonts w:hint="default"/>
          <w:lang w:val="en-US" w:eastAsia="zh-CN"/>
        </w:rPr>
        <w:t>管理范围</w:t>
      </w:r>
      <w:bookmarkEnd w:id="3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管理软件导入生产环境的全过程。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24520"/>
      <w:r>
        <w:rPr>
          <w:rFonts w:hint="default"/>
          <w:lang w:val="en-US" w:eastAsia="zh-CN"/>
        </w:rPr>
        <w:t>管理目标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确保只有经过正确测试与验证的软件才能被部署到实际运行环境，保障发布过程的安全可靠。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4114"/>
      <w:r>
        <w:rPr>
          <w:rFonts w:hint="default"/>
          <w:lang w:val="en-US" w:eastAsia="zh-CN"/>
        </w:rPr>
        <w:t>关键绩效指标（KPI）</w:t>
      </w:r>
      <w:bookmarkEnd w:id="33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21493"/>
      <w:r>
        <w:rPr>
          <w:rFonts w:hint="default"/>
          <w:lang w:val="en-US" w:eastAsia="zh-CN"/>
        </w:rPr>
        <w:t>主要参与方</w:t>
      </w:r>
      <w:bookmarkEnd w:id="3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9917"/>
      <w:r>
        <w:rPr>
          <w:rFonts w:hint="default"/>
          <w:lang w:val="en-US" w:eastAsia="zh-CN"/>
        </w:rPr>
        <w:t>配置管理</w:t>
      </w:r>
      <w:bookmarkEnd w:id="35"/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15615"/>
      <w:r>
        <w:rPr>
          <w:rFonts w:hint="default"/>
          <w:lang w:val="en-US" w:eastAsia="zh-CN"/>
        </w:rPr>
        <w:t>管理范围</w:t>
      </w:r>
      <w:bookmarkEnd w:id="3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涵盖客户业务系统生产环境中的应用软件配置项。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7" w:name="_Toc20634"/>
      <w:r>
        <w:rPr>
          <w:rFonts w:hint="default"/>
          <w:lang w:val="en-US" w:eastAsia="zh-CN"/>
        </w:rPr>
        <w:t>管理目标</w:t>
      </w:r>
      <w:bookmarkEnd w:id="3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确保所有配置项及其相互关系得到及时、准确的记录与维护，从而真实反映生产环境的实时状态。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8" w:name="_Toc19481"/>
      <w:r>
        <w:rPr>
          <w:rFonts w:hint="default"/>
          <w:lang w:val="en-US" w:eastAsia="zh-CN"/>
        </w:rPr>
        <w:t>关键绩效指标（KPI）</w:t>
      </w:r>
      <w:bookmarkEnd w:id="38"/>
    </w:p>
    <w:tbl>
      <w:tblPr>
        <w:tblStyle w:val="TableNormal0"/>
        <w:tblW w:w="7614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>
        <w:tblPrEx>
          <w:tblW w:w="7614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/>
        </w:trPr>
        <w:tc>
          <w:tcPr>
            <w:tcW w:w="1557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>
        <w:tblPrEx>
          <w:tblW w:w="7614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261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130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39" w:name="_Toc19031"/>
      <w:r>
        <w:rPr>
          <w:rFonts w:hint="default"/>
          <w:lang w:val="en-US" w:eastAsia="zh-CN"/>
        </w:rPr>
        <w:t>主要参与方</w:t>
      </w:r>
      <w:bookmarkEnd w:id="3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0" w:name="_Toc601"/>
      <w:r>
        <w:rPr>
          <w:rFonts w:hint="default"/>
          <w:lang w:val="en-US" w:eastAsia="zh-CN"/>
        </w:rPr>
        <w:t>可用性和连续性管理</w:t>
      </w:r>
      <w:bookmarkEnd w:id="40"/>
    </w:p>
    <w:p>
      <w:pPr>
        <w:pStyle w:val="3"/>
        <w:bidi w:val="0"/>
        <w:rPr>
          <w:rFonts w:hint="default"/>
          <w:lang w:val="en-US" w:eastAsia="zh-CN"/>
        </w:rPr>
      </w:pPr>
      <w:bookmarkStart w:id="41" w:name="_Toc29523"/>
      <w:r>
        <w:rPr>
          <w:rFonts w:hint="default"/>
          <w:lang w:val="en-US" w:eastAsia="zh-CN"/>
        </w:rPr>
        <w:t>管理范围</w:t>
      </w:r>
      <w:bookmarkEnd w:id="4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针对客户业务因系统故障、不可抗力等因素可能发生的中断风险进行管理。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2" w:name="_Toc468"/>
      <w:r>
        <w:rPr>
          <w:rFonts w:hint="default"/>
          <w:lang w:val="en-US" w:eastAsia="zh-CN"/>
        </w:rPr>
        <w:t>管理目标</w:t>
      </w:r>
      <w:bookmarkEnd w:id="4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建立符合成本效益且能实现业务快速恢复的管理措施，在业务发生中断或遭遇重大灾害时，最大程度降低客户损失。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3" w:name="_Toc27827"/>
      <w:r>
        <w:rPr>
          <w:rFonts w:hint="default"/>
          <w:lang w:val="en-US" w:eastAsia="zh-CN"/>
        </w:rPr>
        <w:t>关键绩效指标（KPI）</w:t>
      </w:r>
      <w:bookmarkEnd w:id="43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rPr>
          <w:rFonts w:hint="default"/>
          <w:lang w:val="en-US" w:eastAsia="zh-CN"/>
        </w:rPr>
      </w:pPr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649"/>
        <w:gridCol w:w="1316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649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316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264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1316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264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316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44" w:name="_Toc30941"/>
      <w:r>
        <w:rPr>
          <w:rFonts w:hint="default"/>
          <w:lang w:val="en-US" w:eastAsia="zh-CN"/>
        </w:rPr>
        <w:t>主要参与方</w:t>
      </w:r>
      <w:bookmarkEnd w:id="4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32318"/>
      <w:r>
        <w:rPr>
          <w:rFonts w:hint="default"/>
          <w:lang w:val="en-US" w:eastAsia="zh-CN"/>
        </w:rPr>
        <w:t>容量管理</w:t>
      </w:r>
      <w:bookmarkEnd w:id="45"/>
    </w:p>
    <w:p>
      <w:pPr>
        <w:pStyle w:val="3"/>
        <w:bidi w:val="0"/>
        <w:rPr>
          <w:rFonts w:hint="default"/>
          <w:lang w:val="en-US" w:eastAsia="zh-CN"/>
        </w:rPr>
      </w:pPr>
      <w:bookmarkStart w:id="46" w:name="_Toc32754"/>
      <w:r>
        <w:rPr>
          <w:rFonts w:hint="default"/>
          <w:lang w:val="en-US" w:eastAsia="zh-CN"/>
        </w:rPr>
        <w:t>管理范围</w:t>
      </w:r>
      <w:bookmarkEnd w:id="4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管理客户业务系统的容量规划与性能。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7" w:name="_Toc22267"/>
      <w:r>
        <w:rPr>
          <w:rFonts w:hint="default"/>
          <w:lang w:val="en-US" w:eastAsia="zh-CN"/>
        </w:rPr>
        <w:t>管理目标</w:t>
      </w:r>
      <w:bookmarkEnd w:id="4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识别并消除容量风险，确保所提供的服务能满足SLA约定，并保障客户业务系统性能满足业务发展需求。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8" w:name="_Toc18527"/>
      <w:r>
        <w:rPr>
          <w:rFonts w:hint="default"/>
          <w:lang w:val="en-US" w:eastAsia="zh-CN"/>
        </w:rPr>
        <w:t>关键绩效指标（KPI）</w:t>
      </w:r>
      <w:bookmarkEnd w:id="48"/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2733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232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49" w:name="_Toc12264"/>
      <w:r>
        <w:rPr>
          <w:rFonts w:hint="default"/>
          <w:lang w:val="en-US" w:eastAsia="zh-CN"/>
        </w:rPr>
        <w:t>主要参与方</w:t>
      </w:r>
      <w:bookmarkEnd w:id="4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运维部、质量部。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10396"/>
      <w:r>
        <w:rPr>
          <w:rFonts w:hint="default"/>
          <w:lang w:val="en-US" w:eastAsia="zh-CN"/>
        </w:rPr>
        <w:t>信息安全管理</w:t>
      </w:r>
      <w:bookmarkEnd w:id="50"/>
    </w:p>
    <w:p>
      <w:pPr>
        <w:pStyle w:val="3"/>
        <w:bidi w:val="0"/>
        <w:rPr>
          <w:rFonts w:hint="default"/>
          <w:lang w:val="en-US" w:eastAsia="zh-CN"/>
        </w:rPr>
      </w:pPr>
      <w:bookmarkStart w:id="51" w:name="_Toc18757"/>
      <w:r>
        <w:rPr>
          <w:rFonts w:hint="default"/>
          <w:lang w:val="en-US" w:eastAsia="zh-CN"/>
        </w:rPr>
        <w:t>管理范围</w:t>
      </w:r>
      <w:bookmarkEnd w:id="5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针对运维服务全过程相关的信息安全活动。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2" w:name="_Toc15597"/>
      <w:r>
        <w:rPr>
          <w:rFonts w:hint="default"/>
          <w:lang w:val="en-US" w:eastAsia="zh-CN"/>
        </w:rPr>
        <w:t>管理目标</w:t>
      </w:r>
      <w:bookmarkEnd w:id="5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通过规范的管理，识别、评估并合理应对运维服务中的各类信息安全风险，降低其可能造成的影响。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3" w:name="_Toc16191"/>
      <w:r>
        <w:rPr>
          <w:rFonts w:hint="default"/>
          <w:lang w:val="en-US" w:eastAsia="zh-CN"/>
        </w:rPr>
        <w:t>关键绩效指标（KPI）</w:t>
      </w:r>
      <w:bookmarkEnd w:id="53"/>
    </w:p>
    <w:tbl>
      <w:tblPr>
        <w:tblStyle w:val="TableNormal0"/>
        <w:tblW w:w="68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>
        <w:tblPrEx>
          <w:tblW w:w="68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</w:trPr>
        <w:tc>
          <w:tcPr>
            <w:tcW w:w="1557" w:type="dxa"/>
          </w:tcPr>
          <w:p>
            <w:pPr>
              <w:pStyle w:val="TableText"/>
              <w:spacing w:before="205" w:line="220" w:lineRule="auto"/>
              <w:ind w:left="328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>
            <w:pPr>
              <w:pStyle w:val="TableText"/>
              <w:spacing w:before="205" w:line="220" w:lineRule="auto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>
            <w:pPr>
              <w:pStyle w:val="TableText"/>
              <w:spacing w:before="205" w:line="220" w:lineRule="auto"/>
              <w:ind w:left="321" w:leftChars="0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TableText"/>
              <w:spacing w:before="230" w:line="238" w:lineRule="auto"/>
              <w:ind w:left="436" w:leftChars="0"/>
              <w:rPr>
                <w:rFonts w:eastAsia="宋体" w:hint="eastAsia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68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</w:trPr>
        <w:tc>
          <w:tcPr>
            <w:tcW w:w="1557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2733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232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279" w:type="dxa"/>
            <w:shd w:val="clear" w:color="auto" w:fill="auto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54" w:name="_Toc17881"/>
      <w:r>
        <w:rPr>
          <w:rFonts w:hint="default"/>
          <w:lang w:val="en-US" w:eastAsia="zh-CN"/>
        </w:rPr>
        <w:t>主要参与方</w:t>
      </w:r>
      <w:bookmarkEnd w:id="5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及其他相关部门。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2201</Words>
  <Characters>2607</Characters>
  <Application>Microsoft Office Word</Application>
  <DocSecurity>0</DocSecurity>
  <Lines>0</Lines>
  <Paragraphs>0</Paragraphs>
  <ScaleCrop>false</ScaleCrop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