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7240"/>
      <w:r>
        <w:drawing>
          <wp:anchor distT="0" distB="0" distL="114300" distR="114300" simplePos="0" relativeHeight="251659264"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xmlns:r="http://schemas.openxmlformats.org/officeDocument/2006/relationships" r:embed="rId4"/>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8240"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xmlns:r="http://schemas.openxmlformats.org/officeDocument/2006/relationships" r:embed="rId5">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重庆市鹧鸪哨信息技术有限责任公司</w:t>
      </w:r>
      <w:bookmarkEnd w:id="0"/>
    </w:p>
    <w:p>
      <w:pPr>
        <w:pStyle w:val="a0"/>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21796"/>
      <w:r>
        <w:rPr>
          <w:rFonts w:hint="eastAsia"/>
          <w:lang w:val="en-US" w:eastAsia="zh-CN"/>
        </w:rPr>
        <w:t>运维服务工具管理制度</w:t>
      </w:r>
      <w:bookmarkEnd w:id="1"/>
    </w:p>
    <w:p>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right="0" w:firstLine="0" w:leftChars="0" w:rightChars="0" w:firstLineChars="0"/>
        <w:jc w:val="center"/>
        <w:textAlignment w:val="baseline"/>
        <w:rPr>
          <w:rFonts w:ascii="宋体" w:eastAsia="宋体" w:hAnsi="宋体" w:cs="宋体" w:hint="default"/>
          <w:sz w:val="24"/>
          <w:szCs w:val="24"/>
          <w:lang w:val="en-US" w:eastAsia="zh-CN"/>
        </w:rPr>
      </w:pPr>
      <w:r>
        <w:rPr>
          <w:rFonts w:ascii="宋体" w:eastAsia="宋体" w:hAnsi="宋体" w:cs="宋体"/>
          <w:b/>
          <w:bCs/>
          <w:spacing w:val="-3"/>
          <w:sz w:val="24"/>
          <w:szCs w:val="24"/>
        </w:rPr>
        <w:t>文件编号：ZGS-08-01</w:t>
      </w:r>
    </w:p>
    <w:tbl>
      <w:tblPr>
        <w:tblStyle w:val="TableGrid"/>
        <w:tblW w:w="0" w:type="auto"/>
        <w:jc w:val="center"/>
        <w:tblBorders>
          <w:top w:val="nil"/>
          <w:left w:val="nil"/>
          <w:bottom w:val="nil"/>
          <w:right w:val="nil"/>
          <w:insideH w:val="nil"/>
          <w:insideV w:val="nil"/>
        </w:tblBorders>
        <w:tblCellMar>
          <w:top w:w="0" w:type="dxa"/>
          <w:left w:w="108" w:type="dxa"/>
          <w:bottom w:w="0" w:type="dxa"/>
          <w:right w:w="108" w:type="dxa"/>
        </w:tblCellMar>
      </w:tblPr>
      <w:tblGrid>
        <w:gridCol w:w="2432"/>
        <w:gridCol w:w="2708"/>
      </w:tblGrid>
      <w:tr>
        <w:tblPrEx>
          <w:tblW w:w="0" w:type="auto"/>
          <w:jc w:val="center"/>
          <w:tblBorders>
            <w:top w:val="nil"/>
            <w:left w:val="nil"/>
            <w:bottom w:val="nil"/>
            <w:right w:val="nil"/>
            <w:insideH w:val="nil"/>
            <w:insideV w:val="nil"/>
          </w:tblBorders>
          <w:tblCellMar>
            <w:top w:w="0" w:type="dxa"/>
            <w:left w:w="108" w:type="dxa"/>
            <w:bottom w:w="0" w:type="dxa"/>
            <w:right w:w="108" w:type="dxa"/>
          </w:tblCellMar>
        </w:tblPrEx>
        <w:trPr>
          <w:trHeight w:val="810"/>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运维部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810"/>
          <w:jc w:val="center"/>
        </w:trPr>
        <w:tc>
          <w:tcPr>
            <w:tcW w:w="2432"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asciiTheme="minorAscii" w:eastAsiaTheme="minorEastAsia" w:hAnsiTheme="minorAscii" w:hint="default"/>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pPr>
              <w:keepNext w:val="0"/>
              <w:keepLines w:val="0"/>
              <w:pageBreakBefore w:val="0"/>
              <w:widowControl w:val="0"/>
              <w:kinsoku w:val="0"/>
              <w:wordWrap/>
              <w:overflowPunct/>
              <w:autoSpaceDE w:val="0"/>
              <w:autoSpaceDN w:val="0"/>
              <w:bidi w:val="0"/>
              <w:adjustRightInd w:val="0"/>
              <w:snapToGrid w:val="0"/>
              <w:textAlignment w:val="baseline"/>
              <w:rPr>
                <w:rFonts w:ascii="Arial" w:eastAsia="Arial" w:hAnsi="Arial" w:cs="Arial" w:hint="default"/>
                <w:snapToGrid w:val="0"/>
                <w:color w:val="000000"/>
                <w:kern w:val="0"/>
                <w:sz w:val="21"/>
                <w:szCs w:val="21"/>
                <w:vertAlign w:val="baseline"/>
                <w:lang w:val="en-US" w:eastAsia="zh-CN" w:bidi="ar-SA"/>
              </w:rPr>
            </w:pPr>
            <w:r>
              <w:rPr>
                <w:rFonts w:hint="eastAsia"/>
                <w:vertAlign w:val="baseline"/>
                <w:lang w:val="en-US" w:eastAsia="zh-CN"/>
              </w:rPr>
              <w:t>审核</w:t>
            </w:r>
            <w:bookmarkStart w:id="2" w:name="_GoBack"/>
            <w:bookmarkEnd w:id="2"/>
            <w:r>
              <w:rPr>
                <w:rFonts w:hint="eastAsia"/>
                <w:vertAlign w:val="baseline"/>
                <w:lang w:val="en-US" w:eastAsia="zh-CN"/>
              </w:rPr>
              <w:t>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r>
        <w:tblPrEx>
          <w:tblW w:w="0" w:type="auto"/>
          <w:jc w:val="center"/>
          <w:tblCellMar>
            <w:top w:w="0" w:type="dxa"/>
            <w:left w:w="108" w:type="dxa"/>
            <w:bottom w:w="0" w:type="dxa"/>
            <w:right w:w="108" w:type="dxa"/>
          </w:tblCellMar>
        </w:tblPrEx>
        <w:trPr>
          <w:trHeight w:val="635"/>
          <w:jc w:val="center"/>
        </w:trPr>
        <w:tc>
          <w:tcPr>
            <w:tcW w:w="2432"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批准人:宋海滨</w:t>
            </w:r>
          </w:p>
        </w:tc>
        <w:tc>
          <w:tcPr>
            <w:tcW w:w="2708" w:type="dxa"/>
          </w:tcPr>
          <w:p>
            <w:pPr>
              <w:keepNext w:val="0"/>
              <w:keepLines w:val="0"/>
              <w:pageBreakBefore w:val="0"/>
              <w:widowControl w:val="0"/>
              <w:kinsoku w:val="0"/>
              <w:wordWrap/>
              <w:overflowPunct/>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2025.01.10</w:t>
            </w: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p>
      <w:pPr>
        <w:keepNext w:val="0"/>
        <w:keepLines w:val="0"/>
        <w:pageBreakBefore w:val="0"/>
        <w:widowControl w:val="0"/>
        <w:kinsoku w:val="0"/>
        <w:wordWrap/>
        <w:overflowPunct/>
        <w:autoSpaceDE w:val="0"/>
        <w:autoSpaceDN w:val="0"/>
        <w:bidi w:val="0"/>
        <w:adjustRightInd w:val="0"/>
        <w:snapToGrid w:val="0"/>
        <w:spacing w:before="153" w:line="225" w:lineRule="auto"/>
        <w:ind w:left="3634"/>
        <w:textAlignment w:val="baseline"/>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2689"/>
        <w:gridCol w:w="919"/>
        <w:gridCol w:w="2289"/>
        <w:gridCol w:w="1240"/>
      </w:tblGrid>
      <w:tr>
        <w:tblPrEx>
          <w:tblW w:w="7137" w:type="dxa"/>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jc w:val="center"/>
        </w:trPr>
        <w:tc>
          <w:tcPr>
            <w:tcW w:w="2689" w:type="dxa"/>
          </w:tcPr>
          <w:p>
            <w:pPr>
              <w:keepNext w:val="0"/>
              <w:keepLines w:val="0"/>
              <w:pageBreakBefore w:val="0"/>
              <w:widowControl w:val="0"/>
              <w:kinsoku w:val="0"/>
              <w:wordWrap/>
              <w:overflowPunct/>
              <w:autoSpaceDE w:val="0"/>
              <w:autoSpaceDN w:val="0"/>
              <w:bidi w:val="0"/>
              <w:adjustRightInd w:val="0"/>
              <w:snapToGrid w:val="0"/>
              <w:spacing w:before="176"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14"/>
                <w:sz w:val="20"/>
                <w:szCs w:val="20"/>
              </w:rPr>
              <w:t>日期</w:t>
            </w:r>
          </w:p>
        </w:tc>
        <w:tc>
          <w:tcPr>
            <w:tcW w:w="919" w:type="dxa"/>
          </w:tcPr>
          <w:p>
            <w:pPr>
              <w:keepNext w:val="0"/>
              <w:keepLines w:val="0"/>
              <w:pageBreakBefore w:val="0"/>
              <w:widowControl w:val="0"/>
              <w:kinsoku w:val="0"/>
              <w:wordWrap/>
              <w:overflowPunct/>
              <w:autoSpaceDE w:val="0"/>
              <w:autoSpaceDN w:val="0"/>
              <w:bidi w:val="0"/>
              <w:adjustRightInd w:val="0"/>
              <w:snapToGrid w:val="0"/>
              <w:spacing w:before="175" w:line="227"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sz w:val="20"/>
                <w:szCs w:val="20"/>
              </w:rPr>
              <w:t>版本</w:t>
            </w:r>
          </w:p>
        </w:tc>
        <w:tc>
          <w:tcPr>
            <w:tcW w:w="2289" w:type="dxa"/>
          </w:tcPr>
          <w:p>
            <w:pPr>
              <w:keepNext w:val="0"/>
              <w:keepLines w:val="0"/>
              <w:pageBreakBefore w:val="0"/>
              <w:widowControl w:val="0"/>
              <w:kinsoku w:val="0"/>
              <w:wordWrap/>
              <w:overflowPunct/>
              <w:autoSpaceDE w:val="0"/>
              <w:autoSpaceDN w:val="0"/>
              <w:bidi w:val="0"/>
              <w:adjustRightInd w:val="0"/>
              <w:snapToGrid w:val="0"/>
              <w:spacing w:before="175"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变更说明</w:t>
            </w:r>
          </w:p>
        </w:tc>
        <w:tc>
          <w:tcPr>
            <w:tcW w:w="1240" w:type="dxa"/>
          </w:tcPr>
          <w:p>
            <w:pPr>
              <w:keepNext w:val="0"/>
              <w:keepLines w:val="0"/>
              <w:pageBreakBefore w:val="0"/>
              <w:widowControl w:val="0"/>
              <w:kinsoku w:val="0"/>
              <w:wordWrap/>
              <w:overflowPunct/>
              <w:autoSpaceDE w:val="0"/>
              <w:autoSpaceDN w:val="0"/>
              <w:bidi w:val="0"/>
              <w:adjustRightInd w:val="0"/>
              <w:snapToGrid w:val="0"/>
              <w:spacing w:before="176" w:line="229"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批准人</w:t>
            </w:r>
          </w:p>
        </w:tc>
      </w:tr>
      <w:tr>
        <w:tblPrEx>
          <w:tblW w:w="7137" w:type="dxa"/>
          <w:jc w:val="center"/>
          <w:tblLayout w:type="fixed"/>
          <w:tblCellMar>
            <w:top w:w="0" w:type="dxa"/>
            <w:left w:w="0" w:type="dxa"/>
            <w:bottom w:w="0" w:type="dxa"/>
            <w:right w:w="0" w:type="dxa"/>
          </w:tblCellMar>
        </w:tblPrEx>
        <w:trPr>
          <w:trHeight w:val="516"/>
          <w:jc w:val="center"/>
        </w:trPr>
        <w:tc>
          <w:tcPr>
            <w:tcW w:w="2689"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hint="default"/>
                <w:sz w:val="20"/>
                <w:szCs w:val="20"/>
                <w:lang w:val="en-US" w:eastAsia="zh-CN"/>
              </w:rPr>
            </w:pPr>
            <w:r>
              <w:rPr>
                <w:rFonts w:ascii="宋体" w:eastAsia="宋体" w:hAnsi="宋体" w:cs="宋体"/>
                <w:spacing w:val="3"/>
                <w:position w:val="1"/>
                <w:sz w:val="20"/>
                <w:szCs w:val="20"/>
              </w:rPr>
              <w:t>2025.01.</w:t>
            </w:r>
            <w:r>
              <w:rPr>
                <w:rFonts w:ascii="宋体" w:hAnsi="宋体" w:cs="宋体" w:hint="eastAsia"/>
                <w:spacing w:val="3"/>
                <w:position w:val="1"/>
                <w:sz w:val="20"/>
                <w:szCs w:val="20"/>
                <w:lang w:val="en-US" w:eastAsia="zh-CN"/>
              </w:rPr>
              <w:t>10</w:t>
            </w:r>
          </w:p>
        </w:tc>
        <w:tc>
          <w:tcPr>
            <w:tcW w:w="919" w:type="dxa"/>
          </w:tcPr>
          <w:p>
            <w:pPr>
              <w:keepNext w:val="0"/>
              <w:keepLines w:val="0"/>
              <w:pageBreakBefore w:val="0"/>
              <w:widowControl w:val="0"/>
              <w:kinsoku w:val="0"/>
              <w:wordWrap/>
              <w:overflowPunct/>
              <w:autoSpaceDE w:val="0"/>
              <w:autoSpaceDN w:val="0"/>
              <w:bidi w:val="0"/>
              <w:adjustRightInd w:val="0"/>
              <w:snapToGrid w:val="0"/>
              <w:spacing w:before="173" w:line="267" w:lineRule="exact"/>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keepNext w:val="0"/>
              <w:keepLines w:val="0"/>
              <w:pageBreakBefore w:val="0"/>
              <w:widowControl w:val="0"/>
              <w:kinsoku w:val="0"/>
              <w:wordWrap/>
              <w:overflowPunct/>
              <w:autoSpaceDE w:val="0"/>
              <w:autoSpaceDN w:val="0"/>
              <w:bidi w:val="0"/>
              <w:adjustRightInd w:val="0"/>
              <w:snapToGrid w:val="0"/>
              <w:spacing w:before="172" w:line="228" w:lineRule="auto"/>
              <w:ind w:left="0" w:right="0" w:firstLine="0" w:leftChars="0" w:rightChars="0" w:firstLineChars="0"/>
              <w:jc w:val="center"/>
              <w:textAlignment w:val="baseline"/>
              <w:rPr>
                <w:rFonts w:ascii="宋体" w:eastAsia="宋体" w:hAnsi="宋体" w:cs="宋体"/>
                <w:sz w:val="20"/>
                <w:szCs w:val="20"/>
              </w:rPr>
            </w:pPr>
            <w:r>
              <w:rPr>
                <w:rFonts w:ascii="宋体" w:eastAsia="宋体" w:hAnsi="宋体" w:cs="宋体"/>
                <w:spacing w:val="7"/>
                <w:sz w:val="20"/>
                <w:szCs w:val="20"/>
              </w:rPr>
              <w:t>新建</w:t>
            </w:r>
          </w:p>
        </w:tc>
        <w:tc>
          <w:tcPr>
            <w:tcW w:w="1240" w:type="dxa"/>
          </w:tcPr>
          <w:p>
            <w:pPr>
              <w:keepNext w:val="0"/>
              <w:keepLines w:val="0"/>
              <w:pageBreakBefore w:val="0"/>
              <w:widowControl w:val="0"/>
              <w:kinsoku w:val="0"/>
              <w:wordWrap/>
              <w:overflowPunct/>
              <w:autoSpaceDE w:val="0"/>
              <w:autoSpaceDN w:val="0"/>
              <w:bidi w:val="0"/>
              <w:adjustRightInd w:val="0"/>
              <w:snapToGrid w:val="0"/>
              <w:spacing w:before="173" w:line="229" w:lineRule="auto"/>
              <w:ind w:left="0" w:right="0" w:firstLine="0" w:leftChars="0" w:rightChars="0" w:firstLineChars="0"/>
              <w:jc w:val="center"/>
              <w:textAlignment w:val="baseline"/>
              <w:rPr>
                <w:rFonts w:ascii="宋体" w:eastAsia="宋体" w:hAnsi="宋体" w:cs="宋体"/>
                <w:sz w:val="20"/>
                <w:szCs w:val="20"/>
              </w:rPr>
            </w:pPr>
            <w:r>
              <w:rPr>
                <w:rFonts w:hint="eastAsia"/>
                <w:lang w:val="en-US" w:eastAsia="zh-CN"/>
              </w:rPr>
              <w:t>宋海滨</w:t>
            </w: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6"/>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r>
        <w:tblPrEx>
          <w:tblW w:w="7137" w:type="dxa"/>
          <w:jc w:val="center"/>
          <w:tblLayout w:type="fixed"/>
          <w:tblCellMar>
            <w:top w:w="0" w:type="dxa"/>
            <w:left w:w="0" w:type="dxa"/>
            <w:bottom w:w="0" w:type="dxa"/>
            <w:right w:w="0" w:type="dxa"/>
          </w:tblCellMar>
        </w:tblPrEx>
        <w:trPr>
          <w:trHeight w:val="557"/>
          <w:jc w:val="center"/>
        </w:trPr>
        <w:tc>
          <w:tcPr>
            <w:tcW w:w="26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91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2289"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c>
          <w:tcPr>
            <w:tcW w:w="1240" w:type="dxa"/>
          </w:tcPr>
          <w:p>
            <w:pPr>
              <w:pStyle w:val="TableText"/>
              <w:keepNext w:val="0"/>
              <w:keepLines w:val="0"/>
              <w:pageBreakBefore w:val="0"/>
              <w:widowControl w:val="0"/>
              <w:kinsoku w:val="0"/>
              <w:wordWrap/>
              <w:overflowPunct/>
              <w:autoSpaceDE w:val="0"/>
              <w:autoSpaceDN w:val="0"/>
              <w:bidi w:val="0"/>
              <w:adjustRightInd w:val="0"/>
              <w:snapToGrid w:val="0"/>
              <w:ind w:left="0" w:right="0" w:firstLine="0" w:leftChars="0" w:rightChars="0" w:firstLineChars="0"/>
              <w:jc w:val="center"/>
              <w:textAlignment w:val="baseline"/>
            </w:pPr>
          </w:p>
        </w:tc>
      </w:tr>
    </w:tbl>
    <w:p>
      <w:pPr>
        <w:keepNext w:val="0"/>
        <w:keepLines w:val="0"/>
        <w:pageBreakBefore w:val="0"/>
        <w:widowControl w:val="0"/>
        <w:kinsoku w:val="0"/>
        <w:wordWrap/>
        <w:overflowPunct/>
        <w:autoSpaceDE w:val="0"/>
        <w:autoSpaceDN w:val="0"/>
        <w:bidi w:val="0"/>
        <w:adjustRightInd w:val="0"/>
        <w:snapToGrid w:val="0"/>
        <w:textAlignment w:val="baseline"/>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kinsoku w:val="0"/>
            <w:wordWrap/>
            <w:overflowPunct/>
            <w:autoSpaceDE w:val="0"/>
            <w:autoSpaceDN w:val="0"/>
            <w:bidi w:val="0"/>
            <w:adjustRightInd w:val="0"/>
            <w:snapToGrid w:val="0"/>
            <w:spacing w:before="0" w:beforeLines="0" w:after="0" w:afterLines="0" w:line="240" w:lineRule="auto"/>
            <w:ind w:left="0" w:right="0" w:firstLine="0" w:leftChars="0" w:rightChars="0" w:firstLineChars="0"/>
            <w:jc w:val="center"/>
            <w:textAlignment w:val="baseline"/>
            <w:rPr>
              <w:rFonts w:ascii="宋体" w:eastAsia="宋体" w:hAnsi="宋体" w:cs="宋体" w:hint="eastAsia"/>
              <w:sz w:val="24"/>
              <w:szCs w:val="24"/>
            </w:rPr>
          </w:pPr>
          <w:r>
            <w:rPr>
              <w:rFonts w:ascii="宋体" w:eastAsia="宋体" w:hAnsi="宋体" w:cs="宋体" w:hint="eastAsia"/>
              <w:sz w:val="24"/>
              <w:szCs w:val="24"/>
            </w:rPr>
            <w:t>目录</w:t>
          </w:r>
        </w:p>
        <w:p>
          <w:pPr>
            <w:pStyle w:val="TOC1"/>
            <w:tabs>
              <w:tab w:val="right" w:leader="dot" w:pos="8306"/>
            </w:tabs>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_Toc7240 </w:instrText>
          </w:r>
          <w:r>
            <w:rPr>
              <w:rFonts w:ascii="宋体" w:eastAsia="宋体" w:hAnsi="宋体" w:cs="宋体" w:hint="eastAsia"/>
              <w:szCs w:val="24"/>
            </w:rPr>
            <w:fldChar w:fldCharType="separate"/>
          </w:r>
          <w:r>
            <w:rPr>
              <w:rFonts w:hint="eastAsia"/>
              <w:lang w:val="en-US" w:eastAsia="zh-CN"/>
            </w:rPr>
            <w:t>重庆市鹧鸪哨信息技术有限责任公司</w:t>
          </w:r>
          <w:r>
            <w:tab/>
          </w:r>
          <w:r>
            <w:fldChar w:fldCharType="begin"/>
          </w:r>
          <w:r>
            <w:instrText xml:space="preserve"> PAGEREF _Toc7240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_Toc21796 </w:instrText>
          </w:r>
          <w:r>
            <w:rPr>
              <w:rFonts w:ascii="宋体" w:eastAsia="宋体" w:hAnsi="宋体" w:cs="宋体" w:hint="eastAsia"/>
              <w:szCs w:val="24"/>
            </w:rPr>
            <w:fldChar w:fldCharType="separate"/>
          </w:r>
          <w:r>
            <w:rPr>
              <w:rFonts w:hint="eastAsia"/>
              <w:lang w:val="en-US" w:eastAsia="zh-CN"/>
            </w:rPr>
            <w:t>运维服务工具管理制度</w:t>
          </w:r>
          <w:r>
            <w:tab/>
          </w:r>
          <w:r>
            <w:fldChar w:fldCharType="begin"/>
          </w:r>
          <w:r>
            <w:instrText xml:space="preserve"> PAGEREF _Toc21796 \h </w:instrText>
          </w:r>
          <w:r>
            <w:fldChar w:fldCharType="separate"/>
          </w:r>
          <w:r>
            <w:t>1</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_Toc28490 </w:instrText>
          </w:r>
          <w:r>
            <w:rPr>
              <w:rFonts w:ascii="宋体" w:eastAsia="宋体" w:hAnsi="宋体" w:cs="宋体" w:hint="eastAsia"/>
              <w:szCs w:val="24"/>
            </w:rPr>
            <w:fldChar w:fldCharType="separate"/>
          </w:r>
          <w:r>
            <w:rPr>
              <w:rFonts w:hint="default"/>
            </w:rPr>
            <w:t xml:space="preserve">1. </w:t>
          </w:r>
          <w:r>
            <w:rPr>
              <w:rFonts w:hint="eastAsia"/>
              <w:lang w:val="en-US" w:eastAsia="zh-CN"/>
            </w:rPr>
            <w:t>总则</w:t>
          </w:r>
          <w:r>
            <w:tab/>
          </w:r>
          <w:r>
            <w:fldChar w:fldCharType="begin"/>
          </w:r>
          <w:r>
            <w:instrText xml:space="preserve"> PAGEREF _Toc28490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_Toc1628 </w:instrText>
          </w:r>
          <w:r>
            <w:rPr>
              <w:rFonts w:ascii="宋体" w:eastAsia="宋体" w:hAnsi="宋体" w:cs="宋体" w:hint="eastAsia"/>
              <w:szCs w:val="24"/>
            </w:rPr>
            <w:fldChar w:fldCharType="separate"/>
          </w:r>
          <w:r>
            <w:rPr>
              <w:rFonts w:hint="default"/>
              <w:lang w:val="en-US" w:eastAsia="zh-CN"/>
            </w:rPr>
            <w:t xml:space="preserve">1.1. </w:t>
          </w:r>
          <w:r>
            <w:rPr>
              <w:rFonts w:hint="eastAsia"/>
              <w:lang w:val="en-US" w:eastAsia="zh-CN"/>
            </w:rPr>
            <w:t>目的</w:t>
          </w:r>
          <w:r>
            <w:tab/>
          </w:r>
          <w:r>
            <w:fldChar w:fldCharType="begin"/>
          </w:r>
          <w:r>
            <w:instrText xml:space="preserve"> PAGEREF _Toc1628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_Toc13705 </w:instrText>
          </w:r>
          <w:r>
            <w:rPr>
              <w:rFonts w:ascii="宋体" w:eastAsia="宋体" w:hAnsi="宋体" w:cs="宋体" w:hint="eastAsia"/>
              <w:szCs w:val="24"/>
            </w:rPr>
            <w:fldChar w:fldCharType="separate"/>
          </w:r>
          <w:r>
            <w:rPr>
              <w:rFonts w:hint="default"/>
              <w:lang w:val="en-US" w:eastAsia="zh-CN"/>
            </w:rPr>
            <w:t xml:space="preserve">1.2. </w:t>
          </w:r>
          <w:r>
            <w:rPr>
              <w:rFonts w:hint="eastAsia"/>
              <w:lang w:val="en-US" w:eastAsia="zh-CN"/>
            </w:rPr>
            <w:t>适用范围</w:t>
          </w:r>
          <w:r>
            <w:tab/>
          </w:r>
          <w:r>
            <w:fldChar w:fldCharType="begin"/>
          </w:r>
          <w:r>
            <w:instrText xml:space="preserve"> PAGEREF _Toc13705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_Toc7177 </w:instrText>
          </w:r>
          <w:r>
            <w:rPr>
              <w:rFonts w:ascii="宋体" w:eastAsia="宋体" w:hAnsi="宋体" w:cs="宋体" w:hint="eastAsia"/>
              <w:szCs w:val="24"/>
            </w:rPr>
            <w:fldChar w:fldCharType="separate"/>
          </w:r>
          <w:r>
            <w:rPr>
              <w:rFonts w:hint="default"/>
              <w:lang w:val="en-US" w:eastAsia="zh-CN"/>
            </w:rPr>
            <w:t xml:space="preserve">1.3. </w:t>
          </w:r>
          <w:r>
            <w:rPr>
              <w:rFonts w:hint="eastAsia"/>
              <w:lang w:val="en-US" w:eastAsia="zh-CN"/>
            </w:rPr>
            <w:t>原则</w:t>
          </w:r>
          <w:r>
            <w:tab/>
          </w:r>
          <w:r>
            <w:fldChar w:fldCharType="begin"/>
          </w:r>
          <w:r>
            <w:instrText xml:space="preserve"> PAGEREF _Toc7177 \h </w:instrText>
          </w:r>
          <w:r>
            <w:fldChar w:fldCharType="separate"/>
          </w:r>
          <w:r>
            <w:t>4</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_Toc22751 </w:instrText>
          </w:r>
          <w:r>
            <w:rPr>
              <w:rFonts w:ascii="宋体" w:eastAsia="宋体" w:hAnsi="宋体" w:cs="宋体" w:hint="eastAsia"/>
              <w:szCs w:val="24"/>
            </w:rPr>
            <w:fldChar w:fldCharType="separate"/>
          </w:r>
          <w:r>
            <w:rPr>
              <w:rFonts w:hint="default"/>
              <w:lang w:val="en-US" w:eastAsia="zh-CN"/>
            </w:rPr>
            <w:t xml:space="preserve">1.4. </w:t>
          </w:r>
          <w:r>
            <w:rPr>
              <w:rFonts w:hint="eastAsia"/>
              <w:lang w:val="en-US" w:eastAsia="zh-CN"/>
            </w:rPr>
            <w:t>岗位职责</w:t>
          </w:r>
          <w:r>
            <w:tab/>
          </w:r>
          <w:r>
            <w:fldChar w:fldCharType="begin"/>
          </w:r>
          <w:r>
            <w:instrText xml:space="preserve"> PAGEREF _Toc22751 \h </w:instrText>
          </w:r>
          <w:r>
            <w:fldChar w:fldCharType="separate"/>
          </w:r>
          <w:r>
            <w:t>4</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_Toc11273 </w:instrText>
          </w:r>
          <w:r>
            <w:rPr>
              <w:rFonts w:ascii="宋体" w:eastAsia="宋体" w:hAnsi="宋体" w:cs="宋体" w:hint="eastAsia"/>
              <w:szCs w:val="24"/>
            </w:rPr>
            <w:fldChar w:fldCharType="separate"/>
          </w:r>
          <w:r>
            <w:rPr>
              <w:rFonts w:hint="default"/>
              <w:lang w:val="en-US" w:eastAsia="zh-CN"/>
            </w:rPr>
            <w:t>1.4.1. 运维部</w:t>
          </w:r>
          <w:r>
            <w:tab/>
          </w:r>
          <w:r>
            <w:fldChar w:fldCharType="begin"/>
          </w:r>
          <w:r>
            <w:instrText xml:space="preserve"> PAGEREF _Toc11273 \h </w:instrText>
          </w:r>
          <w:r>
            <w:fldChar w:fldCharType="separate"/>
          </w:r>
          <w:r>
            <w:t>4</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_Toc17784 </w:instrText>
          </w:r>
          <w:r>
            <w:rPr>
              <w:rFonts w:ascii="宋体" w:eastAsia="宋体" w:hAnsi="宋体" w:cs="宋体" w:hint="eastAsia"/>
              <w:szCs w:val="24"/>
            </w:rPr>
            <w:fldChar w:fldCharType="separate"/>
          </w:r>
          <w:r>
            <w:rPr>
              <w:rFonts w:hint="default"/>
              <w:lang w:val="en-US" w:eastAsia="zh-CN"/>
            </w:rPr>
            <w:t>1.4.2. 数据部</w:t>
          </w:r>
          <w:r>
            <w:tab/>
          </w:r>
          <w:r>
            <w:fldChar w:fldCharType="begin"/>
          </w:r>
          <w:r>
            <w:instrText xml:space="preserve"> PAGEREF _Toc17784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_Toc28817 </w:instrText>
          </w:r>
          <w:r>
            <w:rPr>
              <w:rFonts w:ascii="宋体" w:eastAsia="宋体" w:hAnsi="宋体" w:cs="宋体" w:hint="eastAsia"/>
              <w:szCs w:val="24"/>
            </w:rPr>
            <w:fldChar w:fldCharType="separate"/>
          </w:r>
          <w:r>
            <w:rPr>
              <w:rFonts w:hint="default"/>
              <w:lang w:val="en-US" w:eastAsia="zh-CN"/>
            </w:rPr>
            <w:t>1.4.3. 市场部</w:t>
          </w:r>
          <w:r>
            <w:tab/>
          </w:r>
          <w:r>
            <w:fldChar w:fldCharType="begin"/>
          </w:r>
          <w:r>
            <w:instrText xml:space="preserve"> PAGEREF _Toc28817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_Toc14473 </w:instrText>
          </w:r>
          <w:r>
            <w:rPr>
              <w:rFonts w:ascii="宋体" w:eastAsia="宋体" w:hAnsi="宋体" w:cs="宋体" w:hint="eastAsia"/>
              <w:szCs w:val="24"/>
            </w:rPr>
            <w:fldChar w:fldCharType="separate"/>
          </w:r>
          <w:r>
            <w:rPr>
              <w:rFonts w:hint="default"/>
              <w:lang w:val="en-US" w:eastAsia="zh-CN"/>
            </w:rPr>
            <w:t>1.4.4. 研发部</w:t>
          </w:r>
          <w:r>
            <w:tab/>
          </w:r>
          <w:r>
            <w:fldChar w:fldCharType="begin"/>
          </w:r>
          <w:r>
            <w:instrText xml:space="preserve"> PAGEREF _Toc14473 \h </w:instrText>
          </w:r>
          <w:r>
            <w:fldChar w:fldCharType="separate"/>
          </w:r>
          <w:r>
            <w:t>5</w:t>
          </w:r>
          <w:r>
            <w:fldChar w:fldCharType="end"/>
          </w:r>
          <w:r>
            <w:rPr>
              <w:rFonts w:ascii="宋体" w:eastAsia="宋体" w:hAnsi="宋体" w:cs="宋体" w:hint="eastAsia"/>
              <w:szCs w:val="24"/>
            </w:rPr>
            <w:fldChar w:fldCharType="end"/>
          </w:r>
        </w:p>
        <w:p>
          <w:pPr>
            <w:pStyle w:val="TOC3"/>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_Toc13966 </w:instrText>
          </w:r>
          <w:r>
            <w:rPr>
              <w:rFonts w:ascii="宋体" w:eastAsia="宋体" w:hAnsi="宋体" w:cs="宋体" w:hint="eastAsia"/>
              <w:szCs w:val="24"/>
            </w:rPr>
            <w:fldChar w:fldCharType="separate"/>
          </w:r>
          <w:r>
            <w:rPr>
              <w:rFonts w:hint="default"/>
              <w:lang w:val="en-US" w:eastAsia="zh-CN"/>
            </w:rPr>
            <w:t xml:space="preserve">1.4.5. </w:t>
          </w:r>
          <w:r>
            <w:rPr>
              <w:rFonts w:hint="eastAsia"/>
              <w:lang w:val="en-US" w:eastAsia="zh-CN"/>
            </w:rPr>
            <w:t>行政部</w:t>
          </w:r>
          <w:r>
            <w:tab/>
          </w:r>
          <w:r>
            <w:fldChar w:fldCharType="begin"/>
          </w:r>
          <w:r>
            <w:instrText xml:space="preserve"> PAGEREF _Toc13966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_Toc26021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引用依据</w:t>
          </w:r>
          <w:r>
            <w:tab/>
          </w:r>
          <w:r>
            <w:fldChar w:fldCharType="begin"/>
          </w:r>
          <w:r>
            <w:instrText xml:space="preserve"> PAGEREF _Toc26021 \h </w:instrText>
          </w:r>
          <w:r>
            <w:fldChar w:fldCharType="separate"/>
          </w:r>
          <w:r>
            <w:t>5</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_Toc7198 </w:instrText>
          </w:r>
          <w:r>
            <w:rPr>
              <w:rFonts w:ascii="宋体" w:eastAsia="宋体" w:hAnsi="宋体" w:cs="宋体" w:hint="eastAsia"/>
              <w:szCs w:val="24"/>
            </w:rPr>
            <w:fldChar w:fldCharType="separate"/>
          </w:r>
          <w:r>
            <w:rPr>
              <w:rFonts w:hint="default"/>
            </w:rPr>
            <w:t xml:space="preserve">3. </w:t>
          </w:r>
          <w:r>
            <w:rPr>
              <w:rFonts w:hint="eastAsia"/>
              <w:lang w:val="en-US" w:eastAsia="zh-CN"/>
            </w:rPr>
            <w:t>定义与术语</w:t>
          </w:r>
          <w:r>
            <w:tab/>
          </w:r>
          <w:r>
            <w:fldChar w:fldCharType="begin"/>
          </w:r>
          <w:r>
            <w:instrText xml:space="preserve"> PAGEREF _Toc7198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_Toc12264 </w:instrText>
          </w:r>
          <w:r>
            <w:rPr>
              <w:rFonts w:ascii="宋体" w:eastAsia="宋体" w:hAnsi="宋体" w:cs="宋体" w:hint="eastAsia"/>
              <w:szCs w:val="24"/>
            </w:rPr>
            <w:fldChar w:fldCharType="separate"/>
          </w:r>
          <w:r>
            <w:rPr>
              <w:rFonts w:hint="default"/>
            </w:rPr>
            <w:t xml:space="preserve">3.1. </w:t>
          </w:r>
          <w:r>
            <w:rPr>
              <w:rFonts w:hint="eastAsia"/>
            </w:rPr>
            <w:t>运维工具</w:t>
          </w:r>
          <w:r>
            <w:tab/>
          </w:r>
          <w:r>
            <w:fldChar w:fldCharType="begin"/>
          </w:r>
          <w:r>
            <w:instrText xml:space="preserve"> PAGEREF _Toc12264 \h </w:instrText>
          </w:r>
          <w:r>
            <w:fldChar w:fldCharType="separate"/>
          </w:r>
          <w:r>
            <w:t>5</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_Toc1944 </w:instrText>
          </w:r>
          <w:r>
            <w:rPr>
              <w:rFonts w:ascii="宋体" w:eastAsia="宋体" w:hAnsi="宋体" w:cs="宋体" w:hint="eastAsia"/>
              <w:szCs w:val="24"/>
            </w:rPr>
            <w:fldChar w:fldCharType="separate"/>
          </w:r>
          <w:r>
            <w:rPr>
              <w:rFonts w:hint="default"/>
            </w:rPr>
            <w:t xml:space="preserve">3.2. </w:t>
          </w:r>
          <w:r>
            <w:rPr>
              <w:rFonts w:hint="eastAsia"/>
            </w:rPr>
            <w:t>过程管理工具</w:t>
          </w:r>
          <w:r>
            <w:tab/>
          </w:r>
          <w:r>
            <w:fldChar w:fldCharType="begin"/>
          </w:r>
          <w:r>
            <w:instrText xml:space="preserve"> PAGEREF _Toc1944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_Toc23889 </w:instrText>
          </w:r>
          <w:r>
            <w:rPr>
              <w:rFonts w:ascii="宋体" w:eastAsia="宋体" w:hAnsi="宋体" w:cs="宋体" w:hint="eastAsia"/>
              <w:szCs w:val="24"/>
            </w:rPr>
            <w:fldChar w:fldCharType="separate"/>
          </w:r>
          <w:r>
            <w:rPr>
              <w:rFonts w:hint="default"/>
            </w:rPr>
            <w:t xml:space="preserve">3.3. </w:t>
          </w:r>
          <w:r>
            <w:rPr>
              <w:rFonts w:hint="eastAsia"/>
            </w:rPr>
            <w:t>监控工具</w:t>
          </w:r>
          <w:r>
            <w:tab/>
          </w:r>
          <w:r>
            <w:fldChar w:fldCharType="begin"/>
          </w:r>
          <w:r>
            <w:instrText xml:space="preserve"> PAGEREF _Toc23889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_Toc17400 </w:instrText>
          </w:r>
          <w:r>
            <w:rPr>
              <w:rFonts w:ascii="宋体" w:eastAsia="宋体" w:hAnsi="宋体" w:cs="宋体" w:hint="eastAsia"/>
              <w:szCs w:val="24"/>
            </w:rPr>
            <w:fldChar w:fldCharType="separate"/>
          </w:r>
          <w:r>
            <w:rPr>
              <w:rFonts w:hint="default"/>
            </w:rPr>
            <w:t xml:space="preserve">3.4. </w:t>
          </w:r>
          <w:r>
            <w:rPr>
              <w:rFonts w:hint="eastAsia"/>
            </w:rPr>
            <w:t>工具全生命周期</w:t>
          </w:r>
          <w:r>
            <w:tab/>
          </w:r>
          <w:r>
            <w:fldChar w:fldCharType="begin"/>
          </w:r>
          <w:r>
            <w:instrText xml:space="preserve"> PAGEREF _Toc17400 \h </w:instrText>
          </w:r>
          <w:r>
            <w:fldChar w:fldCharType="separate"/>
          </w:r>
          <w:r>
            <w:t>6</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_Toc7676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管理内容与要求</w:t>
          </w:r>
          <w:r>
            <w:tab/>
          </w:r>
          <w:r>
            <w:fldChar w:fldCharType="begin"/>
          </w:r>
          <w:r>
            <w:instrText xml:space="preserve"> PAGEREF _Toc7676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_Toc21945 </w:instrText>
          </w:r>
          <w:r>
            <w:rPr>
              <w:rFonts w:ascii="宋体" w:eastAsia="宋体" w:hAnsi="宋体" w:cs="宋体" w:hint="eastAsia"/>
              <w:szCs w:val="24"/>
            </w:rPr>
            <w:fldChar w:fldCharType="separate"/>
          </w:r>
          <w:r>
            <w:rPr>
              <w:rFonts w:hint="default"/>
              <w:lang w:val="en-US" w:eastAsia="zh-CN"/>
            </w:rPr>
            <w:t>4.1. 工具分类</w:t>
          </w:r>
          <w:r>
            <w:tab/>
          </w:r>
          <w:r>
            <w:fldChar w:fldCharType="begin"/>
          </w:r>
          <w:r>
            <w:instrText xml:space="preserve"> PAGEREF _Toc21945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_Toc19995 </w:instrText>
          </w:r>
          <w:r>
            <w:rPr>
              <w:rFonts w:ascii="宋体" w:eastAsia="宋体" w:hAnsi="宋体" w:cs="宋体" w:hint="eastAsia"/>
              <w:szCs w:val="24"/>
            </w:rPr>
            <w:fldChar w:fldCharType="separate"/>
          </w:r>
          <w:r>
            <w:rPr>
              <w:rFonts w:hint="default"/>
              <w:lang w:val="en-US" w:eastAsia="zh-CN"/>
            </w:rPr>
            <w:t>4.2. 需求管理</w:t>
          </w:r>
          <w:r>
            <w:tab/>
          </w:r>
          <w:r>
            <w:fldChar w:fldCharType="begin"/>
          </w:r>
          <w:r>
            <w:instrText xml:space="preserve"> PAGEREF _Toc19995 \h </w:instrText>
          </w:r>
          <w:r>
            <w:fldChar w:fldCharType="separate"/>
          </w:r>
          <w:r>
            <w:t>6</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_Toc29528 </w:instrText>
          </w:r>
          <w:r>
            <w:rPr>
              <w:rFonts w:ascii="宋体" w:eastAsia="宋体" w:hAnsi="宋体" w:cs="宋体" w:hint="eastAsia"/>
              <w:szCs w:val="24"/>
            </w:rPr>
            <w:fldChar w:fldCharType="separate"/>
          </w:r>
          <w:r>
            <w:rPr>
              <w:rFonts w:hint="default"/>
              <w:lang w:val="en-US" w:eastAsia="zh-CN"/>
            </w:rPr>
            <w:t>4.3. 试用与发布</w:t>
          </w:r>
          <w:r>
            <w:tab/>
          </w:r>
          <w:r>
            <w:fldChar w:fldCharType="begin"/>
          </w:r>
          <w:r>
            <w:instrText xml:space="preserve"> PAGEREF _Toc29528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_Toc20711 </w:instrText>
          </w:r>
          <w:r>
            <w:rPr>
              <w:rFonts w:ascii="宋体" w:eastAsia="宋体" w:hAnsi="宋体" w:cs="宋体" w:hint="eastAsia"/>
              <w:szCs w:val="24"/>
            </w:rPr>
            <w:fldChar w:fldCharType="separate"/>
          </w:r>
          <w:r>
            <w:rPr>
              <w:rFonts w:hint="default"/>
              <w:lang w:val="en-US" w:eastAsia="zh-CN"/>
            </w:rPr>
            <w:t>4.4. 清单与授权管理</w:t>
          </w:r>
          <w:r>
            <w:tab/>
          </w:r>
          <w:r>
            <w:fldChar w:fldCharType="begin"/>
          </w:r>
          <w:r>
            <w:instrText xml:space="preserve"> PAGEREF _Toc20711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_Toc10007 </w:instrText>
          </w:r>
          <w:r>
            <w:rPr>
              <w:rFonts w:ascii="宋体" w:eastAsia="宋体" w:hAnsi="宋体" w:cs="宋体" w:hint="eastAsia"/>
              <w:szCs w:val="24"/>
            </w:rPr>
            <w:fldChar w:fldCharType="separate"/>
          </w:r>
          <w:r>
            <w:rPr>
              <w:rFonts w:hint="default"/>
              <w:lang w:val="en-US" w:eastAsia="zh-CN"/>
            </w:rPr>
            <w:t>4.5. 跟踪控制与持续改进</w:t>
          </w:r>
          <w:r>
            <w:tab/>
          </w:r>
          <w:r>
            <w:fldChar w:fldCharType="begin"/>
          </w:r>
          <w:r>
            <w:instrText xml:space="preserve"> PAGEREF _Toc10007 \h </w:instrText>
          </w:r>
          <w:r>
            <w:fldChar w:fldCharType="separate"/>
          </w:r>
          <w:r>
            <w:t>7</w:t>
          </w:r>
          <w:r>
            <w:fldChar w:fldCharType="end"/>
          </w:r>
          <w:r>
            <w:rPr>
              <w:rFonts w:ascii="宋体" w:eastAsia="宋体" w:hAnsi="宋体" w:cs="宋体" w:hint="eastAsia"/>
              <w:szCs w:val="24"/>
            </w:rPr>
            <w:fldChar w:fldCharType="end"/>
          </w:r>
        </w:p>
        <w:p>
          <w:pPr>
            <w:pStyle w:val="TOC2"/>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_Toc5084 </w:instrText>
          </w:r>
          <w:r>
            <w:rPr>
              <w:rFonts w:ascii="宋体" w:eastAsia="宋体" w:hAnsi="宋体" w:cs="宋体" w:hint="eastAsia"/>
              <w:szCs w:val="24"/>
            </w:rPr>
            <w:fldChar w:fldCharType="separate"/>
          </w:r>
          <w:r>
            <w:rPr>
              <w:rFonts w:hint="default"/>
              <w:lang w:val="en-US" w:eastAsia="zh-CN"/>
            </w:rPr>
            <w:t xml:space="preserve">4.6. </w:t>
          </w:r>
          <w:r>
            <w:rPr>
              <w:rFonts w:hint="eastAsia"/>
              <w:lang w:val="en-US" w:eastAsia="zh-CN"/>
            </w:rPr>
            <w:t>考核指标</w:t>
          </w:r>
          <w:r>
            <w:tab/>
          </w:r>
          <w:r>
            <w:fldChar w:fldCharType="begin"/>
          </w:r>
          <w:r>
            <w:instrText xml:space="preserve"> PAGEREF _Toc5084 \h </w:instrText>
          </w:r>
          <w:r>
            <w:fldChar w:fldCharType="separate"/>
          </w:r>
          <w:r>
            <w:t>8</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_Toc3007 </w:instrText>
          </w:r>
          <w:r>
            <w:rPr>
              <w:rFonts w:ascii="宋体" w:eastAsia="宋体" w:hAnsi="宋体" w:cs="宋体" w:hint="eastAsia"/>
              <w:szCs w:val="24"/>
            </w:rPr>
            <w:fldChar w:fldCharType="separate"/>
          </w:r>
          <w:r>
            <w:rPr>
              <w:rFonts w:eastAsia="宋体" w:hint="default"/>
              <w:lang w:val="en-US" w:eastAsia="zh-CN"/>
            </w:rPr>
            <w:t xml:space="preserve">5. </w:t>
          </w:r>
          <w:r>
            <w:rPr>
              <w:rFonts w:eastAsia="宋体" w:hint="eastAsia"/>
              <w:lang w:val="en-US" w:eastAsia="zh-CN"/>
            </w:rPr>
            <w:t>附则</w:t>
          </w:r>
          <w:r>
            <w:tab/>
          </w:r>
          <w:r>
            <w:fldChar w:fldCharType="begin"/>
          </w:r>
          <w:r>
            <w:instrText xml:space="preserve"> PAGEREF _Toc3007 \h </w:instrText>
          </w:r>
          <w:r>
            <w:fldChar w:fldCharType="separate"/>
          </w:r>
          <w:r>
            <w:t>8</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_Toc1268 </w:instrText>
          </w:r>
          <w:r>
            <w:rPr>
              <w:rFonts w:ascii="宋体" w:eastAsia="宋体" w:hAnsi="宋体" w:cs="宋体" w:hint="eastAsia"/>
              <w:szCs w:val="24"/>
            </w:rPr>
            <w:fldChar w:fldCharType="separate"/>
          </w:r>
          <w:r>
            <w:rPr>
              <w:rFonts w:hint="default"/>
              <w:lang w:val="en-US" w:eastAsia="zh-CN"/>
            </w:rPr>
            <w:t xml:space="preserve">6. </w:t>
          </w:r>
          <w:r>
            <w:rPr>
              <w:rFonts w:hint="eastAsia"/>
              <w:lang w:val="en-US" w:eastAsia="zh-CN"/>
            </w:rPr>
            <w:t>附件</w:t>
          </w:r>
          <w:r>
            <w:tab/>
          </w:r>
          <w:r>
            <w:fldChar w:fldCharType="begin"/>
          </w:r>
          <w:r>
            <w:instrText xml:space="preserve"> PAGEREF _Toc1268 \h </w:instrText>
          </w:r>
          <w:r>
            <w:fldChar w:fldCharType="separate"/>
          </w:r>
          <w:r>
            <w:t>8</w:t>
          </w:r>
          <w:r>
            <w:fldChar w:fldCharType="end"/>
          </w:r>
          <w:r>
            <w:rPr>
              <w:rFonts w:ascii="宋体" w:eastAsia="宋体" w:hAnsi="宋体" w:cs="宋体" w:hint="eastAsia"/>
              <w:szCs w:val="24"/>
            </w:rPr>
            <w:fldChar w:fldCharType="end"/>
          </w:r>
        </w:p>
        <w:p>
          <w:pPr>
            <w:pStyle w:val="TOC1"/>
            <w:tabs>
              <w:tab w:val="right" w:leader="dot" w:pos="8306"/>
            </w:tabs>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_Toc25702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记录</w:t>
          </w:r>
          <w:r>
            <w:tab/>
          </w:r>
          <w:r>
            <w:fldChar w:fldCharType="begin"/>
          </w:r>
          <w:r>
            <w:instrText xml:space="preserve"> PAGEREF _Toc25702 \h </w:instrText>
          </w:r>
          <w:r>
            <w:fldChar w:fldCharType="separate"/>
          </w:r>
          <w:r>
            <w:t>8</w:t>
          </w:r>
          <w:r>
            <w:fldChar w:fldCharType="end"/>
          </w:r>
          <w:r>
            <w:rPr>
              <w:rFonts w:ascii="宋体" w:eastAsia="宋体" w:hAnsi="宋体" w:cs="宋体" w:hint="eastAsia"/>
              <w:szCs w:val="24"/>
            </w:rPr>
            <w:fldChar w:fldCharType="end"/>
          </w:r>
        </w:p>
        <w:p>
          <w:pPr>
            <w:keepNext w:val="0"/>
            <w:keepLines w:val="0"/>
            <w:pageBreakBefore w:val="0"/>
            <w:widowControl w:val="0"/>
            <w:kinsoku w:val="0"/>
            <w:wordWrap/>
            <w:overflowPunct/>
            <w:autoSpaceDE w:val="0"/>
            <w:autoSpaceDN w:val="0"/>
            <w:bidi w:val="0"/>
            <w:adjustRightInd w:val="0"/>
            <w:snapToGrid w:val="0"/>
            <w:textAlignment w:val="baseline"/>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pStyle w:val="1"/>
        <w:keepNext w:val="0"/>
        <w:keepLines w:val="0"/>
        <w:pageBreakBefore w:val="0"/>
        <w:widowControl w:val="0"/>
        <w:kinsoku w:val="0"/>
        <w:wordWrap/>
        <w:overflowPunct/>
        <w:autoSpaceDE w:val="0"/>
        <w:autoSpaceDN w:val="0"/>
        <w:bidi w:val="0"/>
        <w:adjustRightInd w:val="0"/>
        <w:snapToGrid w:val="0"/>
        <w:textAlignment w:val="baseline"/>
      </w:pPr>
      <w:bookmarkStart w:id="3" w:name="_Toc28490"/>
      <w:r>
        <w:rPr>
          <w:rFonts w:hint="eastAsia"/>
          <w:lang w:val="en-US" w:eastAsia="zh-CN"/>
        </w:rPr>
        <w:t>总则</w:t>
      </w:r>
      <w:bookmarkEnd w:id="3"/>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4" w:name="_Toc1628"/>
      <w:r>
        <w:rPr>
          <w:rFonts w:hint="eastAsia"/>
          <w:lang w:val="en-US" w:eastAsia="zh-CN"/>
        </w:rPr>
        <w:t>目的</w:t>
      </w:r>
      <w:bookmarkEnd w:id="4"/>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为规范公司运维工具的全生命周期管理，明确各相关部门职责，确保运维工具的选型、采购、研发、应用、维护及退役过程受控、高效、安全，有效支撑ITSS三级要求的运维服务能力，特制定本制度。</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5" w:name="_Toc13705"/>
      <w:r>
        <w:rPr>
          <w:rFonts w:hint="eastAsia"/>
          <w:lang w:val="en-US" w:eastAsia="zh-CN"/>
        </w:rPr>
        <w:t>适用范围</w:t>
      </w:r>
      <w:bookmarkEnd w:id="5"/>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适用于公司范围内所有与信息技术运维服务相关的工具管理活动，涉及部门包括但不限于运维部、质量部、采购部、研发部、人力部。管理范围涵盖工具的规划、需求、设计、开发/采购、测试、发布、使用、监控、评估及改进等全过程。</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6" w:name="_Toc7177"/>
      <w:r>
        <w:rPr>
          <w:rFonts w:hint="eastAsia"/>
          <w:lang w:val="en-US" w:eastAsia="zh-CN"/>
        </w:rPr>
        <w:t>原则</w:t>
      </w:r>
      <w:bookmarkEnd w:id="6"/>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统一规划原则：运维工具的建设与应用应在公司整体战略和运维体系规划下统一进行，避免重复投资和信息孤岛。</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业务匹配原则：工具的选择与开发应紧密贴合运维业务需求，确保工具能有效提升服务效率与质量。</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安全可控原则：所有运维工具必须符合公司信息安全与保密规定，关键工具应实现自主可控或具备可靠的供应链保障。</w:t>
      </w:r>
    </w:p>
    <w:p>
      <w:pPr>
        <w:pStyle w:val="a1"/>
        <w:keepNext w:val="0"/>
        <w:keepLines w:val="0"/>
        <w:pageBreakBefore w:val="0"/>
        <w:widowControl w:val="0"/>
        <w:numPr>
          <w:ilvl w:val="0"/>
          <w:numId w:val="2"/>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持续改进原则：定期评估工具应用效果，基于数据和反馈持续优化工具功能与性能，形成管理闭环。</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7" w:name="_Toc22751"/>
      <w:r>
        <w:rPr>
          <w:rFonts w:hint="eastAsia"/>
          <w:lang w:val="en-US" w:eastAsia="zh-CN"/>
        </w:rPr>
        <w:t>岗位职责</w:t>
      </w:r>
      <w:bookmarkEnd w:id="7"/>
    </w:p>
    <w:p>
      <w:pPr>
        <w:pStyle w:val="3"/>
        <w:bidi w:val="0"/>
        <w:rPr>
          <w:rFonts w:hint="default"/>
          <w:lang w:val="en-US" w:eastAsia="zh-CN"/>
        </w:rPr>
      </w:pPr>
      <w:bookmarkStart w:id="8" w:name="_Toc11273"/>
      <w:r>
        <w:rPr>
          <w:rFonts w:hint="default"/>
          <w:lang w:val="en-US" w:eastAsia="zh-CN"/>
        </w:rPr>
        <w:t>运维部</w:t>
      </w:r>
      <w:bookmarkEnd w:id="8"/>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作为运维工具的归口管理部门，负责组织制定和维护运维工具应用规范。</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负责提出运维工具需求，组织工具试用，收集使用反馈。</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负责维护和发布《运维工具清单》，负责工具的日常使用、记录和常规维护。</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负责组织工具的使用培训，并将工具使用指南纳入知识库。</w:t>
      </w:r>
    </w:p>
    <w:p>
      <w:pPr>
        <w:pStyle w:val="3"/>
        <w:bidi w:val="0"/>
        <w:rPr>
          <w:rFonts w:hint="default"/>
          <w:lang w:val="en-US" w:eastAsia="zh-CN"/>
        </w:rPr>
      </w:pPr>
      <w:bookmarkStart w:id="9" w:name="_Toc17784"/>
      <w:r>
        <w:rPr>
          <w:rFonts w:hint="default"/>
          <w:lang w:val="en-US" w:eastAsia="zh-CN"/>
        </w:rPr>
        <w:t>质量部</w:t>
      </w:r>
      <w:bookmarkEnd w:id="9"/>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负责监督本制度的执行情况，并组织对运维工具应用效果的定期评估。</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负责审核工具管理流程的合规性，确保其符合ITSS等标准体系要求。</w:t>
      </w:r>
    </w:p>
    <w:p>
      <w:pPr>
        <w:pStyle w:val="3"/>
        <w:bidi w:val="0"/>
        <w:rPr>
          <w:rFonts w:hint="default"/>
          <w:lang w:val="en-US" w:eastAsia="zh-CN"/>
        </w:rPr>
      </w:pPr>
      <w:bookmarkStart w:id="10" w:name="_Toc12304"/>
      <w:bookmarkStart w:id="11" w:name="_Toc28817"/>
      <w:r>
        <w:rPr>
          <w:rFonts w:hint="default"/>
          <w:lang w:val="en-US" w:eastAsia="zh-CN"/>
        </w:rPr>
        <w:t>采购部</w:t>
      </w:r>
      <w:bookmarkEnd w:id="10"/>
      <w:bookmarkEnd w:id="11"/>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负责根据经审批的采购需求，执行第三方运维工具的采购流程。</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确保采购合同条款明确工具升级、维保等供应商服务内容。</w:t>
      </w:r>
    </w:p>
    <w:p>
      <w:pPr>
        <w:pStyle w:val="3"/>
        <w:bidi w:val="0"/>
        <w:rPr>
          <w:rFonts w:hint="default"/>
          <w:lang w:val="en-US" w:eastAsia="zh-CN"/>
        </w:rPr>
      </w:pPr>
      <w:bookmarkStart w:id="12" w:name="_Toc14473"/>
      <w:r>
        <w:rPr>
          <w:rFonts w:hint="default"/>
          <w:lang w:val="en-US" w:eastAsia="zh-CN"/>
        </w:rPr>
        <w:t>研发部</w:t>
      </w:r>
      <w:bookmarkEnd w:id="12"/>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负责根据公司年度技术研发计划，进行自有运维工具的研发、升级、更新与补丁发布。</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负责管理自有运维工具的知识产权及相关技术资料。</w:t>
      </w:r>
    </w:p>
    <w:p>
      <w:pPr>
        <w:pStyle w:val="3"/>
        <w:bidi w:val="0"/>
        <w:rPr>
          <w:rFonts w:hint="default"/>
          <w:lang w:val="en-US" w:eastAsia="zh-CN"/>
        </w:rPr>
      </w:pPr>
      <w:bookmarkStart w:id="13" w:name="_Toc13966"/>
      <w:r>
        <w:rPr>
          <w:rFonts w:hint="eastAsia"/>
          <w:lang w:val="en-US" w:eastAsia="zh-CN"/>
        </w:rPr>
        <w:t>人力部</w:t>
      </w:r>
      <w:bookmarkEnd w:id="13"/>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负责协同运维部，组织或协调运维工具相关的培训资源，确保人员能力与工具要求匹配。</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14" w:name="_Toc26021"/>
      <w:r>
        <w:rPr>
          <w:rFonts w:hint="eastAsia"/>
          <w:lang w:val="en-US" w:eastAsia="zh-CN"/>
        </w:rPr>
        <w:t>引用依据</w:t>
      </w:r>
      <w:bookmarkEnd w:id="14"/>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r>
        <w:rPr>
          <w:rFonts w:hint="eastAsia"/>
          <w:lang w:val="en-US" w:eastAsia="zh-CN"/>
        </w:rPr>
        <w:t>本制度的制定与实施主要参考以下国家标准和行业规范：</w:t>
      </w:r>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GB/T 28827.1-2022 《信息技术服务 运行维护 第1部分：通用要求》</w:t>
      </w:r>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GB/T 28827.2-2012 《信息技术服务 运行维护 第2部分：交付规范》</w:t>
      </w:r>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GB/T 28827.3-2012 《信息技术服务 运行维护 第3部分：应急响应规范》</w:t>
      </w:r>
    </w:p>
    <w:p>
      <w:pPr>
        <w:pStyle w:val="a1"/>
        <w:keepNext w:val="0"/>
        <w:keepLines w:val="0"/>
        <w:pageBreakBefore w:val="0"/>
        <w:widowControl w:val="0"/>
        <w:numPr>
          <w:ilvl w:val="0"/>
          <w:numId w:val="3"/>
        </w:numPr>
        <w:kinsoku w:val="0"/>
        <w:wordWrap/>
        <w:overflowPunct/>
        <w:autoSpaceDE w:val="0"/>
        <w:autoSpaceDN w:val="0"/>
        <w:bidi w:val="0"/>
        <w:adjustRightInd w:val="0"/>
        <w:snapToGrid w:val="0"/>
        <w:ind w:left="425" w:hanging="425" w:leftChars="0" w:firstLineChars="0"/>
        <w:textAlignment w:val="baseline"/>
        <w:rPr>
          <w:rFonts w:hint="eastAsia"/>
          <w:lang w:val="en-US" w:eastAsia="zh-CN"/>
        </w:rPr>
      </w:pPr>
      <w:r>
        <w:rPr>
          <w:rFonts w:hint="eastAsia"/>
          <w:lang w:val="en-US" w:eastAsia="zh-CN"/>
        </w:rPr>
        <w:t>T/CESA 1299—2023 《信息技术服务 运行维护服务能力成熟度模型》</w:t>
      </w:r>
    </w:p>
    <w:p>
      <w:pPr>
        <w:pStyle w:val="1"/>
        <w:keepNext w:val="0"/>
        <w:keepLines w:val="0"/>
        <w:pageBreakBefore w:val="0"/>
        <w:widowControl w:val="0"/>
        <w:kinsoku w:val="0"/>
        <w:wordWrap/>
        <w:overflowPunct/>
        <w:autoSpaceDE w:val="0"/>
        <w:autoSpaceDN w:val="0"/>
        <w:bidi w:val="0"/>
        <w:adjustRightInd w:val="0"/>
        <w:snapToGrid w:val="0"/>
        <w:textAlignment w:val="baseline"/>
      </w:pPr>
      <w:bookmarkStart w:id="15" w:name="_Toc7198"/>
      <w:r>
        <w:rPr>
          <w:rFonts w:hint="eastAsia"/>
          <w:lang w:val="en-US" w:eastAsia="zh-CN"/>
        </w:rPr>
        <w:t>定义与术语</w:t>
      </w:r>
      <w:bookmarkEnd w:id="15"/>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6" w:name="_Toc12264"/>
      <w:r>
        <w:rPr>
          <w:rFonts w:hint="eastAsia"/>
        </w:rPr>
        <w:t>运维工具</w:t>
      </w:r>
      <w:bookmarkEnd w:id="16"/>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指用于支持信息技术运维服务交付、管理、监控和优化的各类软件或软硬件一体化平台。</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7" w:name="_Toc1944"/>
      <w:r>
        <w:rPr>
          <w:rFonts w:hint="eastAsia"/>
        </w:rPr>
        <w:t>过程管理工具</w:t>
      </w:r>
      <w:bookmarkEnd w:id="17"/>
    </w:p>
    <w:p>
      <w:pPr>
        <w:pStyle w:val="a1"/>
        <w:bidi w:val="0"/>
        <w:rPr>
          <w:rFonts w:hint="eastAsia"/>
        </w:rPr>
      </w:pPr>
      <w:r>
        <w:t>为实现运维服务管理过程的规范化与数字化而采用的软件系统。它通过集成事件、问题、变更等核心流程，具备日常管理、记录跟踪、绩效测量、过程监督与服务评估等功能</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8" w:name="_Toc23889"/>
      <w:r>
        <w:rPr>
          <w:rFonts w:hint="eastAsia"/>
        </w:rPr>
        <w:t>监控工具</w:t>
      </w:r>
      <w:bookmarkEnd w:id="18"/>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用于对运维对象（如网络、服务器、应用、数据库等）进行数据采集、性能监控和事件告警的工具。</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eastAsia"/>
        </w:rPr>
      </w:pPr>
      <w:bookmarkStart w:id="19" w:name="_Toc17400"/>
      <w:r>
        <w:rPr>
          <w:rFonts w:hint="eastAsia"/>
        </w:rPr>
        <w:t>工具全生命周期</w:t>
      </w:r>
      <w:bookmarkEnd w:id="19"/>
    </w:p>
    <w:p>
      <w:pPr>
        <w:pStyle w:val="a1"/>
        <w:keepNext w:val="0"/>
        <w:keepLines w:val="0"/>
        <w:pageBreakBefore w:val="0"/>
        <w:widowControl w:val="0"/>
        <w:kinsoku w:val="0"/>
        <w:wordWrap/>
        <w:overflowPunct/>
        <w:autoSpaceDE w:val="0"/>
        <w:autoSpaceDN w:val="0"/>
        <w:bidi w:val="0"/>
        <w:adjustRightInd w:val="0"/>
        <w:snapToGrid w:val="0"/>
        <w:textAlignment w:val="baseline"/>
        <w:rPr>
          <w:rFonts w:hint="eastAsia"/>
        </w:rPr>
      </w:pPr>
      <w:r>
        <w:rPr>
          <w:rFonts w:hint="eastAsia"/>
        </w:rPr>
        <w:t>指运维工具从需求提出到最终退役所经历的全部阶段，包括规划、设计、开发/采购、测试、部署、使用、维护和退役。</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0" w:name="_Toc7676"/>
      <w:r>
        <w:rPr>
          <w:rFonts w:hint="eastAsia"/>
          <w:lang w:val="en-US" w:eastAsia="zh-CN"/>
        </w:rPr>
        <w:t>管理内容与要求</w:t>
      </w:r>
      <w:bookmarkEnd w:id="20"/>
    </w:p>
    <w:p>
      <w:pPr>
        <w:pStyle w:val="2"/>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1" w:name="_Toc21945"/>
      <w:r>
        <w:rPr>
          <w:rFonts w:hint="default"/>
          <w:lang w:val="en-US" w:eastAsia="zh-CN"/>
        </w:rPr>
        <w:t>工具分类</w:t>
      </w:r>
      <w:bookmarkEnd w:id="21"/>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为便于管理，将运维工具分为以下三类：</w:t>
      </w:r>
    </w:p>
    <w:p>
      <w:pPr>
        <w:pStyle w:val="a1"/>
        <w:keepNext w:val="0"/>
        <w:keepLines w:val="0"/>
        <w:pageBreakBefore w:val="0"/>
        <w:widowControl w:val="0"/>
        <w:numPr>
          <w:ilvl w:val="0"/>
          <w:numId w:val="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过程管理工具</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按照ITSS体系制定的运维管理过程规范，管理运行维护服务的交付过程，包括事件、问题、变更、配置、发布等流程的管理、记录、测量、监督和评估。</w:t>
      </w:r>
    </w:p>
    <w:p>
      <w:pPr>
        <w:pStyle w:val="a1"/>
        <w:keepNext w:val="0"/>
        <w:keepLines w:val="0"/>
        <w:pageBreakBefore w:val="0"/>
        <w:widowControl w:val="0"/>
        <w:numPr>
          <w:ilvl w:val="0"/>
          <w:numId w:val="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监控工具</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对运行维护服务对象进行数据的采集和监控，主动发现和预警故障隐患，保障服务对象稳定运行。</w:t>
      </w:r>
    </w:p>
    <w:p>
      <w:pPr>
        <w:pStyle w:val="a1"/>
        <w:keepNext w:val="0"/>
        <w:keepLines w:val="0"/>
        <w:pageBreakBefore w:val="0"/>
        <w:widowControl w:val="0"/>
        <w:numPr>
          <w:ilvl w:val="0"/>
          <w:numId w:val="4"/>
        </w:numPr>
        <w:kinsoku w:val="0"/>
        <w:wordWrap/>
        <w:overflowPunct/>
        <w:autoSpaceDE w:val="0"/>
        <w:autoSpaceDN w:val="0"/>
        <w:bidi w:val="0"/>
        <w:adjustRightInd w:val="0"/>
        <w:snapToGrid w:val="0"/>
        <w:ind w:left="425" w:hanging="425" w:leftChars="0" w:firstLineChars="0"/>
        <w:textAlignment w:val="baseline"/>
        <w:rPr>
          <w:rFonts w:hint="default"/>
          <w:lang w:val="en-US" w:eastAsia="zh-CN"/>
        </w:rPr>
      </w:pPr>
      <w:r>
        <w:rPr>
          <w:rFonts w:hint="default"/>
          <w:lang w:val="en-US" w:eastAsia="zh-CN"/>
        </w:rPr>
        <w:t>专用工具</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根据特定服务要求配备的工具，如安全渗透测试工具、数据备份恢复工具、性能深度诊断工具等。</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p>
    <w:p>
      <w:pPr>
        <w:pStyle w:val="2"/>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2" w:name="_Toc19995"/>
      <w:r>
        <w:rPr>
          <w:rFonts w:hint="default"/>
          <w:lang w:val="en-US" w:eastAsia="zh-CN"/>
        </w:rPr>
        <w:t>需求管理</w:t>
      </w:r>
      <w:bookmarkEnd w:id="22"/>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运维工具的需求主要由运维工程师基于业务实际提出，内容应涵盖功能、性能、安全性、易用性等方面，并明确验收标准。</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需求提出后，由运维部组织质量部、研发部等进行需求评审，分析可行性、成本与效益。</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研发类需求：对于修复BUG或功能增强的需求，须形成可安装/卸载的补丁程序。自有工具的研发应遵循节约原则，优先考虑基于开源软件进行二次开发，但必须经过严格测试。</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采购类需求：采购第三方商业工具必须符合公司安全和保密规定，并履行严格的报批程序。采购部需在合同中明确供应商的升级、培训和技术支持等责任条款。</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3" w:name="_Toc29528"/>
      <w:r>
        <w:rPr>
          <w:rFonts w:hint="default"/>
          <w:lang w:val="en-US" w:eastAsia="zh-CN"/>
        </w:rPr>
        <w:t>试用与发布</w:t>
      </w:r>
      <w:bookmarkEnd w:id="23"/>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工具试用：新工具或重大版本升级前，由运维部组织相关部门进行试用，并收集试用反馈，形成《试用评估报告》。</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工具发布：通过试用评估后，方可在公司范围内正式发布。发布工作包括：</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将工具及应用指南、使用手册纳入知识库和统一访问入口。</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由运维部协同人力部组织相关使用培训。</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更新《运维工具清单》。</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4" w:name="_Toc20711"/>
      <w:r>
        <w:rPr>
          <w:rFonts w:hint="default"/>
          <w:lang w:val="en-US" w:eastAsia="zh-CN"/>
        </w:rPr>
        <w:t>清单与授权管理</w:t>
      </w:r>
      <w:bookmarkEnd w:id="24"/>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运维部负责建立并维护统一的《运维工具清单》，明确记录工具名称、版本、类型、应用范围、管理员及当前状态。</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运维部应基于“最小权限原则”，根据不同的运维角色和职责，对工具的使用权限进行分级授权，并形成《权限分配记录》，定期评审。</w:t>
      </w:r>
    </w:p>
    <w:p>
      <w:pPr>
        <w:pStyle w:val="2"/>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25" w:name="_Toc10007"/>
      <w:r>
        <w:rPr>
          <w:rFonts w:hint="default"/>
          <w:lang w:val="en-US" w:eastAsia="zh-CN"/>
        </w:rPr>
        <w:t>跟踪控制与持续改进</w:t>
      </w:r>
      <w:bookmarkEnd w:id="25"/>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使用记录：运维人员应记录工具的日常使用情况与问题。运维部定期收集使用反馈。</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定期评估：质量部应至少每年度组织一次运维工具应用效果的全面评估，评估维度包括工具的性能、功能、安全性、负载以及对运维目标的支撑度，并形成《运维工具评估报告》。</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改进与升级：评估中发现的问题和改进需求，应作为工具优化或新版本规划的需求输入。</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工具的更新与升级应纳入年度运维服务技术研发计划，由研发部按季度规划执行。</w:t>
      </w:r>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default"/>
          <w:lang w:val="en-US" w:eastAsia="zh-CN"/>
        </w:rPr>
        <w:t>形成“使用-&gt;记录-&gt;评估-&gt;改进”的闭环管理机制，确保运维工具的持续有效性和先进性。</w:t>
      </w:r>
    </w:p>
    <w:p>
      <w:pPr>
        <w:pStyle w:val="2"/>
        <w:bidi w:val="0"/>
        <w:rPr>
          <w:rFonts w:hint="default"/>
          <w:lang w:val="en-US" w:eastAsia="zh-CN"/>
        </w:rPr>
      </w:pPr>
      <w:bookmarkStart w:id="26" w:name="_Toc5084"/>
      <w:r>
        <w:rPr>
          <w:rFonts w:hint="eastAsia"/>
          <w:lang w:val="en-US" w:eastAsia="zh-CN"/>
        </w:rPr>
        <w:t>考核指标</w:t>
      </w:r>
      <w:bookmarkEnd w:id="26"/>
    </w:p>
    <w:tbl>
      <w:tblPr>
        <w:tblStyle w:val="TableGrid"/>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841"/>
        <w:gridCol w:w="2049"/>
        <w:gridCol w:w="3427"/>
        <w:gridCol w:w="1107"/>
        <w:gridCol w:w="1094"/>
      </w:tblGrid>
      <w:tr>
        <w:tblPrEx>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rPr>
          <w:jc w:val="center"/>
        </w:trPr>
        <w:tc>
          <w:tcPr>
            <w:tcW w:w="841"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序号</w:t>
            </w:r>
          </w:p>
        </w:tc>
        <w:tc>
          <w:tcPr>
            <w:tcW w:w="2049"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衡量指标</w:t>
            </w:r>
          </w:p>
        </w:tc>
        <w:tc>
          <w:tcPr>
            <w:tcW w:w="3427"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指标计算说明</w:t>
            </w:r>
          </w:p>
        </w:tc>
        <w:tc>
          <w:tcPr>
            <w:tcW w:w="1107"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考核频次</w:t>
            </w:r>
          </w:p>
        </w:tc>
        <w:tc>
          <w:tcPr>
            <w:tcW w:w="1094" w:type="dxa"/>
          </w:tcPr>
          <w:p>
            <w:pPr>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lang w:val="en-US" w:eastAsia="zh-CN"/>
              </w:rPr>
            </w:pPr>
            <w:r>
              <w:rPr>
                <w:rFonts w:hint="eastAsia"/>
                <w:sz w:val="21"/>
                <w:szCs w:val="21"/>
                <w:lang w:val="en-US" w:eastAsia="zh-CN"/>
              </w:rPr>
              <w:t>目标值</w:t>
            </w:r>
          </w:p>
        </w:tc>
      </w:tr>
      <w:tr>
        <w:tblPrEx>
          <w:tblW w:w="0" w:type="auto"/>
          <w:jc w:val="center"/>
          <w:tblCellMar>
            <w:top w:w="0" w:type="dxa"/>
            <w:left w:w="108" w:type="dxa"/>
            <w:bottom w:w="0" w:type="dxa"/>
            <w:right w:w="108" w:type="dxa"/>
          </w:tblCellMar>
        </w:tblPrEx>
        <w:trPr>
          <w:jc w:val="center"/>
        </w:trPr>
        <w:tc>
          <w:tcPr>
            <w:tcW w:w="841"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1</w:t>
            </w:r>
          </w:p>
        </w:tc>
        <w:tc>
          <w:tcPr>
            <w:tcW w:w="2049"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eastAsia="宋体" w:hint="default"/>
                <w:sz w:val="21"/>
                <w:szCs w:val="21"/>
                <w:vertAlign w:val="baseline"/>
                <w:lang w:val="en-US" w:eastAsia="zh-CN"/>
              </w:rPr>
            </w:pPr>
            <w:r>
              <w:rPr>
                <w:rFonts w:hint="eastAsia"/>
                <w:sz w:val="21"/>
                <w:szCs w:val="21"/>
                <w:vertAlign w:val="baseline"/>
                <w:lang w:val="en-US" w:eastAsia="zh-CN"/>
              </w:rPr>
              <w:t>工具自评估次数</w:t>
            </w:r>
          </w:p>
        </w:tc>
        <w:tc>
          <w:tcPr>
            <w:tcW w:w="3427"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数量，运维工具自评估报告数量</w:t>
            </w:r>
          </w:p>
        </w:tc>
        <w:tc>
          <w:tcPr>
            <w:tcW w:w="1107"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vertAlign w:val="baseline"/>
                <w:lang w:val="en-US" w:eastAsia="zh-CN"/>
              </w:rPr>
            </w:pPr>
            <w:r>
              <w:rPr>
                <w:rFonts w:hint="eastAsia"/>
                <w:sz w:val="21"/>
                <w:szCs w:val="21"/>
                <w:vertAlign w:val="baseline"/>
                <w:lang w:val="en-US" w:eastAsia="zh-CN"/>
              </w:rPr>
              <w:t>年度</w:t>
            </w:r>
          </w:p>
        </w:tc>
        <w:tc>
          <w:tcPr>
            <w:tcW w:w="1094" w:type="dxa"/>
          </w:tcPr>
          <w:p>
            <w:pPr>
              <w:pStyle w:val="a1"/>
              <w:keepNext w:val="0"/>
              <w:keepLines w:val="0"/>
              <w:pageBreakBefore w:val="0"/>
              <w:widowControl w:val="0"/>
              <w:kinsoku w:val="0"/>
              <w:wordWrap/>
              <w:overflowPunct/>
              <w:topLinePunct w:val="0"/>
              <w:autoSpaceDE w:val="0"/>
              <w:autoSpaceDN w:val="0"/>
              <w:bidi w:val="0"/>
              <w:adjustRightInd w:val="0"/>
              <w:snapToGrid w:val="0"/>
              <w:ind w:left="0" w:right="0" w:firstLine="0" w:leftChars="0" w:rightChars="0" w:firstLineChars="0"/>
              <w:jc w:val="center"/>
              <w:textAlignment w:val="baseline"/>
              <w:rPr>
                <w:rFonts w:hint="default"/>
                <w:sz w:val="21"/>
                <w:szCs w:val="21"/>
                <w:vertAlign w:val="baseline"/>
                <w:lang w:val="en-US" w:eastAsia="zh-CN"/>
              </w:rPr>
            </w:pPr>
            <w:r>
              <w:rPr>
                <w:rFonts w:ascii="微软雅黑" w:eastAsia="微软雅黑" w:hAnsi="微软雅黑" w:cs="微软雅黑" w:hint="eastAsia"/>
                <w:sz w:val="21"/>
                <w:szCs w:val="21"/>
                <w:vertAlign w:val="baseline"/>
                <w:lang w:val="en-US" w:eastAsia="zh-CN"/>
              </w:rPr>
              <w:t>≥1次</w:t>
            </w:r>
          </w:p>
        </w:tc>
      </w:tr>
    </w:tbl>
    <w:p>
      <w:pPr>
        <w:pStyle w:val="1"/>
        <w:keepNext w:val="0"/>
        <w:keepLines w:val="0"/>
        <w:pageBreakBefore w:val="0"/>
        <w:widowControl w:val="0"/>
        <w:kinsoku w:val="0"/>
        <w:wordWrap/>
        <w:overflowPunct/>
        <w:autoSpaceDE w:val="0"/>
        <w:autoSpaceDN w:val="0"/>
        <w:bidi w:val="0"/>
        <w:adjustRightInd w:val="0"/>
        <w:snapToGrid w:val="0"/>
        <w:textAlignment w:val="baseline"/>
        <w:rPr>
          <w:rStyle w:val="1Char"/>
          <w:rFonts w:eastAsia="宋体" w:hint="default"/>
          <w:lang w:val="en-US" w:eastAsia="zh-CN"/>
        </w:rPr>
      </w:pPr>
      <w:bookmarkStart w:id="27" w:name="bookmark3"/>
      <w:bookmarkEnd w:id="27"/>
      <w:bookmarkStart w:id="28" w:name="_Toc3007"/>
      <w:bookmarkStart w:id="29" w:name="_Toc17424"/>
      <w:r>
        <w:rPr>
          <w:rStyle w:val="1Char"/>
          <w:rFonts w:eastAsia="宋体" w:hint="eastAsia"/>
          <w:lang w:val="en-US" w:eastAsia="zh-CN"/>
        </w:rPr>
        <w:t>附则</w:t>
      </w:r>
      <w:bookmarkEnd w:id="28"/>
      <w:bookmarkEnd w:id="29"/>
    </w:p>
    <w:p>
      <w:pPr>
        <w:keepNext w:val="0"/>
        <w:keepLines w:val="0"/>
        <w:pageBreakBefore w:val="0"/>
        <w:widowControl w:val="0"/>
        <w:numPr>
          <w:ilvl w:val="0"/>
          <w:numId w:val="5"/>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本制度最终解释权和修订权归</w:t>
      </w:r>
      <w:r>
        <w:rPr>
          <w:rFonts w:ascii="宋体" w:hAnsi="宋体" w:cs="宋体" w:hint="eastAsia"/>
          <w:spacing w:val="-1"/>
          <w:sz w:val="24"/>
          <w:szCs w:val="24"/>
          <w:lang w:val="en-US" w:eastAsia="zh-CN"/>
        </w:rPr>
        <w:t>运维部</w:t>
      </w:r>
      <w:r>
        <w:rPr>
          <w:rFonts w:ascii="宋体" w:eastAsia="宋体" w:hAnsi="宋体" w:cs="宋体"/>
          <w:spacing w:val="-1"/>
          <w:sz w:val="24"/>
          <w:szCs w:val="24"/>
        </w:rPr>
        <w:t>。</w:t>
      </w:r>
    </w:p>
    <w:p>
      <w:pPr>
        <w:keepNext w:val="0"/>
        <w:keepLines w:val="0"/>
        <w:pageBreakBefore w:val="0"/>
        <w:widowControl w:val="0"/>
        <w:numPr>
          <w:ilvl w:val="0"/>
          <w:numId w:val="5"/>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hint="default"/>
          <w:lang w:val="en-US" w:eastAsia="zh-CN"/>
        </w:rPr>
      </w:pPr>
      <w:r>
        <w:rPr>
          <w:rFonts w:ascii="宋体" w:eastAsia="宋体" w:hAnsi="宋体" w:cs="宋体"/>
          <w:spacing w:val="-2"/>
          <w:sz w:val="24"/>
          <w:szCs w:val="24"/>
        </w:rPr>
        <w:t>本制度自颁布之日起施行。</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bookmarkStart w:id="30" w:name="bookmark14"/>
      <w:bookmarkEnd w:id="30"/>
      <w:bookmarkStart w:id="31" w:name="_Toc1268"/>
      <w:r>
        <w:rPr>
          <w:rFonts w:hint="eastAsia"/>
          <w:lang w:val="en-US" w:eastAsia="zh-CN"/>
        </w:rPr>
        <w:t>附件</w:t>
      </w:r>
      <w:bookmarkEnd w:id="31"/>
    </w:p>
    <w:p>
      <w:pPr>
        <w:pStyle w:val="a1"/>
        <w:numPr>
          <w:ilvl w:val="0"/>
          <w:numId w:val="6"/>
        </w:numPr>
        <w:ind w:left="425" w:hanging="425" w:leftChars="0" w:firstLineChars="0"/>
        <w:rPr>
          <w:rFonts w:hint="default"/>
          <w:lang w:val="en-US" w:eastAsia="zh-CN"/>
        </w:rPr>
      </w:pPr>
      <w:r>
        <w:rPr>
          <w:rFonts w:hint="default"/>
          <w:lang w:val="en-US" w:eastAsia="zh-CN"/>
        </w:rPr>
        <w:t>《运维工具需求申请表》</w:t>
      </w:r>
    </w:p>
    <w:p>
      <w:pPr>
        <w:pStyle w:val="a1"/>
        <w:numPr>
          <w:ilvl w:val="0"/>
          <w:numId w:val="6"/>
        </w:numPr>
        <w:ind w:left="425" w:hanging="425" w:leftChars="0" w:firstLineChars="0"/>
        <w:rPr>
          <w:rFonts w:hint="default"/>
          <w:lang w:val="en-US" w:eastAsia="zh-CN"/>
        </w:rPr>
      </w:pPr>
      <w:r>
        <w:rPr>
          <w:rFonts w:hint="default"/>
          <w:lang w:val="en-US" w:eastAsia="zh-CN"/>
        </w:rPr>
        <w:t>《运维工具试用评估报告》</w:t>
      </w:r>
    </w:p>
    <w:p>
      <w:pPr>
        <w:pStyle w:val="a1"/>
        <w:numPr>
          <w:ilvl w:val="0"/>
          <w:numId w:val="6"/>
        </w:numPr>
        <w:ind w:left="425" w:hanging="425" w:leftChars="0" w:firstLineChars="0"/>
        <w:rPr>
          <w:rFonts w:hint="default"/>
          <w:lang w:val="en-US" w:eastAsia="zh-CN"/>
        </w:rPr>
      </w:pPr>
      <w:r>
        <w:rPr>
          <w:rFonts w:hint="default"/>
          <w:lang w:val="en-US" w:eastAsia="zh-CN"/>
        </w:rPr>
        <w:t>《运维工具清单》（模板）</w:t>
      </w:r>
    </w:p>
    <w:p>
      <w:pPr>
        <w:pStyle w:val="a1"/>
        <w:numPr>
          <w:ilvl w:val="0"/>
          <w:numId w:val="6"/>
        </w:numPr>
        <w:ind w:left="425" w:hanging="425" w:leftChars="0" w:firstLineChars="0"/>
        <w:rPr>
          <w:rFonts w:hint="default"/>
          <w:lang w:val="en-US" w:eastAsia="zh-CN"/>
        </w:rPr>
      </w:pPr>
      <w:r>
        <w:rPr>
          <w:rFonts w:hint="default"/>
          <w:lang w:val="en-US" w:eastAsia="zh-CN"/>
        </w:rPr>
        <w:t>《运维工具权限申请表》</w:t>
      </w:r>
    </w:p>
    <w:p>
      <w:pPr>
        <w:pStyle w:val="1"/>
        <w:keepNext w:val="0"/>
        <w:keepLines w:val="0"/>
        <w:pageBreakBefore w:val="0"/>
        <w:widowControl w:val="0"/>
        <w:kinsoku w:val="0"/>
        <w:wordWrap/>
        <w:overflowPunct/>
        <w:autoSpaceDE w:val="0"/>
        <w:autoSpaceDN w:val="0"/>
        <w:bidi w:val="0"/>
        <w:adjustRightInd w:val="0"/>
        <w:snapToGrid w:val="0"/>
        <w:textAlignment w:val="baseline"/>
        <w:rPr>
          <w:rFonts w:hint="eastAsia"/>
          <w:lang w:val="en-US" w:eastAsia="zh-CN"/>
        </w:rPr>
      </w:pPr>
      <w:bookmarkStart w:id="32" w:name="_Toc25702"/>
      <w:r>
        <w:rPr>
          <w:rFonts w:hint="eastAsia"/>
          <w:lang w:val="en-US" w:eastAsia="zh-CN"/>
        </w:rPr>
        <w:t>记录</w:t>
      </w:r>
      <w:bookmarkEnd w:id="32"/>
    </w:p>
    <w:p>
      <w:pPr>
        <w:pStyle w:val="a1"/>
        <w:keepNext w:val="0"/>
        <w:keepLines w:val="0"/>
        <w:pageBreakBefore w:val="0"/>
        <w:widowControl w:val="0"/>
        <w:kinsoku w:val="0"/>
        <w:wordWrap/>
        <w:overflowPunct/>
        <w:autoSpaceDE w:val="0"/>
        <w:autoSpaceDN w:val="0"/>
        <w:bidi w:val="0"/>
        <w:adjustRightInd w:val="0"/>
        <w:snapToGrid w:val="0"/>
        <w:textAlignment w:val="baseline"/>
        <w:rPr>
          <w:rFonts w:hint="default"/>
          <w:lang w:val="en-US" w:eastAsia="zh-CN"/>
        </w:rPr>
      </w:pPr>
      <w:r>
        <w:rPr>
          <w:rFonts w:hint="eastAsia"/>
          <w:lang w:val="en-US" w:eastAsia="zh-CN"/>
        </w:rPr>
        <w:t>无</w:t>
      </w:r>
    </w:p>
    <w:sectPr>
      <w:headerReference w:type="even" r:id="rId6"/>
      <w:headerReference w:type="default" r:id="rId7"/>
      <w:footerReference w:type="even" r:id="rId8"/>
      <w:footerReference w:type="default" r:id="rId9"/>
      <w:headerReference w:type="first" r:id="rId10"/>
      <w:footerReference w:type="first" r:id="rId11"/>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tabs>
        <w:tab w:val="left" w:pos="335"/>
        <w:tab w:val="right" w:pos="8426"/>
      </w:tabs>
      <w:jc w:val="right"/>
      <w:rPr>
        <w:rFonts w:eastAsiaTheme="minorEastAsia" w:hint="eastAsia"/>
        <w:lang w:eastAsia="zh-CN"/>
      </w:rPr>
    </w:pPr>
    <w:r>
      <w:rPr>
        <w:rFonts w:eastAsiaTheme="minorEastAsia" w:hint="eastAsia"/>
        <w:lang w:val="en-US" w:eastAsia="zh-CN"/>
      </w:rPr>
      <w:tab/>
      <w:tab/>
      <w:t>重庆市鹧鸪哨信息技术有限责任公司</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3F5772A"/>
    <w:multiLevelType w:val="singleLevel"/>
    <w:tmpl w:val="83F5772A"/>
    <w:lvl w:ilvl="0">
      <w:start w:val="1"/>
      <w:numFmt w:val="decimal"/>
      <w:lvlText w:val="%1."/>
      <w:lvlJc w:val="left"/>
      <w:pPr>
        <w:ind w:left="425" w:hanging="425"/>
      </w:pPr>
      <w:rPr>
        <w:rFonts w:hint="default"/>
      </w:rPr>
    </w:lvl>
  </w:abstractNum>
  <w:abstractNum w:abstractNumId="1">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2">
    <w:nsid w:val="8FF42926"/>
    <w:multiLevelType w:val="singleLevel"/>
    <w:tmpl w:val="8FF42926"/>
    <w:lvl w:ilvl="0">
      <w:start w:val="1"/>
      <w:numFmt w:val="decimal"/>
      <w:lvlText w:val="%1."/>
      <w:lvlJc w:val="left"/>
      <w:pPr>
        <w:ind w:left="425" w:hanging="425"/>
      </w:pPr>
      <w:rPr>
        <w:rFonts w:hint="default"/>
      </w:rPr>
    </w:lvl>
  </w:abstractNum>
  <w:abstractNum w:abstractNumId="3">
    <w:nsid w:val="B3F9C355"/>
    <w:multiLevelType w:val="singleLevel"/>
    <w:tmpl w:val="B3F9C355"/>
    <w:lvl w:ilvl="0">
      <w:start w:val="1"/>
      <w:numFmt w:val="decimal"/>
      <w:lvlText w:val="%1."/>
      <w:lvlJc w:val="left"/>
      <w:pPr>
        <w:ind w:left="425" w:hanging="425"/>
      </w:pPr>
      <w:rPr>
        <w:rFonts w:hint="default"/>
      </w:rPr>
    </w:lvl>
  </w:abstractNum>
  <w:abstractNum w:abstractNumId="4">
    <w:nsid w:val="F9539CF3"/>
    <w:multiLevelType w:val="singleLevel"/>
    <w:tmpl w:val="F9539CF3"/>
    <w:lvl w:ilvl="0">
      <w:start w:val="1"/>
      <w:numFmt w:val="decimal"/>
      <w:lvlText w:val="%1."/>
      <w:lvlJc w:val="left"/>
      <w:pPr>
        <w:ind w:left="425" w:hanging="425"/>
      </w:pPr>
      <w:rPr>
        <w:rFonts w:hint="default"/>
      </w:rPr>
    </w:lvl>
  </w:abstractNum>
  <w:abstractNum w:abstractNumId="5">
    <w:nsid w:val="5748776A"/>
    <w:multiLevelType w:val="singleLevel"/>
    <w:tmpl w:val="5748776A"/>
    <w:lvl w:ilvl="0">
      <w:start w:val="1"/>
      <w:numFmt w:val="decimal"/>
      <w:lvlText w:val="%1."/>
      <w:lvlJc w:val="left"/>
      <w:pPr>
        <w:ind w:left="425" w:hanging="425"/>
      </w:pPr>
      <w:rPr>
        <w:rFonts w:hint="default"/>
      </w:rPr>
    </w:lvl>
  </w:abstractNum>
  <w:num w:numId="1">
    <w:abstractNumId w:val="1"/>
  </w:num>
  <w:num w:numId="2">
    <w:abstractNumId w:val="5"/>
  </w:num>
  <w:num w:numId="3">
    <w:abstractNumId w:val="3"/>
  </w:num>
  <w:num w:numId="4">
    <w:abstractNumId w:val="2"/>
  </w:num>
  <w:num w:numId="5">
    <w:abstractNumId w:val="4"/>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table" w:customStyle="1" w:styleId="TableNormal1">
    <w:name w:val="Table Normal_1"/>
    <w:semiHidden/>
    <w:unhideWhenUsed/>
    <w:qFormat/>
    <w:tblPr>
      <w:tblCellMar>
        <w:top w:w="0" w:type="dxa"/>
        <w:left w:w="0" w:type="dxa"/>
        <w:bottom w:w="0" w:type="dxa"/>
        <w:right w:w="0" w:type="dxa"/>
      </w:tblCellMar>
    </w:tbl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header" Target="header3.xml" /><Relationship Id="rId11" Type="http://schemas.openxmlformats.org/officeDocument/2006/relationships/footer" Target="footer3.xml" /><Relationship Id="rId12" Type="http://schemas.openxmlformats.org/officeDocument/2006/relationships/theme" Target="theme/theme1.xml" /><Relationship Id="rId13" Type="http://schemas.openxmlformats.org/officeDocument/2006/relationships/numbering" Target="numbering.xml" /><Relationship Id="rId14" Type="http://schemas.openxmlformats.org/officeDocument/2006/relationships/styles" Target="style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image" Target="media/image1.png" /><Relationship Id="rId5" Type="http://schemas.openxmlformats.org/officeDocument/2006/relationships/image" Target="media/image2.png" /><Relationship Id="rId6" Type="http://schemas.openxmlformats.org/officeDocument/2006/relationships/header" Target="header1.xml" /><Relationship Id="rId7" Type="http://schemas.openxmlformats.org/officeDocument/2006/relationships/header" Target="header2.xml" /><Relationship Id="rId8" Type="http://schemas.openxmlformats.org/officeDocument/2006/relationships/footer" Target="footer1.xml" /><Relationship Id="rId9" Type="http://schemas.openxmlformats.org/officeDocument/2006/relationships/footer" Target="footer2.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0</TotalTime>
  <Pages>8</Pages>
  <Words>2445</Words>
  <Characters>2641</Characters>
  <Application>Microsoft Office Word</Application>
  <DocSecurity>0</DocSecurity>
  <Lines>0</Lines>
  <Paragraphs>0</Paragraphs>
  <ScaleCrop>false</ScaleCrop>
  <Company/>
  <LinksUpToDate>false</LinksUpToDate>
  <CharactersWithSpaces>2710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2026-05-25T03:47:21Z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2052-12.1.0.26375</vt:lpwstr>
  </property>
  <property fmtid="{D5CDD505-2E9C-101B-9397-08002B2CF9AE}" pid="4" name="KSOTemplateDocerSaveRecord">
    <vt:lpwstr>eyJoZGlkIjoiYWNlNzNhNmIzOTIzZGY2M2QzZGFjMTM3NDZmMGZlYmUiLCJ1c2VySWQiOiIxMDc1MzgyOSJ9</vt:lpwstr>
  </property>
</Properties>
</file>