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47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163"/>
      <w:r>
        <w:rPr>
          <w:rFonts w:hint="eastAsia"/>
          <w:lang w:val="en-US" w:eastAsia="zh-CN"/>
        </w:rPr>
        <w:t>服务数据管理制度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文件编号：ZGS-08-06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_Toc29475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_Toc5163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_Toc1578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_Toc10488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_Toc11275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_Toc9388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运维部</w:t>
          </w:r>
          <w:r>
            <w:tab/>
          </w:r>
          <w:r>
            <w:fldChar w:fldCharType="begin"/>
          </w:r>
          <w:r>
            <w:instrText xml:space="preserve"> PAGEREF _Toc9456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数据部</w:t>
          </w:r>
          <w:r>
            <w:tab/>
          </w:r>
          <w:r>
            <w:fldChar w:fldCharType="begin"/>
          </w:r>
          <w:r>
            <w:instrText xml:space="preserve"> PAGEREF _Toc22173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研发部</w:t>
          </w:r>
          <w:r>
            <w:tab/>
          </w:r>
          <w:r>
            <w:fldChar w:fldCharType="begin"/>
          </w:r>
          <w:r>
            <w:instrText xml:space="preserve"> PAGEREF _Toc5978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行政部</w:t>
          </w:r>
          <w:r>
            <w:tab/>
          </w:r>
          <w:r>
            <w:fldChar w:fldCharType="begin"/>
          </w:r>
          <w:r>
            <w:instrText xml:space="preserve"> PAGEREF _Toc19527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市场部</w:t>
          </w:r>
          <w:r>
            <w:tab/>
          </w:r>
          <w:r>
            <w:fldChar w:fldCharType="begin"/>
          </w:r>
          <w:r>
            <w:instrText xml:space="preserve"> PAGEREF _Toc7872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_Toc3978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_Toc4284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运维服务数据</w:t>
          </w:r>
          <w:r>
            <w:tab/>
          </w:r>
          <w:r>
            <w:fldChar w:fldCharType="begin"/>
          </w:r>
          <w:r>
            <w:instrText xml:space="preserve"> PAGEREF _Toc11750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数据资产目录</w:t>
          </w:r>
          <w:r>
            <w:tab/>
          </w:r>
          <w:r>
            <w:fldChar w:fldCharType="begin"/>
          </w:r>
          <w:r>
            <w:instrText xml:space="preserve"> PAGEREF _Toc25049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数据定级</w:t>
          </w:r>
          <w:r>
            <w:tab/>
          </w:r>
          <w:r>
            <w:fldChar w:fldCharType="begin"/>
          </w:r>
          <w:r>
            <w:instrText xml:space="preserve"> PAGEREF _Toc6812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_Toc19885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数据分类与定级</w:t>
          </w:r>
          <w:r>
            <w:tab/>
          </w:r>
          <w:r>
            <w:fldChar w:fldCharType="begin"/>
          </w:r>
          <w:r>
            <w:instrText xml:space="preserve"> PAGEREF _Toc19166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数据质量管理</w:t>
          </w:r>
          <w:r>
            <w:tab/>
          </w:r>
          <w:r>
            <w:fldChar w:fldCharType="begin"/>
          </w:r>
          <w:r>
            <w:instrText xml:space="preserve"> PAGEREF _Toc17612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数据安全管理</w:t>
          </w:r>
          <w:r>
            <w:tab/>
          </w:r>
          <w:r>
            <w:fldChar w:fldCharType="begin"/>
          </w:r>
          <w:r>
            <w:instrText xml:space="preserve"> PAGEREF _Toc9330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数据生命周期管理</w:t>
          </w:r>
          <w:r>
            <w:tab/>
          </w:r>
          <w:r>
            <w:fldChar w:fldCharType="begin"/>
          </w:r>
          <w:r>
            <w:instrText xml:space="preserve"> PAGEREF _Toc30557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服务数据生命周期管理</w:t>
          </w:r>
          <w:r>
            <w:tab/>
          </w:r>
          <w:r>
            <w:fldChar w:fldCharType="begin"/>
          </w:r>
          <w:r>
            <w:instrText xml:space="preserve"> PAGEREF _Toc23156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数据采集</w:t>
          </w:r>
          <w:r>
            <w:tab/>
          </w:r>
          <w:r>
            <w:fldChar w:fldCharType="begin"/>
          </w:r>
          <w:r>
            <w:instrText xml:space="preserve"> PAGEREF _Toc18778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数据存储</w:t>
          </w:r>
          <w:r>
            <w:tab/>
          </w:r>
          <w:r>
            <w:fldChar w:fldCharType="begin"/>
          </w:r>
          <w:r>
            <w:instrText xml:space="preserve"> PAGEREF _Toc28952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4.5.3. 数据分析</w:t>
          </w:r>
          <w:r>
            <w:tab/>
          </w:r>
          <w:r>
            <w:fldChar w:fldCharType="begin"/>
          </w:r>
          <w:r>
            <w:instrText xml:space="preserve"> PAGEREF _Toc9662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4.5.4. 数据处理</w:t>
          </w:r>
          <w:r>
            <w:tab/>
          </w:r>
          <w:r>
            <w:fldChar w:fldCharType="begin"/>
          </w:r>
          <w:r>
            <w:instrText xml:space="preserve"> PAGEREF _Toc10400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_Toc4140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4.5.5. 数据展示</w:t>
          </w:r>
          <w:r>
            <w:tab/>
          </w:r>
          <w:r>
            <w:fldChar w:fldCharType="begin"/>
          </w:r>
          <w:r>
            <w:instrText xml:space="preserve"> PAGEREF _Toc4140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4.5.6. 数据利用</w:t>
          </w:r>
          <w:r>
            <w:tab/>
          </w:r>
          <w:r>
            <w:fldChar w:fldCharType="begin"/>
          </w:r>
          <w:r>
            <w:instrText xml:space="preserve"> PAGEREF _Toc20706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4.5.7. 归档与销毁</w:t>
          </w:r>
          <w:r>
            <w:tab/>
          </w:r>
          <w:r>
            <w:fldChar w:fldCharType="begin"/>
          </w:r>
          <w:r>
            <w:instrText xml:space="preserve"> PAGEREF _Toc4315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数据驱动决策机制</w:t>
          </w:r>
          <w:r>
            <w:tab/>
          </w:r>
          <w:r>
            <w:fldChar w:fldCharType="begin"/>
          </w:r>
          <w:r>
            <w:instrText xml:space="preserve"> PAGEREF _Toc21008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_Toc13509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_Toc23707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_Toc23707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_Toc27755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_Toc27755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578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7032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立本公司运维服务数据的管理框架，规范数据的产生、处理、使用与保护全流程，深度挖掘数据资产价值，赋能服务决策与创新，保障数据安全与合规，支撑运维服务能力的持续提升与ITSS成熟度要求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0488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本制度适用于公司内所有与运维服务活动相关的部门及人员，涉及运维部、研发部、质量部、人力部及采购部在业务过程中生成、存储、流转和分析的各类数据。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127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价值导向原则：数据管理活动应聚焦于支持业务决策、优化服务流程与提升客户体验。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权责对等原则：数据在共享与使用的同时，必须明确主体责任，确保数据安全与合规。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全生命周期管理原则：对数据从创建到销毁的每个阶段实施相适应的管理策略。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质量贯穿始终原则：数据质量是数据价值的前提，需在各个环节得到保障。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9388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9456"/>
      <w:r>
        <w:rPr>
          <w:rFonts w:hint="default"/>
          <w:lang w:val="en-US" w:eastAsia="zh-CN"/>
        </w:rPr>
        <w:t>运维部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是本制度的核心执行部门，负责运维数据的日常采集、录入、校验与应用，是数据质量的第一责任人。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负责数据的分类、归档、维护日常数据台账，并协调解决数据争议。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2173"/>
      <w:r>
        <w:rPr>
          <w:rFonts w:hint="default"/>
          <w:lang w:val="en-US" w:eastAsia="zh-CN"/>
        </w:rPr>
        <w:t>质量部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承担数据质量监督与审计职能，负责定义数据质量度量标准并定期组织评估。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5978"/>
      <w:r>
        <w:rPr>
          <w:rFonts w:hint="default"/>
          <w:lang w:val="en-US" w:eastAsia="zh-CN"/>
        </w:rPr>
        <w:t>研发部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负责提供数据管理所需的技术平台与工具支撑，确保系统的数据处理能力与管理制度相匹配。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9527"/>
      <w:r>
        <w:rPr>
          <w:rFonts w:hint="default"/>
          <w:lang w:val="en-US" w:eastAsia="zh-CN"/>
        </w:rPr>
        <w:t>人力部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负责将数据管理成效纳入相关岗位的绩效考核与激励机制。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7872"/>
      <w:r>
        <w:rPr>
          <w:rFonts w:hint="default"/>
          <w:lang w:val="en-US" w:eastAsia="zh-CN"/>
        </w:rPr>
        <w:t>采购部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负责在引入外部产品或服务时，评估并约束其数据接口、安全与合规性是否符合本制度要求。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3978"/>
      <w:r>
        <w:rPr>
          <w:rFonts w:hint="eastAsia"/>
          <w:lang w:val="en-US" w:eastAsia="zh-CN"/>
        </w:rPr>
        <w:t>引用依据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4" w:name="_Toc4284"/>
      <w:r>
        <w:rPr>
          <w:rFonts w:hint="eastAsia"/>
          <w:lang w:val="en-US" w:eastAsia="zh-CN"/>
        </w:rPr>
        <w:t>定义与术语</w:t>
      </w:r>
      <w:bookmarkEnd w:id="1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11750"/>
      <w:r>
        <w:rPr>
          <w:rFonts w:hint="eastAsia"/>
        </w:rPr>
        <w:t>运维服务数据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在运维服务交付、运营与管理过程中产生的，能够记录服务行为、反映服务状态、衡量服务成果的所有原始数据与派生信息的集合。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25049"/>
      <w:r>
        <w:rPr>
          <w:rFonts w:hint="eastAsia"/>
        </w:rPr>
        <w:t>数据资产目录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对公司持有的运维服务数据资产的系统性编目，用以描述数据的业务含义、来源、格式、负责人等核心元数据。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6812"/>
      <w:r>
        <w:rPr>
          <w:rFonts w:hint="eastAsia"/>
        </w:rPr>
        <w:t>数据定级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根据数据遭到篡改、破坏、泄露或非法利用后，可能对公司、客户造成的潜在影响程度，所划分的数据安全级别。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9885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9166"/>
      <w:r>
        <w:rPr>
          <w:rFonts w:hint="default"/>
          <w:lang w:val="en-US" w:eastAsia="zh-CN"/>
        </w:rPr>
        <w:t>数据分类与定级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业务分类体系：建立以服务生命周期为主线的数据分类体系，包括：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服务需求数据：如服务请求、客户需求描述。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服务交付数据：如事件记录、变更记录、SLA/SLI达成数据。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资源配置数据：如配置管理数据库（CMDB）中的所有条目及关系。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服务效能数据：如团队工作效率、资源利用率、成本数据。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安全定级标准：依据数据敏感性，实施四级安全定级：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公开（L1）： 可对外发布的服务统计摘要、白皮书等。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内部（L2）： 日常运营数据，仅限内部员工依职使用。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敏感（L3）： 包含客户业务信息、个人数据的操作记录。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机密（L4）： 核心系统架构、安全漏洞细节、未公开的应急预案等。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17612"/>
      <w:r>
        <w:rPr>
          <w:rFonts w:hint="default"/>
          <w:lang w:val="en-US" w:eastAsia="zh-CN"/>
        </w:rPr>
        <w:t>数据质量管理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质量维度：明确数据在准确性、完整性、一致性、及时性、唯一性五个维度的具体要求。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源头管理：推行“谁产生，谁负责”的源头数据责任制，确保初始录入质量。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闭环管理：建立从数据质量问题的发现、记录、分派、整改到验证的闭环处理流程。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9330"/>
      <w:r>
        <w:rPr>
          <w:rFonts w:hint="default"/>
          <w:lang w:val="en-US" w:eastAsia="zh-CN"/>
        </w:rPr>
        <w:t>数据安全管理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访问授权：遵循最小权限原则，访问权限的申请与审批必须基于明确的业务需求。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操作审计：对机密级和敏感级数据的访问、修改、导出等高风险操作进行日志记录并定期审计。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脱敏与加密：敏感数据在测试、开发及分析环境中必须进行脱敏处理；机密数据在存储和传输过程中必须加密。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30557"/>
      <w:r>
        <w:rPr>
          <w:rFonts w:hint="default"/>
          <w:lang w:val="en-US" w:eastAsia="zh-CN"/>
        </w:rPr>
        <w:t>数据生命周期管理</w:t>
      </w:r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3156"/>
      <w:r>
        <w:rPr>
          <w:rFonts w:hint="eastAsia"/>
          <w:lang w:val="en-US" w:eastAsia="zh-CN"/>
        </w:rPr>
        <w:t>服务数据生命周期管理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为完善运维服务数据全生命周期管理，明确从原始数据到价值输出的各环节操作要求，特制定本</w:t>
      </w:r>
      <w:r>
        <w:rPr>
          <w:rFonts w:hint="eastAsia"/>
          <w:lang w:val="en-US" w:eastAsia="zh-CN"/>
        </w:rPr>
        <w:t>章节</w:t>
      </w:r>
      <w:r>
        <w:rPr>
          <w:rFonts w:hint="default"/>
          <w:lang w:val="en-US" w:eastAsia="zh-CN"/>
        </w:rPr>
        <w:t>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4" w:name="_Toc18778"/>
      <w:r>
        <w:rPr>
          <w:rFonts w:hint="default"/>
          <w:lang w:val="en-US" w:eastAsia="zh-CN"/>
        </w:rPr>
        <w:t>数据采集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采集原则：数据采集应遵循“最小必要、源头唯一、及时准确”的原则，不得超范围采集与服务无关的数据。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采集方式：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自动化采集：优先通过监控系统、日志系统、APM、CMDB等工具自动采集运维数据，减少人工干预。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人工录入：对于无法自动采集的数据，应由指定责任人按照统一模板和时限要求进行录入。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采集校验：采集环节应嵌入格式校验、去重校验与完整性校验机制，不符合质量要求的数据应拒绝入库并告警。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5" w:name="_Toc28952"/>
      <w:r>
        <w:rPr>
          <w:rFonts w:hint="default"/>
          <w:lang w:val="en-US" w:eastAsia="zh-CN"/>
        </w:rPr>
        <w:t>数据存储</w:t>
      </w:r>
      <w:bookmarkEnd w:id="2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存储分级：依据数据定级结果（L1-L4），确定对应的存储区域、加密要求与保留周期。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L1公开数据：可存放于公共存储区。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L2内部数据：存放于内部授权存储区。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L3敏感数据与L4机密数据：必须存放于加密存储区，并启用访问控制与操作审计。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备份与恢复：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关键运维数据（如事件记录、CMDB配置数据）应每日备份，保留周期≥90天。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每季度至少开展一次数据恢复演练，验证备份有效性。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存储格式：应优先采用结构化、可机读的标准格式（如JSON、Parquet、CSV等），便于后续处理与分析。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9662"/>
      <w:r>
        <w:rPr>
          <w:rFonts w:hint="default"/>
          <w:lang w:val="en-US" w:eastAsia="zh-CN"/>
        </w:rPr>
        <w:t>数据分析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分析类型：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描述性分析：统计服务请求量、事件解决率、SLA达标率等基础指标。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诊断性分析：定位高频故障、超时响应、重复报修等问题的根本原因。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预测性分析：基于历史数据预测资源瓶颈、故障趋势与容量需求。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分析工具：统一使用公司批准的BI或数据分析平台，禁止使用未经授权的个人工具处理运维数据。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分析频次：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日常指标：按日/周自动生成。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深度分析报告：按月度由运维部联合质量部出具。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7" w:name="_Toc10400"/>
      <w:r>
        <w:rPr>
          <w:rFonts w:hint="default"/>
          <w:lang w:val="en-US" w:eastAsia="zh-CN"/>
        </w:rPr>
        <w:t>数据处理</w:t>
      </w:r>
      <w:bookmarkEnd w:id="2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数据处理范围：包括数据清洗、格式转换、字段映射、脱敏、聚合、异常值处理等操作。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处理规范：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任何数据处理操作均应有变更记录，注明处理人、处理时间、处理目的及数据范围。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针对L3及以上级别数据，处理前须提交申请并经运维部负责人审批。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脱敏要求：在非生产环境（测试、开发、培训）使用运维数据时，必须对客户信息、账户信息、内部IP等敏感字段进行不可逆脱敏。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4140"/>
      <w:r>
        <w:rPr>
          <w:rFonts w:hint="default"/>
          <w:lang w:val="en-US" w:eastAsia="zh-CN"/>
        </w:rPr>
        <w:t>数据展示</w:t>
      </w:r>
      <w:bookmarkEnd w:id="2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展示形式：采用仪表盘、趋势图、热力图、报表等可视化方式，面向不同角色（管理层、运维工程师、客户）提供差异化视图。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展示内容要求：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展示数据应标注统计周期、数据来源及口径说明。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不得在对外（含客户）展示内容中泄露L3及以上级别的原始数据。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更新时效：核心服务运行看板应实现准实时更新（延迟≤5分钟），月度分析报表应在次月第3个工作日前更新。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20706"/>
      <w:r>
        <w:rPr>
          <w:rFonts w:hint="default"/>
          <w:lang w:val="en-US" w:eastAsia="zh-CN"/>
        </w:rPr>
        <w:t>数据利用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利用目的：数据利用应聚焦于提升运维效率、优化服务流程、降低故障率、增强客户满意度。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利用方式：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内部改进：基于数据分析结果调整巡检策略、优化变更窗口、完善应急预案。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服务报告：向客户提供定期服务报告，展示SLA达成情况、故障处理时效等。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智能运维（AIOps）：逐步引入异常检测、根因分析、自动处置等智能化利用手段。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利用边界：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未经客户书面同意，不得将运维服务数据用于非服务交付目的。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不得将数据分析结果用于与服务改进无关的考核、追责或惩罚。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效果评估：每季度评估数据利用成效，衡量其对服务指标（如MTTR、SLA达标率、客户满意度）的实际改善贡献。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0" w:name="_Toc4315"/>
      <w:r>
        <w:rPr>
          <w:rFonts w:hint="default"/>
          <w:lang w:val="en-US" w:eastAsia="zh-CN"/>
        </w:rPr>
        <w:t>归档与销毁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对超出保存期限的活跃数据，应进行归档处理。对需要销毁的数据，必须采用不可恢复的彻底删除方式。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21008"/>
      <w:r>
        <w:rPr>
          <w:rFonts w:hint="default"/>
          <w:lang w:val="en-US" w:eastAsia="zh-CN"/>
        </w:rPr>
        <w:t>数据驱动决策机制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定期分析报告：运维部应联合质量部，定期（如每月）生成运维服务数据分析报告，并向管理层汇报。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数据洞察应用：鼓励基于数据分析结果优化巡检策略、调整资源配额、改进应急预案，实现主动运维。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2" w:name="_Toc13509"/>
      <w:r>
        <w:rPr>
          <w:rFonts w:hint="eastAsia"/>
          <w:lang w:val="en-US" w:eastAsia="zh-CN"/>
        </w:rPr>
        <w:t>考核指标</w:t>
      </w:r>
      <w:bookmarkEnd w:id="32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（1 - 考核期内发现的数据错误记录数 / 抽样检查的总数据记录数）*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3" w:name="bookmark3"/>
      <w:bookmarkEnd w:id="33"/>
      <w:bookmarkStart w:id="34" w:name="_Toc17424"/>
      <w:bookmarkStart w:id="35" w:name="_Toc23707"/>
      <w:r>
        <w:rPr>
          <w:rStyle w:val="1Char"/>
          <w:rFonts w:eastAsia="宋体" w:hint="eastAsia"/>
          <w:lang w:val="en-US" w:eastAsia="zh-CN"/>
        </w:rPr>
        <w:t>附则</w:t>
      </w:r>
      <w:bookmarkEnd w:id="34"/>
      <w:bookmarkEnd w:id="35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bookmark14"/>
      <w:bookmarkEnd w:id="36"/>
      <w:bookmarkStart w:id="37" w:name="_Toc27755"/>
      <w:r>
        <w:rPr>
          <w:rFonts w:hint="eastAsia"/>
          <w:lang w:val="en-US" w:eastAsia="zh-CN"/>
        </w:rPr>
        <w:t>附件</w:t>
      </w:r>
      <w:bookmarkEnd w:id="37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《数据资产目录（模板）》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《数据质量评估表》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8" w:name="_Toc368"/>
      <w:r>
        <w:rPr>
          <w:rFonts w:hint="eastAsia"/>
          <w:lang w:val="en-US" w:eastAsia="zh-CN"/>
        </w:rPr>
        <w:t>记录</w:t>
      </w:r>
      <w:bookmarkEnd w:id="3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《数据访问权限申请审批表》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《数据共享协议》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7A3C57"/>
    <w:multiLevelType w:val="singleLevel"/>
    <w:tmpl w:val="887A3C5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D7B486EB"/>
    <w:multiLevelType w:val="singleLevel"/>
    <w:tmpl w:val="D7B486E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CC84E5B"/>
    <w:multiLevelType w:val="singleLevel"/>
    <w:tmpl w:val="DCC84E5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44368B2"/>
    <w:multiLevelType w:val="singleLevel"/>
    <w:tmpl w:val="244368B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2045</Words>
  <Characters>2242</Characters>
  <Application>Microsoft Office Word</Application>
  <DocSecurity>0</DocSecurity>
  <Lines>0</Lines>
  <Paragraphs>0</Paragraphs>
  <ScaleCrop>false</ScaleCrop>
  <Company/>
  <LinksUpToDate>false</LinksUpToDate>
  <CharactersWithSpaces>2368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2026-05-26T15:30:17Z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