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101"/>
      <w:bookmarkStart w:id="1" w:name="_Toc960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1945" cy="9049385"/>
            <wp:effectExtent l="0" t="0" r="8255" b="317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904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  <w:bookmarkEnd w:id="1"/>
    </w:p>
    <w:p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ascii="黑体" w:eastAsia="黑体" w:hAnsi="黑体" w:cs="黑体" w:hint="eastAsia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中国广电重庆BOSS系统存储维保项目-交付管理计划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文件编号：ZGS-09-03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2025.01.05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2025.01.05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2025.01.05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05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</w:p>
    <w:sdt>
      <w:sdtPr>
        <w:id w:val="147451628"/>
        <w:docPartObj>
          <w:docPartGallery w:val="Table of Contents"/>
          <w:docPartUnique/>
        </w:docPartObj>
      </w:sdtPr>
      <w:sdtEndPr>
        <w:rPr>
          <w:rFonts w:asciiTheme="minorEastAsia" w:eastAsiaTheme="minorEastAsia" w:hAnsiTheme="minorEastAsia" w:cstheme="minorEastAsia" w:hint="eastAsia"/>
          <w:kern w:val="2"/>
          <w:sz w:val="21"/>
          <w:szCs w:val="32"/>
          <w:lang w:val="en-US" w:eastAsia="zh-CN" w:bidi="ar-SA"/>
        </w:rPr>
      </w:sdtEndPr>
      <w:sdtContent>
        <w:p>
          <w:pPr>
            <w:pStyle w:val="a1"/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</w:pPr>
          <w: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 w:val="21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 w:val="21"/>
              <w:szCs w:val="32"/>
              <w:lang w:val="en-US" w:eastAsia="zh-CN" w:bidi="ar-SA"/>
            </w:rPr>
            <w:instrText xml:space="preserve">TOC \o "1-3" \h \u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 w:val="21"/>
              <w:szCs w:val="32"/>
              <w:lang w:val="en-US" w:eastAsia="zh-CN" w:bidi="ar-SA"/>
            </w:rPr>
            <w:fldChar w:fldCharType="separate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_Toc9605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_Toc9605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_Toc22685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计划目的</w:t>
          </w:r>
          <w:r>
            <w:tab/>
          </w:r>
          <w:r>
            <w:fldChar w:fldCharType="begin"/>
          </w:r>
          <w:r>
            <w:instrText xml:space="preserve"> PAGEREF _Toc22685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_Toc12922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项目整体规划</w:t>
          </w:r>
          <w:r>
            <w:tab/>
          </w:r>
          <w:r>
            <w:fldChar w:fldCharType="begin"/>
          </w:r>
          <w:r>
            <w:instrText xml:space="preserve"> PAGEREF _Toc12922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_Toc4709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详细交付计划</w:t>
          </w:r>
          <w:r>
            <w:tab/>
          </w:r>
          <w:r>
            <w:fldChar w:fldCharType="begin"/>
          </w:r>
          <w:r>
            <w:instrText xml:space="preserve"> PAGEREF _Toc4709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_Toc5455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阶段一：项目启动与初始化（2025年1月）</w:t>
          </w:r>
          <w:r>
            <w:tab/>
          </w:r>
          <w:r>
            <w:fldChar w:fldCharType="begin"/>
          </w:r>
          <w:r>
            <w:instrText xml:space="preserve"> PAGEREF _Toc5455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_Toc8955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阶段目标</w:t>
          </w:r>
          <w:r>
            <w:tab/>
          </w:r>
          <w:r>
            <w:fldChar w:fldCharType="begin"/>
          </w:r>
          <w:r>
            <w:instrText xml:space="preserve"> PAGEREF _Toc8955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_Toc31595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t>重点工作说明</w:t>
          </w:r>
          <w:r>
            <w:tab/>
          </w:r>
          <w:r>
            <w:fldChar w:fldCharType="begin"/>
          </w:r>
          <w:r>
            <w:instrText xml:space="preserve"> PAGEREF _Toc31595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_Toc24496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3.1.3. </w:t>
          </w:r>
          <w:r>
            <w:t>阶段交付计划表</w:t>
          </w:r>
          <w:r>
            <w:tab/>
          </w:r>
          <w:r>
            <w:fldChar w:fldCharType="begin"/>
          </w:r>
          <w:r>
            <w:instrText xml:space="preserve"> PAGEREF _Toc24496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_Toc21587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阶段二：稳定运维与服务磨合（2025年2-4月）</w:t>
          </w:r>
          <w:r>
            <w:tab/>
          </w:r>
          <w:r>
            <w:fldChar w:fldCharType="begin"/>
          </w:r>
          <w:r>
            <w:instrText xml:space="preserve"> PAGEREF _Toc21587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_Toc4999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阶段目标</w:t>
          </w:r>
          <w:r>
            <w:tab/>
          </w:r>
          <w:r>
            <w:fldChar w:fldCharType="begin"/>
          </w:r>
          <w:r>
            <w:instrText xml:space="preserve"> PAGEREF _Toc4999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_Toc14921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重点工作说明</w:t>
          </w:r>
          <w:r>
            <w:tab/>
          </w:r>
          <w:r>
            <w:fldChar w:fldCharType="begin"/>
          </w:r>
          <w:r>
            <w:instrText xml:space="preserve"> PAGEREF _Toc14921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_Toc9687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3.2.3. </w:t>
          </w:r>
          <w:r>
            <w:t>阶段交付计划表</w:t>
          </w:r>
          <w:r>
            <w:tab/>
          </w:r>
          <w:r>
            <w:fldChar w:fldCharType="begin"/>
          </w:r>
          <w:r>
            <w:instrText xml:space="preserve"> PAGEREF _Toc9687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_Toc23774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阶段三：深度巡检与优化提升（2025年5-9月）</w:t>
          </w:r>
          <w:r>
            <w:tab/>
          </w:r>
          <w:r>
            <w:fldChar w:fldCharType="begin"/>
          </w:r>
          <w:r>
            <w:instrText xml:space="preserve"> PAGEREF _Toc23774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_Toc16164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3.3.1. </w:t>
          </w:r>
          <w:r>
            <w:t>阶段目标</w:t>
          </w:r>
          <w:r>
            <w:tab/>
          </w:r>
          <w:r>
            <w:fldChar w:fldCharType="begin"/>
          </w:r>
          <w:r>
            <w:instrText xml:space="preserve"> PAGEREF _Toc16164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_Toc25847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3.3.2. </w:t>
          </w:r>
          <w:r>
            <w:t>重点工作说明</w:t>
          </w:r>
          <w:r>
            <w:tab/>
          </w:r>
          <w:r>
            <w:fldChar w:fldCharType="begin"/>
          </w:r>
          <w:r>
            <w:instrText xml:space="preserve"> PAGEREF _Toc25847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_Toc9598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3.3.3. </w:t>
          </w:r>
          <w:r>
            <w:t>阶段交付计划表</w:t>
          </w:r>
          <w:r>
            <w:tab/>
          </w:r>
          <w:r>
            <w:fldChar w:fldCharType="begin"/>
          </w:r>
          <w:r>
            <w:instrText xml:space="preserve"> PAGEREF _Toc9598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_Toc17944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t>阶段四：全面总结与收尾（2025年10-12月）</w:t>
          </w:r>
          <w:r>
            <w:tab/>
          </w:r>
          <w:r>
            <w:fldChar w:fldCharType="begin"/>
          </w:r>
          <w:r>
            <w:instrText xml:space="preserve"> PAGEREF _Toc17944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_Toc5421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3.4.1. </w:t>
          </w:r>
          <w:r>
            <w:t>阶段目标</w:t>
          </w:r>
          <w:r>
            <w:tab/>
          </w:r>
          <w:r>
            <w:fldChar w:fldCharType="begin"/>
          </w:r>
          <w:r>
            <w:instrText xml:space="preserve"> PAGEREF _Toc5421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_Toc20212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3.4.2. </w:t>
          </w:r>
          <w:r>
            <w:t>重点工作说明</w:t>
          </w:r>
          <w:r>
            <w:tab/>
          </w:r>
          <w:r>
            <w:fldChar w:fldCharType="begin"/>
          </w:r>
          <w:r>
            <w:instrText xml:space="preserve"> PAGEREF _Toc20212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_Toc16248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3.4.3. </w:t>
          </w:r>
          <w:r>
            <w:t>阶段交付计划表</w:t>
          </w:r>
          <w:r>
            <w:tab/>
          </w:r>
          <w:r>
            <w:fldChar w:fldCharType="begin"/>
          </w:r>
          <w:r>
            <w:instrText xml:space="preserve"> PAGEREF _Toc16248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_Toc7059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交付物汇总说明</w:t>
          </w:r>
          <w:r>
            <w:tab/>
          </w:r>
          <w:r>
            <w:fldChar w:fldCharType="begin"/>
          </w:r>
          <w:r>
            <w:instrText xml:space="preserve"> PAGEREF _Toc7059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_Toc10426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交付物汇总表</w:t>
          </w:r>
          <w:r>
            <w:tab/>
          </w:r>
          <w:r>
            <w:fldChar w:fldCharType="begin"/>
          </w:r>
          <w:r>
            <w:instrText xml:space="preserve"> PAGEREF _Toc10426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_Toc23949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资源保障</w:t>
          </w:r>
          <w:r>
            <w:tab/>
          </w:r>
          <w:r>
            <w:fldChar w:fldCharType="begin"/>
          </w:r>
          <w:r>
            <w:instrText xml:space="preserve"> PAGEREF _Toc23949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_Toc10288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人员安排说明</w:t>
          </w:r>
          <w:r>
            <w:tab/>
          </w:r>
          <w:r>
            <w:fldChar w:fldCharType="begin"/>
          </w:r>
          <w:r>
            <w:instrText xml:space="preserve"> PAGEREF _Toc10288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_Toc21285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工具资源配置</w:t>
          </w:r>
          <w:r>
            <w:tab/>
          </w:r>
          <w:r>
            <w:fldChar w:fldCharType="begin"/>
          </w:r>
          <w:r>
            <w:instrText xml:space="preserve"> PAGEREF _Toc21285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_Toc7967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风险与应对措施</w:t>
          </w:r>
          <w:r>
            <w:tab/>
          </w:r>
          <w:r>
            <w:fldChar w:fldCharType="begin"/>
          </w:r>
          <w:r>
            <w:instrText xml:space="preserve"> PAGEREF _Toc7967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instrText xml:space="preserve"> HYPERLINK \l _Toc19537 </w:instrText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计划确认</w:t>
          </w:r>
          <w:r>
            <w:tab/>
          </w:r>
          <w:r>
            <w:fldChar w:fldCharType="begin"/>
          </w:r>
          <w:r>
            <w:instrText xml:space="preserve"> PAGEREF _Toc19537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ind w:left="1260" w:leftChars="600"/>
            <w:jc w:val="center"/>
          </w:pPr>
          <w:r>
            <w:rPr>
              <w:rFonts w:asciiTheme="minorEastAsia" w:eastAsiaTheme="minorEastAsia" w:hAnsiTheme="minorEastAsia" w:cstheme="minorEastAsia" w:hint="eastAsia"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r>
        <w:rPr>
          <w:rFonts w:hint="eastAsia"/>
        </w:rPr>
        <w:br w:type="page"/>
      </w:r>
    </w:p>
    <w:p>
      <w:pPr>
        <w:pStyle w:val="1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" w:name="_Toc22685"/>
      <w:bookmarkStart w:id="4" w:name="heading_3"/>
      <w:r>
        <w:t>计划目的</w:t>
      </w:r>
      <w:bookmarkEnd w:id="3"/>
      <w:bookmarkEnd w:id="4"/>
    </w:p>
    <w:p>
      <w:pPr>
        <w:pStyle w:val="a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为确保中国广电重庆网络股份有限公司（以下简称“甲方”）存储维保项目顺利交付，明确各阶段工作内容、时间节点、责任人与交付成果，特制定本交付计划。本计划依据双方签订的《存储维保合同》及《运维服务交付方案》（ZGS-09-02）编制，是项目执行的指导性文件。</w:t>
      </w:r>
    </w:p>
    <w:p>
      <w:pPr>
        <w:pStyle w:val="a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本计划旨在实现以下目标：</w:t>
      </w:r>
    </w:p>
    <w:p>
      <w:pPr>
        <w:pStyle w:val="a7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hanging="425" w:leftChars="0" w:firstLineChars="0"/>
      </w:pPr>
      <w:r>
        <w:t>有序推进：按阶段逐步开展运维工作，确保服务平稳过渡；</w:t>
      </w:r>
    </w:p>
    <w:p>
      <w:pPr>
        <w:pStyle w:val="a7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hanging="425" w:leftChars="0" w:firstLineChars="0"/>
      </w:pPr>
      <w:r>
        <w:t>责任明确：各项工作落实到人，避免推诿扯皮；</w:t>
      </w:r>
    </w:p>
    <w:p>
      <w:pPr>
        <w:pStyle w:val="a7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hanging="425" w:leftChars="0" w:firstLineChars="0"/>
      </w:pPr>
      <w:r>
        <w:t>过程可控：通过阶段验收和交付物管理，确保服务质量；</w:t>
      </w:r>
    </w:p>
    <w:p>
      <w:pPr>
        <w:pStyle w:val="a7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hanging="425" w:leftChars="0" w:firstLineChars="0"/>
      </w:pPr>
      <w:r>
        <w:t>持续改进：在服务过程中不断优化，提升客户满意度。</w:t>
      </w:r>
    </w:p>
    <w:p>
      <w:pPr>
        <w:pStyle w:val="1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5" w:name="_Toc12922"/>
      <w:bookmarkStart w:id="6" w:name="heading_4"/>
      <w:r>
        <w:t>项目整体规划</w:t>
      </w:r>
      <w:bookmarkEnd w:id="5"/>
      <w:bookmarkEnd w:id="6"/>
    </w:p>
    <w:p>
      <w:pPr>
        <w:pStyle w:val="a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本项目服务周期为2025年1月1日至2025年12月31日，共计12个月。根据存储维保服务的特点和项目推进规律，将整个服务周期划分为四个阶段：</w:t>
      </w:r>
    </w:p>
    <w:p>
      <w:pPr>
        <w:pStyle w:val="a7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hanging="425" w:leftChars="0" w:firstLineChars="0"/>
      </w:pPr>
      <w:r>
        <w:t>阶段一：项目启动与初始化（2025年1月）：完成项目基础搭建，确保后续运维工作有序开展；</w:t>
      </w:r>
    </w:p>
    <w:p>
      <w:pPr>
        <w:pStyle w:val="a7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hanging="425" w:leftChars="0" w:firstLineChars="0"/>
      </w:pPr>
      <w:r>
        <w:t>阶段二：稳定运维与服务磨合（2025年2-4月）：建立日常运维机制，收集初期问题，优化服务流程；</w:t>
      </w:r>
    </w:p>
    <w:p>
      <w:pPr>
        <w:pStyle w:val="a7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hanging="425" w:leftChars="0" w:firstLineChars="0"/>
      </w:pPr>
      <w:r>
        <w:t>阶段三：深度巡检与优化提升（2025年5-9月）：开展系统性检查和优化，提升机房环境及硬件稳定性；</w:t>
      </w:r>
    </w:p>
    <w:p>
      <w:pPr>
        <w:pStyle w:val="a7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hanging="425" w:leftChars="0" w:firstLineChars="0"/>
      </w:pPr>
      <w:r>
        <w:t>阶段四：全面总结与收尾（2025年10-12月）：完成年度运维任务，总结经验，准备项目收官。</w:t>
      </w:r>
    </w:p>
    <w:p>
      <w:pPr>
        <w:pStyle w:val="a7"/>
        <w:keepNext w:val="0"/>
        <w:keepLines w:val="0"/>
        <w:pageBreakBefore w:val="0"/>
        <w:widowControl w:val="0"/>
        <w:wordWrap/>
        <w:overflowPunct/>
        <w:topLinePunct w:val="0"/>
        <w:bidi w:val="0"/>
        <w:jc w:val="center"/>
        <w:rPr>
          <w:rFonts w:eastAsia="宋体" w:hint="eastAsia"/>
          <w:lang w:val="en-US" w:eastAsia="zh-CN"/>
        </w:rPr>
      </w:pPr>
      <w:bookmarkStart w:id="7" w:name="heading_5"/>
      <w:r>
        <w:t>项目里程碑概览</w:t>
      </w:r>
      <w:bookmarkEnd w:id="7"/>
      <w:r>
        <w:rPr>
          <w:rFonts w:hint="eastAsia"/>
          <w:lang w:val="en-US" w:eastAsia="zh-CN"/>
        </w:rPr>
        <w:t>表</w:t>
      </w:r>
    </w:p>
    <w:tbl>
      <w:tblPr>
        <w:tblStyle w:val="TableNormal"/>
        <w:tblW w:w="84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13"/>
        <w:gridCol w:w="1236"/>
        <w:gridCol w:w="2436"/>
        <w:gridCol w:w="3020"/>
      </w:tblGrid>
      <w:tr>
        <w:tblPrEx>
          <w:tblW w:w="840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阶段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时间周期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核心工作</w:t>
            </w:r>
          </w:p>
        </w:tc>
        <w:tc>
          <w:tcPr>
            <w:tcW w:w="30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主要交付物</w:t>
            </w:r>
          </w:p>
        </w:tc>
      </w:tr>
      <w:tr>
        <w:tblPrEx>
          <w:tblW w:w="84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阶段一：项目启动与初始化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2025年1月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需求确认、团队组建、工具部署、首次健康检查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《运维服务需求清单》《交付方案》确认、《系统健康检查报告》</w:t>
            </w:r>
          </w:p>
        </w:tc>
      </w:tr>
      <w:tr>
        <w:tblPrEx>
          <w:tblW w:w="84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阶段二：稳定运维与服务磨合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2025年2-4月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日常运维、知识库建立、首次安防审计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阶段验收报告、满意度调查</w:t>
            </w:r>
          </w:p>
        </w:tc>
      </w:tr>
      <w:tr>
        <w:tblPrEx>
          <w:tblW w:w="84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阶段三：深度巡检与优化提升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2025年5-9月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硬件深度巡检、安防审计优化、应急演练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阶段验收报告、硬件健康检查报告、应急演练报告</w:t>
            </w:r>
          </w:p>
        </w:tc>
      </w:tr>
      <w:tr>
        <w:tblPrEx>
          <w:tblW w:w="84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阶段四：全面总结与收尾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2025年10-12月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全面巡检、年度总结、服务改进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年度总结报告、最终验收确认、服务改进报告</w:t>
            </w:r>
          </w:p>
        </w:tc>
      </w:tr>
    </w:tbl>
    <w:p>
      <w:pPr>
        <w:pStyle w:val="1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8" w:name="heading_6"/>
      <w:bookmarkStart w:id="9" w:name="_Toc4709"/>
      <w:r>
        <w:t>详细交付计划</w:t>
      </w:r>
      <w:bookmarkEnd w:id="8"/>
      <w:bookmarkEnd w:id="9"/>
    </w:p>
    <w:p>
      <w:pPr>
        <w:pStyle w:val="2"/>
        <w:bidi w:val="0"/>
      </w:pPr>
      <w:bookmarkStart w:id="10" w:name="heading_7"/>
      <w:bookmarkStart w:id="11" w:name="_Toc5455"/>
      <w:r>
        <w:t>阶段一：项目启动与初始化（2025年1月）</w:t>
      </w:r>
      <w:bookmarkEnd w:id="10"/>
      <w:bookmarkEnd w:id="11"/>
    </w:p>
    <w:p>
      <w:pPr>
        <w:pStyle w:val="3"/>
        <w:bidi w:val="0"/>
      </w:pPr>
      <w:bookmarkStart w:id="12" w:name="_Toc8955"/>
      <w:bookmarkStart w:id="13" w:name="heading_8"/>
      <w:r>
        <w:t>阶段目标</w:t>
      </w:r>
      <w:bookmarkEnd w:id="12"/>
      <w:bookmarkEnd w:id="13"/>
    </w:p>
    <w:p>
      <w:pPr>
        <w:pStyle w:val="a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本阶段的核心目标是“打好基础、明确方向”。通过项目启动会、需求确认、工具部署等前期工作，确保双方对服务范围、交付标准、沟通机制达成共识，为后续运维工作奠定坚实基础。</w:t>
      </w:r>
    </w:p>
    <w:p>
      <w:pPr>
        <w:pStyle w:val="3"/>
        <w:bidi w:val="0"/>
      </w:pPr>
      <w:bookmarkStart w:id="14" w:name="_Toc31595"/>
      <w:bookmarkStart w:id="15" w:name="heading_9"/>
      <w:r>
        <w:t>重点工作说明</w:t>
      </w:r>
      <w:bookmarkEnd w:id="14"/>
      <w:bookmarkEnd w:id="15"/>
    </w:p>
    <w:p>
      <w:pPr>
        <w:pStyle w:val="a7"/>
        <w:numPr>
          <w:ilvl w:val="0"/>
          <w:numId w:val="4"/>
        </w:numPr>
        <w:bidi w:val="0"/>
        <w:ind w:left="425" w:hanging="425" w:leftChars="0" w:firstLineChars="0"/>
      </w:pPr>
      <w:r>
        <w:t>项目启动会：双方项目团队首次正式会面，介绍各自人员分工，明确沟通渠道和决策流程，确保后续协作顺畅。</w:t>
      </w:r>
    </w:p>
    <w:p>
      <w:pPr>
        <w:pStyle w:val="a7"/>
        <w:numPr>
          <w:ilvl w:val="0"/>
          <w:numId w:val="4"/>
        </w:numPr>
        <w:bidi w:val="0"/>
        <w:ind w:left="425" w:hanging="425" w:leftChars="0" w:firstLineChars="0"/>
      </w:pPr>
      <w:r>
        <w:t>需求清单确认：与甲方深入沟通，确认托管设备清单、安防管控要求、重点关注事项，形成书面需求清单。</w:t>
      </w:r>
    </w:p>
    <w:p>
      <w:pPr>
        <w:pStyle w:val="a7"/>
        <w:numPr>
          <w:ilvl w:val="0"/>
          <w:numId w:val="4"/>
        </w:numPr>
        <w:bidi w:val="0"/>
        <w:ind w:left="425" w:hanging="425" w:leftChars="0" w:firstLineChars="0"/>
      </w:pPr>
      <w:r>
        <w:t>运维工具部署：部署监控工具、配置工单系统访问权限、确认数据库审计和日志审计运行状态，确保运维工具可用。</w:t>
      </w:r>
    </w:p>
    <w:p>
      <w:pPr>
        <w:pStyle w:val="a7"/>
        <w:numPr>
          <w:ilvl w:val="0"/>
          <w:numId w:val="4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服务知识</w:t>
      </w:r>
      <w:r>
        <w:t>初始化：根据托管设备特点和常见问题，建立初始运维知识库，包含硬件故障排查指南、机房环境应急预案等。</w:t>
      </w:r>
    </w:p>
    <w:p>
      <w:pPr>
        <w:pStyle w:val="a7"/>
        <w:numPr>
          <w:ilvl w:val="0"/>
          <w:numId w:val="4"/>
        </w:numPr>
        <w:bidi w:val="0"/>
        <w:ind w:left="425" w:hanging="425" w:leftChars="0" w:firstLineChars="0"/>
      </w:pPr>
      <w:r>
        <w:t>首次设备健康检查：对托管设备进行全面“体检”，记录当前状态作为基线，便于后续对比和问题追溯。</w:t>
      </w:r>
    </w:p>
    <w:p>
      <w:pPr>
        <w:pStyle w:val="a7"/>
        <w:numPr>
          <w:ilvl w:val="0"/>
          <w:numId w:val="4"/>
        </w:numPr>
        <w:bidi w:val="0"/>
        <w:ind w:left="425" w:hanging="425" w:leftChars="0" w:firstLineChars="0"/>
      </w:pPr>
      <w:r>
        <w:t>交付方案/计划确认：将本阶段形成的各项文档提交甲方确认，作为后续工作的依据。</w:t>
      </w:r>
    </w:p>
    <w:p>
      <w:pPr>
        <w:pStyle w:val="3"/>
        <w:bidi w:val="0"/>
      </w:pPr>
      <w:bookmarkStart w:id="16" w:name="heading_10"/>
      <w:bookmarkStart w:id="17" w:name="_Toc24496"/>
      <w:r>
        <w:t>阶段交付计划表</w:t>
      </w:r>
      <w:bookmarkEnd w:id="16"/>
      <w:bookmarkEnd w:id="1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22"/>
        <w:gridCol w:w="1380"/>
        <w:gridCol w:w="1179"/>
        <w:gridCol w:w="2721"/>
        <w:gridCol w:w="162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2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工作内容</w:t>
            </w:r>
          </w:p>
        </w:tc>
        <w:tc>
          <w:tcPr>
            <w:tcW w:w="13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17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计划时间</w:t>
            </w:r>
          </w:p>
        </w:tc>
        <w:tc>
          <w:tcPr>
            <w:tcW w:w="27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交付物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参与方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项目启动会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刘霞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1月5日前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会议纪要、联系表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双方项目团队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需求清单确认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刘霞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1月5-8日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《运维服务需求清单》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甲方对接人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运维工具部署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1月8-12日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工具部署记录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乙方运维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知识库初始化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1月12-15日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初始知识库（含硬件故障排查指南）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乙方运维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首次设备健康检查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1月15-20日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《设备健康检查报告》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乙方运维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交付方案/计划确认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刘霞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1月25日前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《交付方案》《交付计划》签字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甲方代表</w:t>
            </w:r>
          </w:p>
        </w:tc>
      </w:tr>
    </w:tbl>
    <w:p>
      <w:pPr>
        <w:pStyle w:val="2"/>
        <w:bidi w:val="0"/>
      </w:pPr>
      <w:bookmarkStart w:id="18" w:name="heading_11"/>
      <w:bookmarkStart w:id="19" w:name="_Toc21587"/>
      <w:r>
        <w:t>阶段二：稳定运维与服务磨合（2025年2-4月）</w:t>
      </w:r>
      <w:bookmarkEnd w:id="18"/>
      <w:bookmarkEnd w:id="19"/>
    </w:p>
    <w:p>
      <w:pPr>
        <w:pStyle w:val="3"/>
        <w:bidi w:val="0"/>
      </w:pPr>
      <w:bookmarkStart w:id="20" w:name="heading_12"/>
      <w:bookmarkStart w:id="21" w:name="_Toc4999"/>
      <w:r>
        <w:t>阶段目标</w:t>
      </w:r>
      <w:bookmarkEnd w:id="20"/>
      <w:bookmarkEnd w:id="21"/>
    </w:p>
    <w:p>
      <w:pPr>
        <w:pStyle w:val="a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本阶段的核心目标是“跑通流程、建立信任”。通过三个月的日常运维，让双方团队熟悉协作模式，及时发现并解决初期问题，建立运维服务的标准化运作机制。</w:t>
      </w:r>
    </w:p>
    <w:p>
      <w:pPr>
        <w:pStyle w:val="3"/>
        <w:bidi w:val="0"/>
      </w:pPr>
      <w:bookmarkStart w:id="22" w:name="_Toc14921"/>
      <w:bookmarkStart w:id="23" w:name="heading_13"/>
      <w:r>
        <w:t>重点工作说明</w:t>
      </w:r>
      <w:bookmarkEnd w:id="22"/>
      <w:bookmarkEnd w:id="23"/>
    </w:p>
    <w:p>
      <w:pPr>
        <w:pStyle w:val="a7"/>
        <w:numPr>
          <w:ilvl w:val="0"/>
          <w:numId w:val="5"/>
        </w:numPr>
        <w:bidi w:val="0"/>
        <w:ind w:left="425" w:hanging="425" w:leftChars="0" w:firstLineChars="0"/>
      </w:pPr>
      <w:r>
        <w:t>日常运维：通过工单系统接收并处理甲方提交的各类请求，包括硬件故障报修、技术咨询、现场支持等。所有操作均需记录在案，确保服务过程可追溯。</w:t>
      </w:r>
    </w:p>
    <w:p>
      <w:pPr>
        <w:pStyle w:val="a7"/>
        <w:numPr>
          <w:ilvl w:val="0"/>
          <w:numId w:val="5"/>
        </w:numPr>
        <w:bidi w:val="0"/>
        <w:ind w:left="425" w:hanging="425" w:leftChars="0" w:firstLineChars="0"/>
      </w:pPr>
      <w:r>
        <w:t>月度SLA统计：每月统计机房环境可用性、电力可用性、硬件故障响应率等指标，编制《运维服务质量月报》，内部审核后作为改进依据。</w:t>
      </w:r>
    </w:p>
    <w:p>
      <w:pPr>
        <w:pStyle w:val="a7"/>
        <w:numPr>
          <w:ilvl w:val="0"/>
          <w:numId w:val="5"/>
        </w:numPr>
        <w:bidi w:val="0"/>
        <w:ind w:left="425" w:hanging="425" w:leftChars="0" w:firstLineChars="0"/>
      </w:pPr>
      <w:r>
        <w:t>硬件状态巡检：每月对服务器硬件进行状态检查，包括CPU/内存/磁盘使用率、硬件告警日志、设备运行温度等，及时发现潜在风险。</w:t>
      </w:r>
    </w:p>
    <w:p>
      <w:pPr>
        <w:pStyle w:val="a7"/>
        <w:numPr>
          <w:ilvl w:val="0"/>
          <w:numId w:val="5"/>
        </w:numPr>
        <w:bidi w:val="0"/>
        <w:ind w:left="425" w:hanging="425" w:leftChars="0" w:firstLineChars="0"/>
      </w:pPr>
      <w:r>
        <w:t>安防审计检查：每月检查数据库审计和日志审计运行状态，确认审计日志完整、无异常告警。</w:t>
      </w:r>
    </w:p>
    <w:p>
      <w:pPr>
        <w:pStyle w:val="a7"/>
        <w:numPr>
          <w:ilvl w:val="0"/>
          <w:numId w:val="5"/>
        </w:numPr>
        <w:bidi w:val="0"/>
        <w:ind w:left="425" w:hanging="425" w:leftChars="0" w:firstLineChars="0"/>
      </w:pPr>
      <w:r>
        <w:t>阶段复盘与验收：本阶段结束时，与甲方共同召开复盘会，总结三个月来的服务情况，收集反馈意见，完成阶段验收。</w:t>
      </w:r>
    </w:p>
    <w:p>
      <w:pPr>
        <w:pStyle w:val="3"/>
        <w:bidi w:val="0"/>
      </w:pPr>
      <w:bookmarkStart w:id="24" w:name="_Toc9687"/>
      <w:bookmarkStart w:id="25" w:name="heading_14"/>
      <w:r>
        <w:t>阶段交付计划表</w:t>
      </w:r>
      <w:bookmarkEnd w:id="24"/>
      <w:bookmarkEnd w:id="25"/>
    </w:p>
    <w:tbl>
      <w:tblPr>
        <w:tblStyle w:val="TableNormal"/>
        <w:tblW w:w="85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74"/>
        <w:gridCol w:w="1086"/>
        <w:gridCol w:w="1554"/>
        <w:gridCol w:w="2246"/>
        <w:gridCol w:w="1580"/>
      </w:tblGrid>
      <w:tr>
        <w:tblPrEx>
          <w:tblW w:w="854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7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工作内容</w:t>
            </w:r>
          </w:p>
        </w:tc>
        <w:tc>
          <w:tcPr>
            <w:tcW w:w="10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5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计划时间</w:t>
            </w:r>
          </w:p>
        </w:tc>
        <w:tc>
          <w:tcPr>
            <w:tcW w:w="22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交付物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备注</w:t>
            </w: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日常运维（远程/现场）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持续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《过程记录单》《服务确认单》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按需</w:t>
            </w: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月度SLA统计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每月5日前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《运维服务质量月报》（2/3/4月）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内部审核</w:t>
            </w: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硬件状态巡检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每月1次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《硬件巡检记录单》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2月、3月、4月各1次</w:t>
            </w: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安防审计检查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每月1次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《安防审计检查记录》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数据库审计、日志审计</w:t>
            </w: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阶段满意度调查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质量管理专员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4月25-30日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《客户满意度调查表》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阶段复盘会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刘霞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4月30日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会议纪要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双方参与</w:t>
            </w: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7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阶段验收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刘霞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4月30日前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《运维服务验收报告（阶段二）》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甲方签字确认</w:t>
            </w:r>
          </w:p>
        </w:tc>
      </w:tr>
    </w:tbl>
    <w:p>
      <w:pPr>
        <w:pStyle w:val="2"/>
        <w:bidi w:val="0"/>
      </w:pPr>
      <w:bookmarkStart w:id="26" w:name="heading_15"/>
      <w:bookmarkStart w:id="27" w:name="_Toc23774"/>
      <w:r>
        <w:t>阶段三：深度巡检与优化提升（2025年5-9月）</w:t>
      </w:r>
      <w:bookmarkEnd w:id="26"/>
      <w:bookmarkEnd w:id="27"/>
    </w:p>
    <w:p>
      <w:pPr>
        <w:pStyle w:val="3"/>
        <w:bidi w:val="0"/>
      </w:pPr>
      <w:bookmarkStart w:id="28" w:name="_Toc16164"/>
      <w:bookmarkStart w:id="29" w:name="heading_16"/>
      <w:r>
        <w:t>阶段目标</w:t>
      </w:r>
      <w:bookmarkEnd w:id="28"/>
      <w:bookmarkEnd w:id="29"/>
    </w:p>
    <w:p>
      <w:pPr>
        <w:pStyle w:val="a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本阶段的核心目标是“主动预防、优化提升”。在前三个月稳定运行的基础上，主动开展系统性检查和优化工作，发现潜在问题并提前解决，提升机房环境和硬件设备的整体稳定性。</w:t>
      </w:r>
    </w:p>
    <w:p>
      <w:pPr>
        <w:pStyle w:val="3"/>
        <w:bidi w:val="0"/>
      </w:pPr>
      <w:bookmarkStart w:id="30" w:name="_Toc25847"/>
      <w:bookmarkStart w:id="31" w:name="heading_17"/>
      <w:r>
        <w:t>重点工作说明</w:t>
      </w:r>
      <w:bookmarkEnd w:id="30"/>
      <w:bookmarkEnd w:id="31"/>
    </w:p>
    <w:p>
      <w:pPr>
        <w:pStyle w:val="a5"/>
        <w:numPr>
          <w:ilvl w:val="0"/>
          <w:numId w:val="6"/>
        </w:numPr>
        <w:bidi w:val="0"/>
        <w:ind w:left="425" w:hanging="425" w:leftChars="0" w:firstLineChars="0"/>
      </w:pPr>
      <w:r>
        <w:t>硬件深度巡检：除常规巡检外，对硬件设备进行深度检查，包括磁盘健康状态（SMART信息）、内存稳定性、电源冗余测试等，形成硬件健康检查报告。</w:t>
      </w:r>
    </w:p>
    <w:p>
      <w:pPr>
        <w:pStyle w:val="a5"/>
        <w:numPr>
          <w:ilvl w:val="0"/>
          <w:numId w:val="6"/>
        </w:numPr>
        <w:bidi w:val="0"/>
        <w:ind w:left="425" w:hanging="425" w:leftChars="0" w:firstLineChars="0"/>
      </w:pPr>
      <w:r>
        <w:t>安防审计优化：对数据库审计和日志审计的规则进行优化，减少误报，提升告警准确率。</w:t>
      </w:r>
    </w:p>
    <w:p>
      <w:pPr>
        <w:pStyle w:val="a5"/>
        <w:numPr>
          <w:ilvl w:val="0"/>
          <w:numId w:val="6"/>
        </w:numPr>
        <w:bidi w:val="0"/>
        <w:ind w:left="425" w:hanging="425" w:leftChars="0" w:firstLineChars="0"/>
      </w:pPr>
      <w:r>
        <w:t>应急演练：模拟机房电力中断或硬件故障场景，开展应急响应演练，验证应急预案的可行性和响应时效。演练结束后形成演练报告，记录演练过程和改进建议。</w:t>
      </w:r>
    </w:p>
    <w:p>
      <w:pPr>
        <w:pStyle w:val="a5"/>
        <w:numPr>
          <w:ilvl w:val="0"/>
          <w:numId w:val="6"/>
        </w:numPr>
        <w:bidi w:val="0"/>
        <w:ind w:left="425" w:hanging="425" w:leftChars="0" w:firstLineChars="0"/>
      </w:pPr>
      <w:r>
        <w:t>知识库更新：根据本阶段发现的新问题和解决方案，持续更新运维知识库，丰富硬件故障排查手册和机房环境应急预案。</w:t>
      </w:r>
    </w:p>
    <w:p>
      <w:pPr>
        <w:pStyle w:val="a5"/>
        <w:numPr>
          <w:ilvl w:val="0"/>
          <w:numId w:val="6"/>
        </w:numPr>
        <w:bidi w:val="0"/>
        <w:ind w:left="425" w:hanging="425" w:leftChars="0" w:firstLineChars="0"/>
      </w:pPr>
      <w:r>
        <w:t>阶段复盘与验收：本阶段结束时，与甲方共同召开复盘会，总结深度巡检和优化工作的成效，完成阶段验收。</w:t>
      </w:r>
    </w:p>
    <w:p>
      <w:pPr>
        <w:pStyle w:val="3"/>
        <w:bidi w:val="0"/>
      </w:pPr>
      <w:bookmarkStart w:id="32" w:name="heading_18"/>
      <w:bookmarkStart w:id="33" w:name="_Toc9598"/>
      <w:r>
        <w:t>阶段交付计划表</w:t>
      </w:r>
      <w:bookmarkEnd w:id="32"/>
      <w:bookmarkEnd w:id="33"/>
    </w:p>
    <w:tbl>
      <w:tblPr>
        <w:tblStyle w:val="TableNormal"/>
        <w:tblW w:w="85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580"/>
        <w:gridCol w:w="1260"/>
        <w:gridCol w:w="2540"/>
        <w:gridCol w:w="1580"/>
      </w:tblGrid>
      <w:tr>
        <w:tblPrEx>
          <w:tblW w:w="854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工作内容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计划时间</w:t>
            </w:r>
          </w:p>
        </w:tc>
        <w:tc>
          <w:tcPr>
            <w:tcW w:w="25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交付物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备注</w:t>
            </w: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日常运维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持续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《过程记录单》《服务确认单》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月度SLA统计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每月5日前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《运维服务质量月报》（5/6/7/8/9月）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硬件深度巡检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6月中旬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《硬件健康检查报告》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含磁盘、内存、电源测试</w:t>
            </w: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安防审计优化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7月中旬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《安防审计优化记录》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规则优化</w:t>
            </w: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应急演练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8月中旬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《应急演练方案》《应急演练报告》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含响应时效验证</w:t>
            </w: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知识库更新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每月末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知识库更新记录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阶段满意度调查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质量管理专员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9月25-30日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《客户满意度调查表》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阶段复盘会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刘霞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9月30日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会议纪要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双方参与</w:t>
            </w:r>
          </w:p>
        </w:tc>
      </w:tr>
      <w:tr>
        <w:tblPrEx>
          <w:tblW w:w="854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阶段验收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刘霞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9月30日前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《运维服务验收报告（阶段三）》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甲方签字确认</w:t>
            </w:r>
          </w:p>
        </w:tc>
      </w:tr>
    </w:tbl>
    <w:p>
      <w:pPr>
        <w:pStyle w:val="2"/>
        <w:bidi w:val="0"/>
      </w:pPr>
      <w:bookmarkStart w:id="34" w:name="heading_19"/>
      <w:bookmarkStart w:id="35" w:name="_Toc17944"/>
      <w:r>
        <w:t>阶段四：全面总结与收尾（2025年10-12月）</w:t>
      </w:r>
      <w:bookmarkEnd w:id="34"/>
      <w:bookmarkEnd w:id="35"/>
    </w:p>
    <w:p>
      <w:pPr>
        <w:pStyle w:val="3"/>
        <w:bidi w:val="0"/>
      </w:pPr>
      <w:bookmarkStart w:id="36" w:name="heading_20"/>
      <w:bookmarkStart w:id="37" w:name="_Toc5421"/>
      <w:r>
        <w:t>阶段目标</w:t>
      </w:r>
      <w:bookmarkEnd w:id="36"/>
      <w:bookmarkEnd w:id="37"/>
    </w:p>
    <w:p>
      <w:pPr>
        <w:pStyle w:val="a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本阶段的核心目标是“圆满收官、持续改进”。在服务周期的最后三个月，既要保障日常运维不中断，又要系统性地总结全年工作，形成完整的服务记录和改进建议，为项目续签或后续合作奠定基础。</w:t>
      </w:r>
    </w:p>
    <w:p>
      <w:pPr>
        <w:pStyle w:val="3"/>
        <w:bidi w:val="0"/>
      </w:pPr>
      <w:bookmarkStart w:id="38" w:name="_Toc20212"/>
      <w:bookmarkStart w:id="39" w:name="heading_21"/>
      <w:r>
        <w:t>重点工作说明</w:t>
      </w:r>
      <w:bookmarkEnd w:id="38"/>
      <w:bookmarkEnd w:id="39"/>
    </w:p>
    <w:p>
      <w:pPr>
        <w:pStyle w:val="a5"/>
        <w:bidi w:val="0"/>
      </w:pPr>
      <w:r>
        <w:t>全面设备巡检：对托管设备进行全方位的最终巡检，包括硬件运行状态、安防审计日志、备份有效性验证等，形成全面巡检报告。</w:t>
      </w:r>
    </w:p>
    <w:p>
      <w:pPr>
        <w:pStyle w:val="a5"/>
        <w:bidi w:val="0"/>
      </w:pPr>
      <w:r>
        <w:t>年度满意度调查：通过问卷和电话回访，全面收集甲方对全年服务的满意度评价，作为服务质量评估的重要依据。</w:t>
      </w:r>
    </w:p>
    <w:p>
      <w:pPr>
        <w:pStyle w:val="a5"/>
        <w:bidi w:val="0"/>
      </w:pPr>
      <w:r>
        <w:t>服务改进建议收集：与甲方深入沟通，收集对服务的改进建议，为后续服务优化提供参考。</w:t>
      </w:r>
    </w:p>
    <w:p>
      <w:pPr>
        <w:pStyle w:val="a5"/>
        <w:bidi w:val="0"/>
      </w:pPr>
      <w:r>
        <w:t>-年度总结与验收：编制《运维服务年度总结报告》，汇总全年SLA达成情况、服务成果、问题分析、改进建议等，与甲方共同召开年度总结会，完成最终验收。</w:t>
      </w:r>
    </w:p>
    <w:p>
      <w:pPr>
        <w:pStyle w:val="a5"/>
        <w:bidi w:val="0"/>
      </w:pPr>
      <w:r>
        <w:t>交付物归档与服务改进报告：将所有交付物按规范归档，同时编制《服务改进报告》，总结全年服务经验，提出下一年度的改进方向。</w:t>
      </w:r>
    </w:p>
    <w:p>
      <w:pPr>
        <w:pStyle w:val="3"/>
        <w:bidi w:val="0"/>
      </w:pPr>
      <w:bookmarkStart w:id="40" w:name="heading_22"/>
      <w:bookmarkStart w:id="41" w:name="_Toc16248"/>
      <w:r>
        <w:t>阶段交付计划表</w:t>
      </w:r>
      <w:bookmarkEnd w:id="40"/>
      <w:bookmarkEnd w:id="4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13"/>
        <w:gridCol w:w="1399"/>
        <w:gridCol w:w="1265"/>
        <w:gridCol w:w="2639"/>
        <w:gridCol w:w="140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工作内容</w:t>
            </w:r>
          </w:p>
        </w:tc>
        <w:tc>
          <w:tcPr>
            <w:tcW w:w="139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计划时间</w:t>
            </w:r>
          </w:p>
        </w:tc>
        <w:tc>
          <w:tcPr>
            <w:tcW w:w="26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交付物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备注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日常运维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持续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《过程记录单》《服务确认单》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月度SLA统计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每月5日前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《运维服务质量月报》（10/11/12月）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全面设备巡检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11月中旬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《设备全面巡检报告》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含硬件、安防、备份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年度满意度调查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质量管理专员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12月10-15日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《年度客户满意度调查表》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服务改进建议收集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刘霞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12月15-20日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《服务改进建议清单》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年度总结会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刘霞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12月25日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会议纪要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双方管理层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所有交付物归档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12月30日前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项目归档清单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阿里云企业云盘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服务改进报告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刘霞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12月30日前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《服务改进报告》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含下一年建议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年度总结报告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刘霞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12月31日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《运维服务年度总结报告》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含SLA达成汇总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年度验收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刘霞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12月31日前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《运维服务验收报告（年度）》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甲方签字确认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续签意向沟通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刘霞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12月31日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续签意向书（可选）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如需续签</w:t>
            </w:r>
          </w:p>
        </w:tc>
      </w:tr>
    </w:tbl>
    <w:p>
      <w:pPr>
        <w:pStyle w:val="1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42" w:name="heading_23"/>
      <w:bookmarkStart w:id="43" w:name="_Toc7059"/>
      <w:r>
        <w:t>交付物汇总说明</w:t>
      </w:r>
      <w:bookmarkEnd w:id="42"/>
      <w:bookmarkEnd w:id="43"/>
    </w:p>
    <w:p>
      <w:pPr>
        <w:pStyle w:val="a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为确保项目全过程可追溯、可考核，本项目将按照以下清单提交各类交付物。所有交付物均需符合公司文档管理规范，分类归档至阿里云企业云盘，并设置相应的访问权限。</w:t>
      </w:r>
    </w:p>
    <w:p>
      <w:pPr>
        <w:pStyle w:val="2"/>
        <w:bidi w:val="0"/>
      </w:pPr>
      <w:bookmarkStart w:id="44" w:name="_Toc10426"/>
      <w:bookmarkStart w:id="45" w:name="heading_24"/>
      <w:r>
        <w:t>交付物汇总表</w:t>
      </w:r>
      <w:bookmarkEnd w:id="44"/>
      <w:bookmarkEnd w:id="45"/>
    </w:p>
    <w:tbl>
      <w:tblPr>
        <w:tblStyle w:val="TableNormal"/>
        <w:tblW w:w="875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020"/>
        <w:gridCol w:w="1580"/>
        <w:gridCol w:w="1473"/>
        <w:gridCol w:w="1580"/>
        <w:gridCol w:w="1100"/>
      </w:tblGrid>
      <w:tr>
        <w:tblPrEx>
          <w:tblW w:w="875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02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交付物名称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提交频次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提交时间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1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确认方式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《运维服务需求清单》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一次性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阶段一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刘霞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甲方签字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《运维服务交付方案》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一次性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阶段一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刘霞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甲方签字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《运维服务交付计划》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一次性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阶段一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刘霞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甲方签字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《设备健康检查报告》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一次性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阶段一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甲方确认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《运维服务过程记录单》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每次服务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服务后1日内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系统记录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《远程运维服务确认单》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每次远程服务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服务后1日内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甲方确认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《现场运维服务单》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每次现场服务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服务后1日内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甲方签字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《硬件故障处理记录单》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每次硬件故障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故障处理后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甲方确认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《运维服务质量月报》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每月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次月5日前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内部审核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《硬件巡检记录单》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每月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巡检后3日内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内部存档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《安防审计检查记录》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每月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检查后3日内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内部存档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《运维服务验收报告（阶段）》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每阶段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阶段末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刘霞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甲方签字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《客户满意度调查表》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每阶段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阶段末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质量管理专员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归档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《硬件健康检查报告》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阶段三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甲方确认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《安防审计优化记录》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阶段三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内部存档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《应急演练报告》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阶段三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甲方确认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《设备全面巡检报告》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阶段四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甲方确认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《服务改进报告》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阶段四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刘霞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甲方签字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《运维服务年度总结报告》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阶段四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刘霞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甲方签字</w:t>
            </w:r>
          </w:p>
        </w:tc>
      </w:tr>
      <w:tr>
        <w:tblPrEx>
          <w:tblW w:w="875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《项目归档清单》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一次性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阶段四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运维工程师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内部存档</w:t>
            </w:r>
          </w:p>
        </w:tc>
      </w:tr>
    </w:tbl>
    <w:p>
      <w:pPr>
        <w:pStyle w:val="1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46" w:name="heading_25"/>
      <w:bookmarkStart w:id="47" w:name="_Toc23949"/>
      <w:r>
        <w:t>资源保障</w:t>
      </w:r>
      <w:bookmarkEnd w:id="46"/>
      <w:bookmarkEnd w:id="47"/>
    </w:p>
    <w:p>
      <w:pPr>
        <w:pStyle w:val="2"/>
        <w:bidi w:val="0"/>
      </w:pPr>
      <w:bookmarkStart w:id="48" w:name="heading_26"/>
      <w:bookmarkStart w:id="49" w:name="_Toc10288"/>
      <w:r>
        <w:t>人员安排说明</w:t>
      </w:r>
      <w:bookmarkEnd w:id="48"/>
      <w:bookmarkEnd w:id="49"/>
    </w:p>
    <w:p>
      <w:pPr>
        <w:pStyle w:val="a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本项目配备专职项目经理和运维工程师团队，确保服务响应的及时性和专业性。所有人员均具备存储维保运维经验，熟悉ITSS服务标准。具体分工如下：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08"/>
        <w:gridCol w:w="1810"/>
        <w:gridCol w:w="490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角色</w:t>
            </w:r>
          </w:p>
        </w:tc>
        <w:tc>
          <w:tcPr>
            <w:tcW w:w="181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姓名</w:t>
            </w:r>
          </w:p>
        </w:tc>
        <w:tc>
          <w:tcPr>
            <w:tcW w:w="49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刘霞</w:t>
            </w:r>
          </w:p>
        </w:tc>
        <w:tc>
          <w:tcPr>
            <w:tcW w:w="49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统筹协调、客户沟通、质量把控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运维工程师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李强（暂定）</w:t>
            </w:r>
          </w:p>
        </w:tc>
        <w:tc>
          <w:tcPr>
            <w:tcW w:w="49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硬件监控、故障诊断、现场配合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运维工程师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王磊（暂定）</w:t>
            </w:r>
          </w:p>
        </w:tc>
        <w:tc>
          <w:tcPr>
            <w:tcW w:w="49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机房环境巡检、安防审计检查、过程记录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质量管理专员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陈芳（暂定）</w:t>
            </w:r>
          </w:p>
        </w:tc>
        <w:tc>
          <w:tcPr>
            <w:tcW w:w="4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SLA审核、满意度调查、合规性检查</w:t>
            </w:r>
          </w:p>
        </w:tc>
      </w:tr>
    </w:tbl>
    <w:p>
      <w:pPr>
        <w:pStyle w:val="a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注：以上人员名单为暂定，最终人员将在项目启动后3个工作日内书面通知甲方。关键岗位实行AB角备份机制，确保人员变动不影响服务质量。</w:t>
      </w:r>
    </w:p>
    <w:p>
      <w:pPr>
        <w:pStyle w:val="2"/>
        <w:bidi w:val="0"/>
      </w:pPr>
      <w:bookmarkStart w:id="50" w:name="heading_27"/>
      <w:bookmarkStart w:id="51" w:name="_Toc21285"/>
      <w:r>
        <w:t>工具资源配置</w:t>
      </w:r>
      <w:bookmarkEnd w:id="50"/>
      <w:bookmarkEnd w:id="5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69"/>
        <w:gridCol w:w="3232"/>
        <w:gridCol w:w="382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6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资源类型</w:t>
            </w:r>
          </w:p>
        </w:tc>
        <w:tc>
          <w:tcPr>
            <w:tcW w:w="323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工具名称</w:t>
            </w:r>
          </w:p>
        </w:tc>
        <w:tc>
          <w:tcPr>
            <w:tcW w:w="38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用途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监控工具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机房监控系统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机房环境、电力状态监控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审计工具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数据库审计、日志审计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安防管控、日志收集与审计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文档管理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阿里云企业云盘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交付物归档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6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通讯工具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电话、微信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日常沟通与响应</w:t>
            </w:r>
          </w:p>
        </w:tc>
      </w:tr>
    </w:tbl>
    <w:p>
      <w:pPr>
        <w:pStyle w:val="1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52" w:name="_Toc7967"/>
      <w:bookmarkStart w:id="53" w:name="heading_28"/>
      <w:r>
        <w:t>风险与应对措施</w:t>
      </w:r>
      <w:bookmarkEnd w:id="52"/>
      <w:bookmarkEnd w:id="53"/>
    </w:p>
    <w:p>
      <w:pPr>
        <w:pStyle w:val="a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为确保项目顺利执行，我们对可能影响交付的风险进行了识别，并制定了相应的应对措施。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406"/>
        <w:gridCol w:w="511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40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风险</w:t>
            </w:r>
          </w:p>
        </w:tc>
        <w:tc>
          <w:tcPr>
            <w:tcW w:w="511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应对措施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4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关键人员离职</w:t>
            </w:r>
          </w:p>
        </w:tc>
        <w:tc>
          <w:tcPr>
            <w:tcW w:w="51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实行AB角备份，确保岗位不缺失；提前储备备选人员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4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硬件故障厂商响应慢</w:t>
            </w:r>
          </w:p>
        </w:tc>
        <w:tc>
          <w:tcPr>
            <w:tcW w:w="51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提前建立备件联系渠道，全程跟踪报修进度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4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机房环境异常（空调/电力）</w:t>
            </w:r>
          </w:p>
        </w:tc>
        <w:tc>
          <w:tcPr>
            <w:tcW w:w="51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双空调冗余、双路供电、UPS及柴油发电机保障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4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节假日响应延迟</w:t>
            </w:r>
          </w:p>
        </w:tc>
        <w:tc>
          <w:tcPr>
            <w:tcW w:w="51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提前安排值班人员，制定节假日应急预案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4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安防审计异常</w:t>
            </w:r>
          </w:p>
        </w:tc>
        <w:tc>
          <w:tcPr>
            <w:tcW w:w="51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每日检查审计状态，及时处理异常告警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4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外部风险（病毒攻击、不可抗力）</w:t>
            </w:r>
          </w:p>
        </w:tc>
        <w:tc>
          <w:tcPr>
            <w:tcW w:w="51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灾备机制及应急预案</w:t>
            </w:r>
          </w:p>
        </w:tc>
      </w:tr>
    </w:tbl>
    <w:p>
      <w:pPr>
        <w:pStyle w:val="1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54" w:name="heading_29"/>
      <w:bookmarkStart w:id="55" w:name="_Toc19537"/>
      <w:r>
        <w:t>计划确认</w:t>
      </w:r>
      <w:bookmarkEnd w:id="54"/>
      <w:bookmarkEnd w:id="55"/>
    </w:p>
    <w:p>
      <w:pPr>
        <w:pStyle w:val="a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计划经双方确认后生效，作为项目执行的依据。如有重大变更，需双方协商一致后更新版本。</w:t>
      </w:r>
    </w:p>
    <w:p>
      <w:pPr>
        <w:pStyle w:val="a5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7" w:lineRule="auto"/>
      <w:ind w:left="6043"/>
      <w:rPr>
        <w:rFonts w:ascii="Calibri" w:eastAsia="Calibri" w:hAnsi="Calibri" w:cs="Calibri"/>
        <w:sz w:val="24"/>
        <w:szCs w:val="24"/>
      </w:rPr>
    </w:pPr>
    <w:r>
      <w:rPr>
        <w:rFonts w:ascii="Calibri" w:eastAsia="Calibri" w:hAnsi="Calibri" w:cs="Calibri"/>
        <w:sz w:val="24"/>
        <w:szCs w:val="24"/>
      </w:rPr>
      <w:t>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il"/>
      </w:pBdr>
      <w:tabs>
        <w:tab w:val="left" w:pos="1587"/>
      </w:tabs>
      <w:spacing w:line="15" w:lineRule="exact"/>
      <w:rPr>
        <w:rFonts w:ascii="Arial"/>
        <w:sz w:val="2"/>
      </w:rPr>
    </w:pPr>
    <w: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page">
                <wp:posOffset>1013460</wp:posOffset>
              </wp:positionH>
              <wp:positionV relativeFrom="page">
                <wp:posOffset>151765</wp:posOffset>
              </wp:positionV>
              <wp:extent cx="5762625" cy="9525"/>
              <wp:effectExtent l="0" t="0" r="0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5762625" cy="952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9525"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_x0000_s1026" o:spid="_x0000_s2049" style="height:0.75pt;margin-left:79.8pt;margin-top:11.95pt;mso-height-relative:page;mso-position-horizontal-relative:page;mso-position-vertical-relative:page;mso-width-relative:page;position:absolute;width:453.75pt;z-index:251659264" coordsize="21600,21600" o:allowincell="f" filled="t" fillcolor="black" stroked="f">
              <o:lock v:ext="edit" aspectratio="f"/>
            </v:rect>
          </w:pict>
        </mc:Fallback>
      </mc:AlternateContent>
    </w:r>
    <w:r>
      <w:rPr>
        <w:rFonts w:ascii="Arial" w:hint="eastAsia"/>
        <w:sz w:val="2"/>
        <w:lang w:eastAsia="zh-CN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C0F8DA5"/>
    <w:multiLevelType w:val="singleLevel"/>
    <w:tmpl w:val="CC0F8D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6165438"/>
    <w:multiLevelType w:val="singleLevel"/>
    <w:tmpl w:val="661654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7DC63DC"/>
    <w:multiLevelType w:val="singleLevel"/>
    <w:tmpl w:val="67DC63D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E9290D3"/>
    <w:multiLevelType w:val="singleLevel"/>
    <w:tmpl w:val="6E9290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08B986B"/>
    <w:multiLevelType w:val="singleLevel"/>
    <w:tmpl w:val="708B986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link w:val="2Char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semiHidden/>
    <w:unhideWhenUsed/>
    <w:qFormat/>
    <w:rPr>
      <w:rFonts w:ascii="Arial" w:eastAsia="黑体" w:hAnsi="Arial"/>
      <w:sz w:val="20"/>
    </w:r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PlainText">
    <w:name w:val="Plain Text"/>
    <w:basedOn w:val="Normal"/>
    <w:qFormat/>
    <w:rPr>
      <w:rFonts w:ascii="宋体" w:hAnsi="Courier New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Subtitle">
    <w:name w:val="Subtitle"/>
    <w:basedOn w:val="Normal"/>
    <w:qFormat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PageNumber">
    <w:name w:val="page number"/>
    <w:basedOn w:val="DefaultParagraphFont"/>
    <w:qFormat/>
  </w:style>
  <w:style w:type="character" w:styleId="Emphasis">
    <w:name w:val="Emphasis"/>
    <w:basedOn w:val="DefaultParagraphFont"/>
    <w:qFormat/>
    <w:rPr>
      <w:i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Normal0">
    <w:name w:val="Normal0"/>
    <w:qFormat/>
    <w:pPr>
      <w:spacing w:after="200" w:line="276" w:lineRule="auto"/>
    </w:pPr>
    <w:rPr>
      <w:rFonts w:ascii="Times New Roman" w:eastAsia="宋体" w:hAnsi="Times New Roman" w:cs="Times New Roman"/>
      <w:lang w:val="en-US" w:eastAsia="en-US" w:bidi="ar-SA"/>
    </w:rPr>
  </w:style>
  <w:style w:type="paragraph" w:customStyle="1" w:styleId="paragraph1">
    <w:name w:val="paragraph1"/>
    <w:basedOn w:val="Normal"/>
    <w:qFormat/>
    <w:pPr>
      <w:spacing w:after="93" w:afterLines="30" w:line="360" w:lineRule="auto"/>
      <w:ind w:firstLine="480" w:firstLineChars="200"/>
    </w:pPr>
    <w:rPr>
      <w:rFonts w:ascii="Times New Roman" w:hAnsi="Times New Roman"/>
      <w:kern w:val="2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Times New Roman" w:eastAsia="宋体" w:hAnsi="Times New Roman" w:cs="Times New Roman"/>
      <w:szCs w:val="20"/>
    </w:rPr>
  </w:style>
  <w:style w:type="character" w:customStyle="1" w:styleId="2Char">
    <w:name w:val="标题 2 Char"/>
    <w:link w:val="Heading2"/>
    <w:qFormat/>
    <w:rPr>
      <w:rFonts w:ascii="Arial" w:eastAsia="黑体" w:hAnsi="Arial"/>
      <w:b/>
      <w:sz w:val="32"/>
    </w:rPr>
  </w:style>
  <w:style w:type="paragraph" w:customStyle="1" w:styleId="SG186">
    <w:name w:val="SG186标题"/>
    <w:basedOn w:val="Normal"/>
    <w:qFormat/>
    <w:pPr>
      <w:spacing w:line="360" w:lineRule="auto"/>
      <w:jc w:val="center"/>
    </w:pPr>
    <w:rPr>
      <w:rFonts w:ascii="黑体" w:eastAsia="黑体" w:hAnsi="Arial" w:cs="Times New Roman"/>
      <w:sz w:val="48"/>
    </w:rPr>
  </w:style>
  <w:style w:type="character" w:customStyle="1" w:styleId="1Char">
    <w:name w:val="标题 1 Char"/>
    <w:link w:val="Heading1"/>
    <w:qFormat/>
    <w:rPr>
      <w:b/>
      <w:kern w:val="44"/>
      <w:sz w:val="44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a0">
    <w:name w:val="章标题"/>
    <w:next w:val="Normal"/>
    <w:qFormat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eastAsia="黑体" w:hAnsi="Times New Roman" w:cs="Times New Roman"/>
      <w:kern w:val="44"/>
      <w:sz w:val="36"/>
      <w:szCs w:val="44"/>
      <w:lang w:bidi="ar-SA"/>
    </w:rPr>
  </w:style>
  <w:style w:type="paragraph" w:customStyle="1" w:styleId="1">
    <w:name w:val="题注1"/>
    <w:next w:val="Normal"/>
    <w:qFormat/>
    <w:pPr>
      <w:widowControl w:val="0"/>
      <w:adjustRightInd w:val="0"/>
      <w:spacing w:before="240" w:after="120" w:line="288" w:lineRule="auto"/>
      <w:jc w:val="center"/>
    </w:pPr>
    <w:rPr>
      <w:rFonts w:ascii="Times New Roman" w:eastAsia="宋体" w:hAnsi="Times New Roman" w:cs="宋体"/>
      <w:kern w:val="2"/>
      <w:sz w:val="24"/>
      <w:szCs w:val="22"/>
      <w:lang w:bidi="ar-SA"/>
    </w:rPr>
  </w:style>
  <w:style w:type="paragraph" w:customStyle="1" w:styleId="a1">
    <w:name w:val="目录标题"/>
    <w:next w:val="Normal"/>
    <w:qFormat/>
    <w:pPr>
      <w:spacing w:line="360" w:lineRule="auto"/>
      <w:ind w:firstLine="480" w:firstLineChars="200"/>
      <w:jc w:val="center"/>
      <w:outlineLvl w:val="9"/>
    </w:pPr>
    <w:rPr>
      <w:rFonts w:ascii="宋体" w:eastAsia="宋体" w:hAnsi="宋体" w:cs="Times New Roman"/>
      <w:sz w:val="21"/>
      <w:szCs w:val="22"/>
      <w:lang w:bidi="ar-SA"/>
    </w:rPr>
  </w:style>
  <w:style w:type="paragraph" w:customStyle="1" w:styleId="a2">
    <w:name w:val="表格标题"/>
    <w:next w:val="Normal"/>
    <w:qFormat/>
    <w:pPr>
      <w:widowControl w:val="0"/>
      <w:adjustRightInd w:val="0"/>
      <w:spacing w:before="240" w:after="120" w:line="288" w:lineRule="auto"/>
      <w:jc w:val="center"/>
    </w:pPr>
    <w:rPr>
      <w:rFonts w:ascii="Times New Roman" w:eastAsia="宋体" w:hAnsi="Times New Roman" w:cs="宋体"/>
      <w:kern w:val="2"/>
      <w:sz w:val="24"/>
      <w:szCs w:val="22"/>
      <w:lang w:bidi="ar-SA"/>
    </w:rPr>
  </w:style>
  <w:style w:type="paragraph" w:customStyle="1" w:styleId="a3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4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0">
    <w:name w:val="柴_标题1"/>
    <w:basedOn w:val="Heading1"/>
    <w:next w:val="a5"/>
    <w:link w:val="1Char0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5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5"/>
    <w:link w:val="2Char0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5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6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0">
    <w:name w:val="柴_标题1 Char"/>
    <w:link w:val="10"/>
    <w:qFormat/>
    <w:rPr>
      <w:rFonts w:ascii="Arial" w:eastAsia="宋体" w:hAnsi="Arial"/>
      <w:sz w:val="32"/>
    </w:rPr>
  </w:style>
  <w:style w:type="paragraph" w:customStyle="1" w:styleId="a7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5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7"/>
    <w:qFormat/>
    <w:rPr>
      <w:rFonts w:ascii="Arial" w:hAnsi="Arial"/>
      <w:sz w:val="24"/>
      <w:lang w:eastAsia="zh-CN"/>
    </w:rPr>
  </w:style>
  <w:style w:type="character" w:customStyle="1" w:styleId="2Char0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2719</Words>
  <Characters>2997</Characters>
  <Application>Microsoft Office Word</Application>
  <DocSecurity>0</DocSecurity>
  <Lines>0</Lines>
  <Paragraphs>0</Paragraphs>
  <ScaleCrop>false</ScaleCrop>
  <Company/>
  <LinksUpToDate>false</LinksUpToDate>
  <CharactersWithSpaces>3050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wangchengchao</dc:creator>
  <cp:lastModifiedBy>郝宇</cp:lastModifiedBy>
  <cp:revision>0</cp:revision>
  <dcterms:created xsi:type="dcterms:W3CDTF">2014-10-29T12:08:00Z</dcterms:created>
  <dcterms:modified xsi:type="dcterms:W3CDTF">2026-05-25T03:49:29Z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574FCCA35A2B49A291171CAE15237D7C_12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