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400" w:beforeLines="1000"/>
        <w:textAlignment w:val="baseline"/>
      </w:pPr>
      <w:bookmarkStart w:id="0" w:name="_Toc26101"/>
      <w:bookmarkStart w:id="1" w:name="_Toc27434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-45720</wp:posOffset>
            </wp:positionH>
            <wp:positionV relativeFrom="paragraph">
              <wp:posOffset>-15240</wp:posOffset>
            </wp:positionV>
            <wp:extent cx="5401945" cy="9049385"/>
            <wp:effectExtent l="0" t="0" r="8255" b="317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904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重庆市鹧鸪哨信息技术有限责任公司</w:t>
      </w:r>
      <w:bookmarkEnd w:id="0"/>
      <w:bookmarkEnd w:id="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400" w:beforeLines="1000"/>
        <w:textAlignment w:val="baseline"/>
        <w:rPr>
          <w:rFonts w:ascii="黑体" w:eastAsia="黑体" w:hAnsi="黑体" w:cs="黑体" w:hint="default"/>
          <w:lang w:val="en-US" w:eastAsia="zh-CN"/>
        </w:rPr>
      </w:pPr>
      <w:bookmarkStart w:id="2" w:name="_Toc6648"/>
      <w:r>
        <w:rPr>
          <w:rFonts w:ascii="黑体" w:eastAsia="黑体" w:hAnsi="黑体" w:cs="黑体" w:hint="eastAsia"/>
          <w:lang w:val="en-US" w:eastAsia="zh-CN"/>
        </w:rPr>
        <w:t>中国广电重庆BOSS系统存储维保项目-年度总结报告</w:t>
      </w:r>
      <w:bookmarkEnd w:id="2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480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文件编号：ZGS-09-07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2026.01.12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2026.01.12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批准人:宋海滨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2026.01.12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6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01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12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宋海滨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宋体" w:hAnsi="Segoe UI" w:cs="Segoe UI" w:hint="eastAsia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eastAsia="zh-CN"/>
        </w:rPr>
      </w:pPr>
      <w:r>
        <w:rPr>
          <w:rFonts w:ascii="Segoe UI" w:eastAsia="宋体" w:hAnsi="Segoe UI" w:cs="Segoe UI" w:hint="eastAsia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324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bookmarkStart w:id="3" w:name="heading_2"/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_Toc27434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重庆市鹧鸪哨信息技术有限责任公司</w:t>
          </w:r>
          <w:r>
            <w:tab/>
          </w:r>
          <w:r>
            <w:fldChar w:fldCharType="begin"/>
          </w:r>
          <w:r>
            <w:instrText xml:space="preserve"> PAGEREF _Toc27434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_Toc6648 </w:instrText>
          </w:r>
          <w:r>
            <w:fldChar w:fldCharType="separate"/>
          </w:r>
          <w:r>
            <w:rPr>
              <w:rFonts w:ascii="黑体" w:eastAsia="黑体" w:hAnsi="黑体" w:cs="黑体" w:hint="eastAsia"/>
              <w:lang w:val="en-US" w:eastAsia="zh-CN"/>
            </w:rPr>
            <w:t>新余美康盛德公司服务器运维项目-年度总结报告</w:t>
          </w:r>
          <w:r>
            <w:tab/>
          </w:r>
          <w:r>
            <w:fldChar w:fldCharType="begin"/>
          </w:r>
          <w:r>
            <w:instrText xml:space="preserve"> PAGEREF _Toc6648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_Toc26446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报告目的</w:t>
          </w:r>
          <w:r>
            <w:tab/>
          </w:r>
          <w:r>
            <w:fldChar w:fldCharType="begin"/>
          </w:r>
          <w:r>
            <w:instrText xml:space="preserve"> PAGEREF _Toc26446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_Toc31226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项目概述</w:t>
          </w:r>
          <w:r>
            <w:tab/>
          </w:r>
          <w:r>
            <w:fldChar w:fldCharType="begin"/>
          </w:r>
          <w:r>
            <w:instrText xml:space="preserve"> PAGEREF _Toc31226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_Toc31264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年度服务执行情况</w:t>
          </w:r>
          <w:r>
            <w:tab/>
          </w:r>
          <w:r>
            <w:fldChar w:fldCharType="begin"/>
          </w:r>
          <w:r>
            <w:instrText xml:space="preserve"> PAGEREF _Toc31264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_Toc6301 </w:instrText>
          </w:r>
          <w:r>
            <w:fldChar w:fldCharType="separate"/>
          </w:r>
          <w:r>
            <w:rPr>
              <w:rFonts w:hint="default"/>
            </w:rPr>
            <w:t xml:space="preserve">3.1. </w:t>
          </w:r>
          <w:r>
            <w:t>项目阶段完成情况</w:t>
          </w:r>
          <w:r>
            <w:tab/>
          </w:r>
          <w:r>
            <w:fldChar w:fldCharType="begin"/>
          </w:r>
          <w:r>
            <w:instrText xml:space="preserve"> PAGEREF _Toc6301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_Toc18953 </w:instrText>
          </w:r>
          <w:r>
            <w:fldChar w:fldCharType="separate"/>
          </w:r>
          <w:r>
            <w:rPr>
              <w:rFonts w:hint="default"/>
            </w:rPr>
            <w:t xml:space="preserve">3.2. </w:t>
          </w:r>
          <w:r>
            <w:t>服务执行统计</w:t>
          </w:r>
          <w:r>
            <w:tab/>
          </w:r>
          <w:r>
            <w:fldChar w:fldCharType="begin"/>
          </w:r>
          <w:r>
            <w:instrText xml:space="preserve"> PAGEREF _Toc18953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_Toc4619 </w:instrText>
          </w:r>
          <w:r>
            <w:fldChar w:fldCharType="separate"/>
          </w:r>
          <w:r>
            <w:rPr>
              <w:rFonts w:hint="default"/>
            </w:rPr>
            <w:t xml:space="preserve">3.3. </w:t>
          </w:r>
          <w:r>
            <w:t>各阶段主要交付物</w:t>
          </w:r>
          <w:r>
            <w:tab/>
          </w:r>
          <w:r>
            <w:fldChar w:fldCharType="begin"/>
          </w:r>
          <w:r>
            <w:instrText xml:space="preserve"> PAGEREF _Toc4619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_Toc23656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年度SLA指标达成情况</w:t>
          </w:r>
          <w:r>
            <w:tab/>
          </w:r>
          <w:r>
            <w:fldChar w:fldCharType="begin"/>
          </w:r>
          <w:r>
            <w:instrText xml:space="preserve"> PAGEREF _Toc23656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_Toc12437 </w:instrText>
          </w:r>
          <w:r>
            <w:fldChar w:fldCharType="separate"/>
          </w:r>
          <w:r>
            <w:rPr>
              <w:rFonts w:hint="default"/>
            </w:rPr>
            <w:t xml:space="preserve">4.1. </w:t>
          </w:r>
          <w:r>
            <w:t>整体达成情况</w:t>
          </w:r>
          <w:r>
            <w:tab/>
          </w:r>
          <w:r>
            <w:fldChar w:fldCharType="begin"/>
          </w:r>
          <w:r>
            <w:instrText xml:space="preserve"> PAGEREF _Toc12437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_Toc2802 </w:instrText>
          </w:r>
          <w:r>
            <w:fldChar w:fldCharType="separate"/>
          </w:r>
          <w:r>
            <w:rPr>
              <w:rFonts w:hint="default"/>
            </w:rPr>
            <w:t xml:space="preserve">4.2. </w:t>
          </w:r>
          <w:r>
            <w:t>月度SLA明细</w:t>
          </w:r>
          <w:r>
            <w:tab/>
          </w:r>
          <w:r>
            <w:fldChar w:fldCharType="begin"/>
          </w:r>
          <w:r>
            <w:instrText xml:space="preserve"> PAGEREF _Toc2802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_Toc25890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年度主要工作成果</w:t>
          </w:r>
          <w:r>
            <w:tab/>
          </w:r>
          <w:r>
            <w:fldChar w:fldCharType="begin"/>
          </w:r>
          <w:r>
            <w:instrText xml:space="preserve"> PAGEREF _Toc25890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_Toc4330 </w:instrText>
          </w:r>
          <w:r>
            <w:fldChar w:fldCharType="separate"/>
          </w:r>
          <w:r>
            <w:rPr>
              <w:rFonts w:hint="default"/>
            </w:rPr>
            <w:t xml:space="preserve">5.1. </w:t>
          </w:r>
          <w:r>
            <w:t>机房环境稳定性保障</w:t>
          </w:r>
          <w:r>
            <w:tab/>
          </w:r>
          <w:r>
            <w:fldChar w:fldCharType="begin"/>
          </w:r>
          <w:r>
            <w:instrText xml:space="preserve"> PAGEREF _Toc4330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_Toc15352 </w:instrText>
          </w:r>
          <w:r>
            <w:fldChar w:fldCharType="separate"/>
          </w:r>
          <w:r>
            <w:rPr>
              <w:rFonts w:hint="default"/>
            </w:rPr>
            <w:t xml:space="preserve">5.2. </w:t>
          </w:r>
          <w:r>
            <w:t>硬件健康管理</w:t>
          </w:r>
          <w:r>
            <w:tab/>
          </w:r>
          <w:r>
            <w:fldChar w:fldCharType="begin"/>
          </w:r>
          <w:r>
            <w:instrText xml:space="preserve"> PAGEREF _Toc15352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_Toc22348 </w:instrText>
          </w:r>
          <w:r>
            <w:fldChar w:fldCharType="separate"/>
          </w:r>
          <w:r>
            <w:rPr>
              <w:rFonts w:hint="default"/>
            </w:rPr>
            <w:t xml:space="preserve">5.3. </w:t>
          </w:r>
          <w:r>
            <w:t>安防审计有效性</w:t>
          </w:r>
          <w:r>
            <w:tab/>
          </w:r>
          <w:r>
            <w:fldChar w:fldCharType="begin"/>
          </w:r>
          <w:r>
            <w:instrText xml:space="preserve"> PAGEREF _Toc22348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_Toc30918 </w:instrText>
          </w:r>
          <w:r>
            <w:fldChar w:fldCharType="separate"/>
          </w:r>
          <w:r>
            <w:rPr>
              <w:rFonts w:hint="default"/>
            </w:rPr>
            <w:t xml:space="preserve">5.4. </w:t>
          </w:r>
          <w:r>
            <w:t>应急响应能力验证</w:t>
          </w:r>
          <w:r>
            <w:tab/>
          </w:r>
          <w:r>
            <w:fldChar w:fldCharType="begin"/>
          </w:r>
          <w:r>
            <w:instrText xml:space="preserve"> PAGEREF _Toc30918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_Toc7970 </w:instrText>
          </w:r>
          <w:r>
            <w:fldChar w:fldCharType="separate"/>
          </w:r>
          <w:r>
            <w:rPr>
              <w:rFonts w:hint="default"/>
            </w:rPr>
            <w:t xml:space="preserve">5.5. </w:t>
          </w:r>
          <w:r>
            <w:t>服务知识建设</w:t>
          </w:r>
          <w:r>
            <w:tab/>
          </w:r>
          <w:r>
            <w:fldChar w:fldCharType="begin"/>
          </w:r>
          <w:r>
            <w:instrText xml:space="preserve"> PAGEREF _Toc7970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_Toc7204 </w:instrText>
          </w:r>
          <w:r>
            <w:fldChar w:fldCharType="separate"/>
          </w:r>
          <w:r>
            <w:rPr>
              <w:rFonts w:hint="default"/>
            </w:rPr>
            <w:t xml:space="preserve">5.6. </w:t>
          </w:r>
          <w:r>
            <w:t>客户满意度</w:t>
          </w:r>
          <w:r>
            <w:tab/>
          </w:r>
          <w:r>
            <w:fldChar w:fldCharType="begin"/>
          </w:r>
          <w:r>
            <w:instrText xml:space="preserve"> PAGEREF _Toc7204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_Toc25489 </w:instrText>
          </w:r>
          <w:r>
            <w:fldChar w:fldCharType="separate"/>
          </w:r>
          <w:r>
            <w:rPr>
              <w:rFonts w:hint="default"/>
            </w:rPr>
            <w:t xml:space="preserve">5.7. </w:t>
          </w:r>
          <w:r>
            <w:t>交付物归档</w:t>
          </w:r>
          <w:r>
            <w:tab/>
          </w:r>
          <w:r>
            <w:fldChar w:fldCharType="begin"/>
          </w:r>
          <w:r>
            <w:instrText xml:space="preserve"> PAGEREF _Toc25489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_Toc26076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存在问题与改进措施</w:t>
          </w:r>
          <w:r>
            <w:tab/>
          </w:r>
          <w:r>
            <w:fldChar w:fldCharType="begin"/>
          </w:r>
          <w:r>
            <w:instrText xml:space="preserve"> PAGEREF _Toc26076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_Toc22898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t>下年度工作建议</w:t>
          </w:r>
          <w:r>
            <w:tab/>
          </w:r>
          <w:r>
            <w:fldChar w:fldCharType="begin"/>
          </w:r>
          <w:r>
            <w:instrText xml:space="preserve"> PAGEREF _Toc22898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_Toc17085 </w:instrText>
          </w:r>
          <w:r>
            <w:fldChar w:fldCharType="separate"/>
          </w:r>
          <w:r>
            <w:rPr>
              <w:rFonts w:hint="default"/>
            </w:rPr>
            <w:t xml:space="preserve">7.1. </w:t>
          </w:r>
          <w:r>
            <w:t>服务延续建议</w:t>
          </w:r>
          <w:r>
            <w:tab/>
          </w:r>
          <w:r>
            <w:fldChar w:fldCharType="begin"/>
          </w:r>
          <w:r>
            <w:instrText xml:space="preserve"> PAGEREF _Toc17085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_Toc24677 </w:instrText>
          </w:r>
          <w:r>
            <w:fldChar w:fldCharType="separate"/>
          </w:r>
          <w:r>
            <w:rPr>
              <w:rFonts w:hint="default"/>
            </w:rPr>
            <w:t xml:space="preserve">7.2. </w:t>
          </w:r>
          <w:r>
            <w:t>技术提升建议</w:t>
          </w:r>
          <w:r>
            <w:tab/>
          </w:r>
          <w:r>
            <w:fldChar w:fldCharType="begin"/>
          </w:r>
          <w:r>
            <w:instrText xml:space="preserve"> PAGEREF _Toc24677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_Toc18888 </w:instrText>
          </w:r>
          <w:r>
            <w:fldChar w:fldCharType="separate"/>
          </w:r>
          <w:r>
            <w:rPr>
              <w:rFonts w:hint="default"/>
            </w:rPr>
            <w:t xml:space="preserve">7.3. </w:t>
          </w:r>
          <w:r>
            <w:t>管理优化建议</w:t>
          </w:r>
          <w:r>
            <w:tab/>
          </w:r>
          <w:r>
            <w:fldChar w:fldCharType="begin"/>
          </w:r>
          <w:r>
            <w:instrText xml:space="preserve"> PAGEREF _Toc18888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_Toc6589 </w:instrText>
          </w:r>
          <w:r>
            <w:fldChar w:fldCharType="separate"/>
          </w:r>
          <w:r>
            <w:rPr>
              <w:rFonts w:hint="default"/>
            </w:rPr>
            <w:t xml:space="preserve">8. </w:t>
          </w:r>
          <w:r>
            <w:t>附件</w:t>
          </w:r>
          <w:r>
            <w:tab/>
          </w:r>
          <w:r>
            <w:fldChar w:fldCharType="begin"/>
          </w:r>
          <w:r>
            <w:instrText xml:space="preserve"> PAGEREF _Toc6589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" w:name="_Toc26446"/>
      <w:r>
        <w:t>报告目的</w:t>
      </w:r>
      <w:bookmarkEnd w:id="3"/>
      <w:bookmarkEnd w:id="4"/>
    </w:p>
    <w:p>
      <w:pPr>
        <w:pStyle w:val="a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报告旨在全面总结中国广电重庆网络股份有限公司（以下简称“甲方”）存储维保项目在2025年1月1日至2025年12月31日全年的服务交付情况，包括服务内容执行、SLA指标达成、主要工作成果、存在问题及改进建议，为项目最终验收和下一年度服务提供参考依据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" w:name="heading_3"/>
      <w:bookmarkStart w:id="6" w:name="_Toc31226"/>
      <w:r>
        <w:t>项目概述</w:t>
      </w:r>
      <w:bookmarkEnd w:id="5"/>
      <w:bookmarkEnd w:id="6"/>
    </w:p>
    <w:tbl>
      <w:tblPr>
        <w:tblStyle w:val="TableNormal"/>
        <w:tblW w:w="825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485"/>
        <w:gridCol w:w="6765"/>
      </w:tblGrid>
      <w:tr>
        <w:tblPrEx>
          <w:tblW w:w="825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48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5"/>
              <w:keepNext w:val="0"/>
              <w:keepLines w:val="0"/>
              <w:pageBreakBefore w:val="0"/>
              <w:widowControl w:val="0"/>
              <w:numPr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Chars="0"/>
              <w:textAlignment w:val="baseline"/>
            </w:pPr>
            <w:r>
              <w:t>项目名称</w:t>
            </w:r>
          </w:p>
        </w:tc>
        <w:tc>
          <w:tcPr>
            <w:tcW w:w="676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中国广电重庆网络股份有限公司存储维保项目</w:t>
            </w:r>
          </w:p>
        </w:tc>
      </w:tr>
      <w:tr>
        <w:tblPrEx>
          <w:tblW w:w="825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48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5"/>
              <w:keepNext w:val="0"/>
              <w:keepLines w:val="0"/>
              <w:pageBreakBefore w:val="0"/>
              <w:widowControl w:val="0"/>
              <w:numPr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Chars="0"/>
              <w:textAlignment w:val="baseline"/>
            </w:pPr>
            <w:r>
              <w:t>服务周期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2025年1月至2025年12月31日</w:t>
            </w:r>
          </w:p>
        </w:tc>
      </w:tr>
      <w:tr>
        <w:tblPrEx>
          <w:tblW w:w="825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48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5"/>
              <w:keepNext w:val="0"/>
              <w:keepLines w:val="0"/>
              <w:pageBreakBefore w:val="0"/>
              <w:widowControl w:val="0"/>
              <w:numPr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Chars="0"/>
              <w:textAlignment w:val="baseline"/>
            </w:pPr>
            <w:r>
              <w:t>报告周期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2025年1月1日至2025年12月31日（全年）</w:t>
            </w:r>
          </w:p>
        </w:tc>
      </w:tr>
      <w:tr>
        <w:tblPrEx>
          <w:tblW w:w="825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48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5"/>
              <w:keepNext w:val="0"/>
              <w:keepLines w:val="0"/>
              <w:pageBreakBefore w:val="0"/>
              <w:widowControl w:val="0"/>
              <w:numPr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Chars="0"/>
              <w:textAlignment w:val="baseline"/>
            </w:pPr>
            <w:r>
              <w:t>服务对象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甲方产权所有的托管设备（共计6台）</w:t>
            </w:r>
          </w:p>
        </w:tc>
      </w:tr>
      <w:tr>
        <w:tblPrEx>
          <w:tblW w:w="825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48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5"/>
              <w:keepNext w:val="0"/>
              <w:keepLines w:val="0"/>
              <w:pageBreakBefore w:val="0"/>
              <w:widowControl w:val="0"/>
              <w:numPr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Chars="0"/>
              <w:textAlignment w:val="baseline"/>
            </w:pPr>
            <w:r>
              <w:t>服务模式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远程监控 + 远程运维 + 现场运维</w:t>
            </w:r>
          </w:p>
        </w:tc>
      </w:tr>
      <w:tr>
        <w:tblPrEx>
          <w:tblW w:w="825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48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5"/>
              <w:keepNext w:val="0"/>
              <w:keepLines w:val="0"/>
              <w:pageBreakBefore w:val="0"/>
              <w:widowControl w:val="0"/>
              <w:numPr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Chars="0"/>
              <w:textAlignment w:val="baseline"/>
            </w:pPr>
            <w:r>
              <w:t>合同金额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37,000.00元</w:t>
            </w:r>
          </w:p>
        </w:tc>
      </w:tr>
    </w:tbl>
    <w:p>
      <w:pPr>
        <w:pStyle w:val="a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bookmarkStart w:id="7" w:name="heading_4"/>
      <w:r>
        <w:t>托管设备清单</w:t>
      </w:r>
      <w:bookmarkEnd w:id="7"/>
    </w:p>
    <w:tbl>
      <w:tblPr>
        <w:tblStyle w:val="TableNormal"/>
        <w:tblW w:w="825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16"/>
        <w:gridCol w:w="1463"/>
        <w:gridCol w:w="2350"/>
        <w:gridCol w:w="3074"/>
        <w:gridCol w:w="647"/>
      </w:tblGrid>
      <w:tr>
        <w:tblPrEx>
          <w:tblW w:w="825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71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46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设备类别</w:t>
            </w:r>
          </w:p>
        </w:tc>
        <w:tc>
          <w:tcPr>
            <w:tcW w:w="235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品牌型号</w:t>
            </w:r>
          </w:p>
        </w:tc>
        <w:tc>
          <w:tcPr>
            <w:tcW w:w="307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序列号</w:t>
            </w:r>
          </w:p>
        </w:tc>
        <w:tc>
          <w:tcPr>
            <w:tcW w:w="64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U数</w:t>
            </w:r>
          </w:p>
        </w:tc>
      </w:tr>
      <w:tr>
        <w:tblPrEx>
          <w:tblW w:w="825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存储交换机</w:t>
            </w:r>
          </w:p>
        </w:tc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H3C S6520-24S-SI</w:t>
            </w:r>
          </w:p>
        </w:tc>
        <w:tc>
          <w:tcPr>
            <w:tcW w:w="30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210235A3J6P2260000C8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</w:t>
            </w:r>
          </w:p>
        </w:tc>
      </w:tr>
      <w:tr>
        <w:tblPrEx>
          <w:tblW w:w="825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存储交换机</w:t>
            </w:r>
          </w:p>
        </w:tc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H3C S6520-24S-SI</w:t>
            </w:r>
          </w:p>
        </w:tc>
        <w:tc>
          <w:tcPr>
            <w:tcW w:w="30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210235A3J6P2260000C8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</w:t>
            </w:r>
          </w:p>
        </w:tc>
      </w:tr>
      <w:tr>
        <w:tblPrEx>
          <w:tblW w:w="825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超融合节点</w:t>
            </w:r>
          </w:p>
        </w:tc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Lenovo SR660V2</w:t>
            </w:r>
          </w:p>
        </w:tc>
        <w:tc>
          <w:tcPr>
            <w:tcW w:w="30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J80003N6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</w:t>
            </w:r>
          </w:p>
        </w:tc>
      </w:tr>
      <w:tr>
        <w:tblPrEx>
          <w:tblW w:w="825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超融合节点</w:t>
            </w:r>
          </w:p>
        </w:tc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Lenovo SR660V2</w:t>
            </w:r>
          </w:p>
        </w:tc>
        <w:tc>
          <w:tcPr>
            <w:tcW w:w="30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J8003MZ2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</w:t>
            </w:r>
          </w:p>
        </w:tc>
      </w:tr>
      <w:tr>
        <w:tblPrEx>
          <w:tblW w:w="825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5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超融合节点</w:t>
            </w:r>
          </w:p>
        </w:tc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Lenovo SR660V2</w:t>
            </w:r>
          </w:p>
        </w:tc>
        <w:tc>
          <w:tcPr>
            <w:tcW w:w="30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J80003N3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</w:t>
            </w:r>
          </w:p>
        </w:tc>
      </w:tr>
      <w:tr>
        <w:tblPrEx>
          <w:tblW w:w="825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6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备份服务器</w:t>
            </w:r>
          </w:p>
        </w:tc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HP DL388 GEN9</w:t>
            </w:r>
          </w:p>
        </w:tc>
        <w:tc>
          <w:tcPr>
            <w:tcW w:w="307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CN77160FZY2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8" w:name="heading_5"/>
      <w:bookmarkStart w:id="9" w:name="_Toc31264"/>
      <w:r>
        <w:t>年度服务执行情况</w:t>
      </w:r>
      <w:bookmarkEnd w:id="8"/>
      <w:bookmarkEnd w:id="9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0" w:name="heading_6"/>
      <w:bookmarkStart w:id="11" w:name="_Toc6301"/>
      <w:r>
        <w:t>项目阶段完成情况</w:t>
      </w:r>
      <w:bookmarkEnd w:id="10"/>
      <w:bookmarkEnd w:id="1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pStyle w:val="a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根据《交付计划》（ZGS-09-03），全年四个阶段均已按期完成：</w:t>
      </w:r>
    </w:p>
    <w:tbl>
      <w:tblPr>
        <w:tblStyle w:val="TableNormal"/>
        <w:tblW w:w="825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946"/>
        <w:gridCol w:w="2170"/>
        <w:gridCol w:w="3000"/>
        <w:gridCol w:w="1134"/>
      </w:tblGrid>
      <w:tr>
        <w:tblPrEx>
          <w:tblW w:w="825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94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阶段</w:t>
            </w:r>
          </w:p>
        </w:tc>
        <w:tc>
          <w:tcPr>
            <w:tcW w:w="217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时间周期</w:t>
            </w:r>
          </w:p>
        </w:tc>
        <w:tc>
          <w:tcPr>
            <w:tcW w:w="300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核心工作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完成情况</w:t>
            </w:r>
          </w:p>
        </w:tc>
      </w:tr>
      <w:tr>
        <w:tblPrEx>
          <w:tblW w:w="825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阶段一：项目启动与初始化</w:t>
            </w: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2025年1月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需求确认、团队组建、工具部署、首次健康检查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已完成</w:t>
            </w:r>
          </w:p>
        </w:tc>
      </w:tr>
      <w:tr>
        <w:tblPrEx>
          <w:tblW w:w="825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阶段二：稳定运维与服务磨合</w:t>
            </w: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2025年2-4月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日常运维、知识库建立、首次安防审计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已完成</w:t>
            </w:r>
          </w:p>
        </w:tc>
      </w:tr>
      <w:tr>
        <w:tblPrEx>
          <w:tblW w:w="825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阶段三：深度巡检与优化提升</w:t>
            </w: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2025年5-9月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硬件深度巡检、安防审计优化、应急演练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已完成</w:t>
            </w:r>
          </w:p>
        </w:tc>
      </w:tr>
      <w:tr>
        <w:tblPrEx>
          <w:tblW w:w="825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4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阶段四：全面总结与收尾</w:t>
            </w: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2025年10-12月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全面巡检、年度总结、服务改进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已完成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2" w:name="heading_7"/>
      <w:bookmarkStart w:id="13" w:name="_Toc18953"/>
      <w:r>
        <w:t>服务执行统计</w:t>
      </w:r>
      <w:bookmarkEnd w:id="12"/>
      <w:bookmarkEnd w:id="13"/>
    </w:p>
    <w:p>
      <w:pPr>
        <w:pStyle w:val="a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全年共处理服务事件55次，具体分类统计如下：</w:t>
      </w:r>
    </w:p>
    <w:tbl>
      <w:tblPr>
        <w:tblStyle w:val="TableNormal"/>
        <w:tblW w:w="825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4420"/>
        <w:gridCol w:w="1714"/>
        <w:gridCol w:w="2116"/>
      </w:tblGrid>
      <w:tr>
        <w:tblPrEx>
          <w:tblW w:w="825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442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服务类型</w:t>
            </w:r>
          </w:p>
        </w:tc>
        <w:tc>
          <w:tcPr>
            <w:tcW w:w="171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次数</w:t>
            </w:r>
          </w:p>
        </w:tc>
        <w:tc>
          <w:tcPr>
            <w:tcW w:w="211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占比</w:t>
            </w:r>
          </w:p>
        </w:tc>
      </w:tr>
      <w:tr>
        <w:tblPrEx>
          <w:tblW w:w="825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442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硬件故障协助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2次</w:t>
            </w:r>
          </w:p>
        </w:tc>
        <w:tc>
          <w:tcPr>
            <w:tcW w:w="211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3.6%</w:t>
            </w:r>
          </w:p>
        </w:tc>
      </w:tr>
      <w:tr>
        <w:tblPrEx>
          <w:tblW w:w="825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442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安防审计异常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1次</w:t>
            </w:r>
          </w:p>
        </w:tc>
        <w:tc>
          <w:tcPr>
            <w:tcW w:w="211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1.8%</w:t>
            </w:r>
          </w:p>
        </w:tc>
      </w:tr>
      <w:tr>
        <w:tblPrEx>
          <w:tblW w:w="825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442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硬件状态巡检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12次</w:t>
            </w:r>
          </w:p>
        </w:tc>
        <w:tc>
          <w:tcPr>
            <w:tcW w:w="211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21.8%</w:t>
            </w:r>
          </w:p>
        </w:tc>
      </w:tr>
      <w:tr>
        <w:tblPrEx>
          <w:tblW w:w="825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442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安防审计检查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12次</w:t>
            </w:r>
          </w:p>
        </w:tc>
        <w:tc>
          <w:tcPr>
            <w:tcW w:w="211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21.8%</w:t>
            </w:r>
          </w:p>
        </w:tc>
      </w:tr>
      <w:tr>
        <w:tblPrEx>
          <w:tblW w:w="825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442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咨询及现场支持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28次</w:t>
            </w:r>
          </w:p>
        </w:tc>
        <w:tc>
          <w:tcPr>
            <w:tcW w:w="211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51.0%</w:t>
            </w:r>
          </w:p>
        </w:tc>
      </w:tr>
      <w:tr>
        <w:tblPrEx>
          <w:tblW w:w="825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44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合计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55次</w:t>
            </w:r>
          </w:p>
        </w:tc>
        <w:tc>
          <w:tcPr>
            <w:tcW w:w="211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b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100%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4" w:name="heading_8"/>
      <w:bookmarkStart w:id="15" w:name="_Toc4619"/>
      <w:r>
        <w:t>各阶段主要交付物</w:t>
      </w:r>
      <w:bookmarkEnd w:id="14"/>
      <w:bookmarkEnd w:id="15"/>
    </w:p>
    <w:tbl>
      <w:tblPr>
        <w:tblStyle w:val="TableNormal"/>
        <w:tblW w:w="825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106"/>
        <w:gridCol w:w="5600"/>
        <w:gridCol w:w="1544"/>
      </w:tblGrid>
      <w:tr>
        <w:tblPrEx>
          <w:tblW w:w="825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10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阶段</w:t>
            </w:r>
          </w:p>
        </w:tc>
        <w:tc>
          <w:tcPr>
            <w:tcW w:w="560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主要交付物</w:t>
            </w:r>
          </w:p>
        </w:tc>
        <w:tc>
          <w:tcPr>
            <w:tcW w:w="154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确认状态</w:t>
            </w:r>
          </w:p>
        </w:tc>
      </w:tr>
      <w:tr>
        <w:tblPrEx>
          <w:tblW w:w="825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0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阶段一</w:t>
            </w:r>
          </w:p>
        </w:tc>
        <w:tc>
          <w:tcPr>
            <w:tcW w:w="56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《运维服务需求清单》《设备健康检查报告》《交付方案》《交付计划》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甲方签字确认</w:t>
            </w:r>
          </w:p>
        </w:tc>
      </w:tr>
      <w:tr>
        <w:tblPrEx>
          <w:tblW w:w="825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0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阶段二</w:t>
            </w:r>
          </w:p>
        </w:tc>
        <w:tc>
          <w:tcPr>
            <w:tcW w:w="56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《运维服务质量月报》（2-4月）、《硬件巡检记录单》、《安防审计检查记录》、《运维服务验收报告（阶段二）》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甲方签字确认</w:t>
            </w:r>
          </w:p>
        </w:tc>
      </w:tr>
      <w:tr>
        <w:tblPrEx>
          <w:tblW w:w="825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0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阶段三</w:t>
            </w:r>
          </w:p>
        </w:tc>
        <w:tc>
          <w:tcPr>
            <w:tcW w:w="56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《硬件健康检查报告》《安防审计优化记录》《应急演练报告》《运维服务验收报告（阶段三）》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甲方签字确认</w:t>
            </w:r>
          </w:p>
        </w:tc>
      </w:tr>
      <w:tr>
        <w:tblPrEx>
          <w:tblW w:w="825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0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阶段四</w:t>
            </w:r>
          </w:p>
        </w:tc>
        <w:tc>
          <w:tcPr>
            <w:tcW w:w="56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《设备全面巡检报告》《服务改进报告》《运维服务年度总结报告》《运维服务验收报告（年度）》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甲方签字确认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6" w:name="heading_9"/>
      <w:bookmarkStart w:id="17" w:name="_Toc23656"/>
      <w:r>
        <w:t>年度SLA指标达成情况</w:t>
      </w:r>
      <w:bookmarkEnd w:id="16"/>
      <w:bookmarkEnd w:id="17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8" w:name="heading_10"/>
      <w:bookmarkStart w:id="19" w:name="_Toc12437"/>
      <w:r>
        <w:t>整体达成情况</w:t>
      </w:r>
      <w:bookmarkEnd w:id="18"/>
      <w:bookmarkEnd w:id="19"/>
    </w:p>
    <w:tbl>
      <w:tblPr>
        <w:tblStyle w:val="TableNormal"/>
        <w:tblW w:w="825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873"/>
        <w:gridCol w:w="1792"/>
        <w:gridCol w:w="1792"/>
        <w:gridCol w:w="1793"/>
      </w:tblGrid>
      <w:tr>
        <w:tblPrEx>
          <w:tblW w:w="825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87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指标项</w:t>
            </w:r>
          </w:p>
        </w:tc>
        <w:tc>
          <w:tcPr>
            <w:tcW w:w="179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承诺目标</w:t>
            </w:r>
          </w:p>
        </w:tc>
        <w:tc>
          <w:tcPr>
            <w:tcW w:w="179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实际达成</w:t>
            </w:r>
          </w:p>
        </w:tc>
        <w:tc>
          <w:tcPr>
            <w:tcW w:w="179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是否达标</w:t>
            </w:r>
          </w:p>
        </w:tc>
      </w:tr>
      <w:tr>
        <w:tblPrEx>
          <w:tblW w:w="825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8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机房环境可用性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≥99.5%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100%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达标</w:t>
            </w:r>
          </w:p>
        </w:tc>
      </w:tr>
      <w:tr>
        <w:tblPrEx>
          <w:tblW w:w="825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8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电力可用性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100%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100%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达标</w:t>
            </w:r>
          </w:p>
        </w:tc>
      </w:tr>
      <w:tr>
        <w:tblPrEx>
          <w:tblW w:w="825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87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硬件故障响应率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100%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100%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达标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0" w:name="heading_11"/>
      <w:bookmarkStart w:id="21" w:name="_Toc2802"/>
      <w:r>
        <w:t>月度SLA明细</w:t>
      </w:r>
      <w:bookmarkEnd w:id="20"/>
      <w:bookmarkEnd w:id="21"/>
    </w:p>
    <w:tbl>
      <w:tblPr>
        <w:tblStyle w:val="TableNormal"/>
        <w:tblW w:w="825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814"/>
        <w:gridCol w:w="2127"/>
        <w:gridCol w:w="1591"/>
        <w:gridCol w:w="2127"/>
        <w:gridCol w:w="1591"/>
      </w:tblGrid>
      <w:tr>
        <w:tblPrEx>
          <w:tblW w:w="825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81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月份</w:t>
            </w:r>
          </w:p>
        </w:tc>
        <w:tc>
          <w:tcPr>
            <w:tcW w:w="212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机房环境可用性</w:t>
            </w:r>
          </w:p>
        </w:tc>
        <w:tc>
          <w:tcPr>
            <w:tcW w:w="159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电力可用性</w:t>
            </w:r>
          </w:p>
        </w:tc>
        <w:tc>
          <w:tcPr>
            <w:tcW w:w="212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硬件故障响应率</w:t>
            </w:r>
          </w:p>
        </w:tc>
        <w:tc>
          <w:tcPr>
            <w:tcW w:w="159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服务事件数</w:t>
            </w:r>
          </w:p>
        </w:tc>
      </w:tr>
      <w:tr>
        <w:tblPrEx>
          <w:tblW w:w="825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1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1月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100%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</w:t>
            </w:r>
          </w:p>
        </w:tc>
      </w:tr>
      <w:tr>
        <w:tblPrEx>
          <w:tblW w:w="825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1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2月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100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5</w:t>
            </w:r>
          </w:p>
        </w:tc>
      </w:tr>
      <w:tr>
        <w:tblPrEx>
          <w:tblW w:w="825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1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3月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100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4</w:t>
            </w:r>
          </w:p>
        </w:tc>
      </w:tr>
      <w:tr>
        <w:tblPrEx>
          <w:tblW w:w="825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1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4月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100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6</w:t>
            </w:r>
          </w:p>
        </w:tc>
      </w:tr>
      <w:tr>
        <w:tblPrEx>
          <w:tblW w:w="825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1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5月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100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5</w:t>
            </w:r>
          </w:p>
        </w:tc>
      </w:tr>
      <w:tr>
        <w:tblPrEx>
          <w:tblW w:w="825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1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6月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100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5</w:t>
            </w:r>
          </w:p>
        </w:tc>
      </w:tr>
      <w:tr>
        <w:tblPrEx>
          <w:tblW w:w="825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1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7月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100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5</w:t>
            </w:r>
          </w:p>
        </w:tc>
      </w:tr>
      <w:tr>
        <w:tblPrEx>
          <w:tblW w:w="825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1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8月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100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5</w:t>
            </w:r>
          </w:p>
        </w:tc>
      </w:tr>
      <w:tr>
        <w:tblPrEx>
          <w:tblW w:w="825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1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9月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100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5</w:t>
            </w:r>
          </w:p>
        </w:tc>
      </w:tr>
      <w:tr>
        <w:tblPrEx>
          <w:tblW w:w="825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1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10月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100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4</w:t>
            </w:r>
          </w:p>
        </w:tc>
      </w:tr>
      <w:tr>
        <w:tblPrEx>
          <w:tblW w:w="825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1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11月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100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4</w:t>
            </w:r>
          </w:p>
        </w:tc>
      </w:tr>
      <w:tr>
        <w:tblPrEx>
          <w:tblW w:w="825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1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12月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100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4</w:t>
            </w:r>
          </w:p>
        </w:tc>
      </w:tr>
      <w:tr>
        <w:tblPrEx>
          <w:tblW w:w="825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1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全年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b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100%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100%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100%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55次</w:t>
            </w:r>
          </w:p>
        </w:tc>
      </w:tr>
    </w:tbl>
    <w:p>
      <w:pPr>
        <w:pStyle w:val="a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注：4月因计划内电力维护进行了一次短暂切换，已提前通知甲方并获得同意，未计入不可用时间。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2" w:name="heading_12"/>
      <w:bookmarkStart w:id="23" w:name="_Toc25890"/>
      <w:r>
        <w:t>年度主要工作成果</w:t>
      </w:r>
      <w:bookmarkEnd w:id="22"/>
      <w:bookmarkEnd w:id="2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4" w:name="heading_13"/>
      <w:bookmarkStart w:id="25" w:name="_Toc4330"/>
      <w:r>
        <w:t>机房环境稳定性保障</w:t>
      </w:r>
      <w:bookmarkEnd w:id="24"/>
      <w:bookmarkEnd w:id="25"/>
    </w:p>
    <w:p>
      <w:pPr>
        <w:pStyle w:val="a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全年机房环境整体运行稳定，未发生计划外中断。4月份计划内电力维护已提前2周通知甲方，并顺利完成切换。9月份空调温度瞬时偏高问题已通过优化监控阈值解决，彻底消除同类短时环境波动问题，全面保障机房设备恒温恒湿稳定运行环境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6" w:name="heading_14"/>
      <w:bookmarkStart w:id="27" w:name="_Toc15352"/>
      <w:r>
        <w:t>硬件健康管理</w:t>
      </w:r>
      <w:bookmarkEnd w:id="26"/>
      <w:bookmarkEnd w:id="27"/>
    </w:p>
    <w:p>
      <w:pPr>
        <w:pStyle w:val="a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通过每月常态化硬件巡检、季度抽查及年度深度巡检，全方位监测6台托管设备运行状态，及时排查、预警并处理硬件隐患，全年未发生硬件重大故障，设备整体运行稳定：</w:t>
      </w:r>
    </w:p>
    <w:p>
      <w:pPr>
        <w:pStyle w:val="a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3月发现一台超融合节点磁盘使用率超过85%，第一时间反馈甲方，协助完成扩容规划，规避存储爆满风险；</w:t>
      </w:r>
    </w:p>
    <w:p>
      <w:pPr>
        <w:pStyle w:val="a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5月发现备份服务器硬盘SMART告警，快速响应并协助甲方联系厂商完成硬件检测与更换，保障备份系统正常运行；</w:t>
      </w:r>
    </w:p>
    <w:p>
      <w:pPr>
        <w:pStyle w:val="a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年末全面核验所有托管设备磁盘、内存、电源等核心硬件状态，设备整体健康状态优良。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8" w:name="heading_15"/>
      <w:bookmarkStart w:id="29" w:name="_Toc22348"/>
      <w:r>
        <w:t>安防审计有效性</w:t>
      </w:r>
      <w:bookmarkEnd w:id="28"/>
      <w:bookmarkEnd w:id="29"/>
    </w:p>
    <w:p>
      <w:pPr>
        <w:pStyle w:val="a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全年常态化落实安防审计工作，筑牢项目安全防线：</w:t>
      </w:r>
    </w:p>
    <w:p>
      <w:pPr>
        <w:pStyle w:val="a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数据库审计和日志审计系统全年稳定运行，审计日志完整、可追溯，满足合规运维要求；</w:t>
      </w:r>
    </w:p>
    <w:p>
      <w:pPr>
        <w:pStyle w:val="a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8月完成安防审计规则专项优化，精准过滤无效告警，审计误报率较上半年降低约25%，大幅提升审计工作效率；</w:t>
      </w:r>
    </w:p>
    <w:p>
      <w:pPr>
        <w:pStyle w:val="a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全年无异常访问、数据泄露、安全攻击等安全事件发生，项目安防态势稳定可控。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0" w:name="heading_16"/>
      <w:bookmarkStart w:id="31" w:name="_Toc30918"/>
      <w:r>
        <w:t>应急响应能力验证</w:t>
      </w:r>
      <w:bookmarkEnd w:id="30"/>
      <w:bookmarkEnd w:id="31"/>
    </w:p>
    <w:p>
      <w:pPr>
        <w:pStyle w:val="a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为完善应急处置体系，提升突发故障处置能力，9月组织开展机房电力中断场景应急演练，全面验证应急预案可行性与团队实操能力：</w:t>
      </w:r>
    </w:p>
    <w:p>
      <w:pPr>
        <w:pStyle w:val="a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应急响应启动时间：12分钟，优于既定15分钟目标时效；</w:t>
      </w:r>
    </w:p>
    <w:p>
      <w:pPr>
        <w:pStyle w:val="a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电力故障恢复时间：35分钟，远优于2小时处置目标；</w:t>
      </w:r>
    </w:p>
    <w:p>
      <w:pPr>
        <w:pStyle w:val="a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演练完成后，结合实操问题优化应急通讯录、24小时值班排班机制，进一步完善应急处置流程，提升团队应急处置标准化、高效化水平。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2" w:name="heading_17"/>
      <w:bookmarkStart w:id="33" w:name="_Toc7970"/>
      <w:r>
        <w:t>服务知识建设</w:t>
      </w:r>
      <w:bookmarkEnd w:id="32"/>
      <w:bookmarkEnd w:id="33"/>
    </w:p>
    <w:p>
      <w:pPr>
        <w:pStyle w:val="a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全年持续推进项目知识库搭建与更新，沉淀标准化运维经验，助力高效运维与甲方自助查询：</w:t>
      </w:r>
    </w:p>
    <w:p>
      <w:pPr>
        <w:pStyle w:val="a3"/>
        <w:keepNext w:val="0"/>
        <w:keepLines w:val="0"/>
        <w:pageBreakBefore w:val="0"/>
        <w:widowControl w:val="0"/>
        <w:wordWrap/>
        <w:overflowPunct/>
        <w:topLinePunct w:val="0"/>
        <w:bidi w:val="0"/>
        <w:adjustRightInd w:val="0"/>
        <w:snapToGrid w:val="0"/>
      </w:pPr>
      <w:r>
        <w:t>全年累计录入知识库</w:t>
      </w:r>
      <w:r>
        <w:rPr>
          <w:rFonts w:hint="eastAsia"/>
          <w:lang w:val="en-US" w:eastAsia="zh-CN"/>
        </w:rPr>
        <w:t>43</w:t>
      </w:r>
      <w:r>
        <w:t>条，</w:t>
      </w:r>
      <w:r>
        <w:rPr>
          <w:rFonts w:hint="eastAsia"/>
          <w:lang w:val="en-US" w:eastAsia="zh-CN"/>
        </w:rPr>
        <w:t>服务知识</w:t>
      </w:r>
      <w:r>
        <w:t>已向甲方开放查询权限。</w:t>
      </w:r>
    </w:p>
    <w:p>
      <w:pPr>
        <w:pStyle w:val="a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4" w:name="_GoBack"/>
      <w:bookmarkEnd w:id="34"/>
      <w:r>
        <w:t>知识库已对甲方开放查询权限，实现运维经验共享、常见问题自助解决，提升双方工作效率。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5" w:name="heading_18"/>
      <w:bookmarkStart w:id="36" w:name="_Toc7204"/>
      <w:r>
        <w:t>客户满意度</w:t>
      </w:r>
      <w:bookmarkEnd w:id="35"/>
      <w:bookmarkEnd w:id="36"/>
    </w:p>
    <w:p>
      <w:pPr>
        <w:pStyle w:val="a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eastAsia="宋体" w:hint="eastAsia"/>
          <w:lang w:eastAsia="zh-CN"/>
        </w:rPr>
      </w:pPr>
      <w:r>
        <w:t>全年分阶段开展客户满意度调研，全面核验服务质量，各</w:t>
      </w:r>
      <w:r>
        <w:rPr>
          <w:rFonts w:hint="eastAsia"/>
          <w:lang w:val="en-US" w:eastAsia="zh-CN"/>
        </w:rPr>
        <w:t>季度</w:t>
      </w:r>
      <w:r>
        <w:t>评分均高于既定考核标准，服务获得甲方认可</w:t>
      </w:r>
      <w:r>
        <w:rPr>
          <w:rFonts w:hint="eastAsia"/>
          <w:lang w:eastAsia="zh-CN"/>
        </w:rPr>
        <w:t>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7" w:name="heading_19"/>
      <w:bookmarkStart w:id="38" w:name="_Toc25489"/>
      <w:r>
        <w:t>交付物归档</w:t>
      </w:r>
      <w:bookmarkEnd w:id="37"/>
      <w:bookmarkEnd w:id="38"/>
    </w:p>
    <w:p>
      <w:pPr>
        <w:pStyle w:val="a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全年严格按照项目交付规范，完成所有服务文档的整理、审核、分类归档工作，全程可追溯、可核验。全年累计形成标准化交付文档40余份，具体分类如下：</w:t>
      </w:r>
    </w:p>
    <w:p>
      <w:pPr>
        <w:pStyle w:val="a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启动阶段：3份</w:t>
      </w:r>
    </w:p>
    <w:p>
      <w:pPr>
        <w:pStyle w:val="a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策划阶段：1份</w:t>
      </w:r>
    </w:p>
    <w:p>
      <w:pPr>
        <w:pStyle w:val="a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实施阶段：20余份（含过程记录单、服务确认单等过程资料）</w:t>
      </w:r>
    </w:p>
    <w:p>
      <w:pPr>
        <w:pStyle w:val="a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检查阶段：12份（月度质量月报、阶段验收报告等）</w:t>
      </w:r>
    </w:p>
    <w:p>
      <w:pPr>
        <w:pStyle w:val="a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改进阶段：3份</w:t>
      </w:r>
    </w:p>
    <w:p>
      <w:pPr>
        <w:pStyle w:val="a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所有交付物统一归档至阿里云企业云盘，归档规范、完整，满足项目验收及溯源要求。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9" w:name="heading_20"/>
      <w:bookmarkStart w:id="40" w:name="_Toc26076"/>
      <w:r>
        <w:t>存在问题与改进措施</w:t>
      </w:r>
      <w:bookmarkEnd w:id="39"/>
      <w:bookmarkEnd w:id="40"/>
    </w:p>
    <w:tbl>
      <w:tblPr>
        <w:tblStyle w:val="TableNormal"/>
        <w:tblW w:w="922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414"/>
        <w:gridCol w:w="737"/>
        <w:gridCol w:w="3386"/>
        <w:gridCol w:w="1723"/>
        <w:gridCol w:w="960"/>
      </w:tblGrid>
      <w:tr>
        <w:tblPrEx>
          <w:tblW w:w="922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问题描述</w:t>
            </w:r>
          </w:p>
        </w:tc>
        <w:tc>
          <w:tcPr>
            <w:tcW w:w="73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影响程度</w:t>
            </w:r>
          </w:p>
        </w:tc>
        <w:tc>
          <w:tcPr>
            <w:tcW w:w="338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改进措施</w:t>
            </w:r>
          </w:p>
        </w:tc>
        <w:tc>
          <w:tcPr>
            <w:tcW w:w="172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96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完成情况</w:t>
            </w:r>
          </w:p>
        </w:tc>
      </w:tr>
      <w:tr>
        <w:tblPrEx>
          <w:tblW w:w="922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4月计划内电力维护切换（已提前通知）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低</w:t>
            </w: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优化通知机制，提前2周正式书面通知甲方，同步确认对接事宜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运维项目经理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已完成</w:t>
            </w:r>
          </w:p>
        </w:tc>
      </w:tr>
      <w:tr>
        <w:tblPrEx>
          <w:tblW w:w="922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硬件巡检记录格式不统一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低</w:t>
            </w: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统一标准化巡检记录模板，纳入知识库常态化使用，规范填报要求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运维工程师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已完成</w:t>
            </w:r>
          </w:p>
        </w:tc>
      </w:tr>
      <w:tr>
        <w:tblPrEx>
          <w:tblW w:w="922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安防审计告警存在少量误报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低</w:t>
            </w: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持续迭代优化审计规则，精准过滤无效告警，降低误报率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运维工程师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已完成</w:t>
            </w:r>
          </w:p>
        </w:tc>
      </w:tr>
      <w:tr>
        <w:tblPrEx>
          <w:tblW w:w="922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9月机房环境短暂波动（空调温度瞬时偏高）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低</w:t>
            </w: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优化空调监控阈值，增设多级预警机制，提前预判环境波动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运维工程师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已完成</w:t>
            </w:r>
          </w:p>
        </w:tc>
      </w:tr>
      <w:tr>
        <w:tblPrEx>
          <w:tblW w:w="922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41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应急演练中发现通讯录未包含全部值班人员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低</w:t>
            </w: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全面更新应急通讯录，补齐所有值班人员信息，完善24小时值班联系方式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服务台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已完成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1" w:name="heading_21"/>
      <w:bookmarkStart w:id="42" w:name="_Toc22898"/>
      <w:r>
        <w:t>下年度工作建议</w:t>
      </w:r>
      <w:bookmarkEnd w:id="41"/>
      <w:bookmarkEnd w:id="4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3" w:name="heading_22"/>
      <w:bookmarkStart w:id="44" w:name="_Toc17085"/>
      <w:r>
        <w:t>服务延续建议</w:t>
      </w:r>
      <w:bookmarkEnd w:id="43"/>
      <w:bookmarkEnd w:id="44"/>
    </w:p>
    <w:p>
      <w:pPr>
        <w:pStyle w:val="a5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续签准备：结合本年度服务交付情况及甲方运维需求，提前筹备2026年度运维服务方案、报价及服务细则，保障服务无缝衔接。</w:t>
      </w:r>
    </w:p>
    <w:p>
      <w:pPr>
        <w:pStyle w:val="a5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服务优化：在稳固现有全项SLA达标成果的基础上，进一步压缩故障响应、处置时长，全方位提升服务精细化水平。</w:t>
      </w:r>
    </w:p>
    <w:p>
      <w:pPr>
        <w:pStyle w:val="a5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成本控制：优化巡检频次与运维工作模式，整合重复性工作，提升运维效率，在保障服务质量的前提下实现降本增效。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5" w:name="heading_23"/>
      <w:bookmarkStart w:id="46" w:name="_Toc24677"/>
      <w:r>
        <w:t>技术提升建议</w:t>
      </w:r>
      <w:bookmarkEnd w:id="45"/>
      <w:bookmarkEnd w:id="46"/>
    </w:p>
    <w:p>
      <w:pPr>
        <w:pStyle w:val="a5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监控优化：持续迭代机房环境、硬件设备监控阈值，优化监控策略，彻底减少系统误报、漏报问题，实现精准监控。</w:t>
      </w:r>
    </w:p>
    <w:p>
      <w:pPr>
        <w:pStyle w:val="a5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自动化提升：探索巡检数据自动统计、报告自动生成功能，减少人工操作，降低人为失误，提升运维工作智能化水平。</w:t>
      </w:r>
    </w:p>
    <w:p>
      <w:pPr>
        <w:pStyle w:val="a5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知识库深化：持续丰富知识库内容，新增故障典型案例、专项运维方案等内容，优化查询分类，强化甲方自助运维能力。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7" w:name="heading_24"/>
      <w:bookmarkStart w:id="48" w:name="_Toc18888"/>
      <w:r>
        <w:t>管理优化建议</w:t>
      </w:r>
      <w:bookmarkEnd w:id="47"/>
      <w:bookmarkEnd w:id="48"/>
    </w:p>
    <w:p>
      <w:pPr>
        <w:pStyle w:val="a5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定期复盘：持续沿用月度报告、季度复盘工作机制，常态化收集甲方反馈意见，动态优化服务内容。</w:t>
      </w:r>
    </w:p>
    <w:p>
      <w:pPr>
        <w:pStyle w:val="a5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应急演练常态化：建立半年一次的常态化应急演练机制，覆盖电力、网络、硬件故障等多场景，持续校验、优化应急预案。</w:t>
      </w:r>
    </w:p>
    <w:p>
      <w:pPr>
        <w:pStyle w:val="a5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主动运维：深度挖掘监控数据、巡检数据，通过数据分析预判设备潜在故障，从被动处置转向主动预防运维。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9" w:name="heading_25"/>
      <w:bookmarkStart w:id="50" w:name="_Toc6589"/>
      <w:r>
        <w:t>附件</w:t>
      </w:r>
      <w:bookmarkEnd w:id="49"/>
      <w:bookmarkEnd w:id="50"/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附件1：《运维服务需求清单》</w:t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附件2：《设备健康检查报告》</w:t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附件3：《运维服务质量月报》（1-12月，共12份）</w:t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附件4：《硬件巡检记录单》（1-12月，共12份）</w:t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附件5：《安防审计检查记录》（1-12月，共12份）</w:t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附件6：《硬件健康检查报告》</w:t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附件7：《应急演练方案及演练报告》</w:t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附件8：《设备全面巡检报告》</w:t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附件9：《客户满意度调查表》（阶段二、阶段三、年度）</w:t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附件10：《服务改进建议清单》</w:t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附件11：《服务改进报告》</w:t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eastAsia="zh-CN"/>
        </w:rPr>
      </w:pPr>
      <w:r>
        <w:t>附件12：《运维服务验收报告》（阶段二、阶段三、年度）</w:t>
      </w:r>
    </w:p>
    <w:sectPr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9"/>
      <w:pgMar w:top="1440" w:right="1800" w:bottom="1440" w:left="1800" w:header="0" w:footer="0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1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Bdr>
        <w:top w:val="nil"/>
        <w:left w:val="nil"/>
        <w:bottom w:val="nil"/>
        <w:right w:val="nil"/>
        <w:between w:val="nil"/>
      </w:pBdr>
      <w:spacing w:before="11" w:line="60" w:lineRule="exact"/>
      <w:textAlignment w:val="cent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DF04901C"/>
    <w:multiLevelType w:val="singleLevel"/>
    <w:tmpl w:val="DF04901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0F675542"/>
    <w:multiLevelType w:val="singleLevel"/>
    <w:tmpl w:val="0F67554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2BA19B54"/>
    <w:multiLevelType w:val="singleLevel"/>
    <w:tmpl w:val="2BA19B5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6C296BAA"/>
    <w:multiLevelType w:val="singleLevel"/>
    <w:tmpl w:val="6C296BA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isplayBackgroundShape/>
  <w:doNotTrackMoves/>
  <w:defaultTabStop w:val="720"/>
  <w:noPunctuationKerning/>
  <w:characterSpacingControl w:val="doNotCompress"/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ZkNzQ4ZWFiZmQ4NTRhOWRkZTk3YTMwMjlmMmZhYmUifQ=="/>
  </w:docVar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 w:qFormat="1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 w:qFormat="1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 w:qFormat="1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Indent">
    <w:name w:val="Normal Indent"/>
    <w:basedOn w:val="Normal"/>
    <w:qFormat/>
    <w:pPr>
      <w:ind w:firstLine="420" w:firstLineChars="200"/>
    </w:p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PlainText">
    <w:name w:val="Plain Text"/>
    <w:basedOn w:val="Normal"/>
    <w:qFormat/>
    <w:rPr>
      <w:rFonts w:ascii="宋体" w:hAnsi="Courier New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Subtitle">
    <w:name w:val="Subtitle"/>
    <w:basedOn w:val="Normal"/>
    <w:qFormat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="Arial" w:hAnsi="Arial"/>
      <w:b/>
      <w:kern w:val="28"/>
      <w:sz w:val="32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character" w:styleId="PageNumber">
    <w:name w:val="page number"/>
    <w:basedOn w:val="DefaultParagraphFont"/>
    <w:qFormat/>
  </w:style>
  <w:style w:type="character" w:styleId="Emphasis">
    <w:name w:val="Emphasis"/>
    <w:basedOn w:val="DefaultParagraphFont"/>
    <w:qFormat/>
    <w:rPr>
      <w:i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0">
    <w:name w:val="文档说明标题"/>
    <w:next w:val="Normal"/>
    <w:qFormat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eastAsia="黑体" w:hAnsi="Times New Roman" w:cs="Times New Roman"/>
      <w:kern w:val="2"/>
      <w:sz w:val="52"/>
      <w:szCs w:val="52"/>
      <w:lang w:bidi="ar-SA"/>
    </w:rPr>
  </w:style>
  <w:style w:type="paragraph" w:customStyle="1" w:styleId="a1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2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3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3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3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3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4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5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3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5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3.xml" /><Relationship Id="rId11" Type="http://schemas.openxmlformats.org/officeDocument/2006/relationships/footer" Target="footer3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10</Pages>
  <Words>2999</Words>
  <Characters>3503</Characters>
  <Application>Microsoft Office Word</Application>
  <DocSecurity>0</DocSecurity>
  <Lines>0</Lines>
  <Paragraphs>0</Paragraphs>
  <ScaleCrop>false</ScaleCrop>
  <Company/>
  <LinksUpToDate>false</LinksUpToDate>
  <CharactersWithSpaces>3563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wa347349</dc:creator>
  <cp:lastModifiedBy>郝宇</cp:lastModifiedBy>
  <cp:revision>0</cp:revision>
  <dcterms:created xsi:type="dcterms:W3CDTF">2021-11-05T07:50:00Z</dcterms:created>
  <dcterms:modified xsi:type="dcterms:W3CDTF">2026-05-26T16:22:08Z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2023-06-05T16:41:20Z</vt:filetime>
  </property>
  <property fmtid="{D5CDD505-2E9C-101B-9397-08002B2CF9AE}" pid="3" name="CRO">
    <vt:lpwstr>wqlLaW5nc29mdCBQREYgdG8gV1BTIDgw</vt:lpwstr>
  </property>
  <property fmtid="{D5CDD505-2E9C-101B-9397-08002B2CF9AE}" pid="4" name="ICV">
    <vt:lpwstr>13D8B50E501C4422B63BB83CB0DB69A6_12</vt:lpwstr>
  </property>
  <property fmtid="{D5CDD505-2E9C-101B-9397-08002B2CF9AE}" pid="5" name="KSOProductBuildVer">
    <vt:lpwstr>2052-12.1.0.26375</vt:lpwstr>
  </property>
  <property fmtid="{D5CDD505-2E9C-101B-9397-08002B2CF9AE}" pid="6" name="KSOTemplateDocerSaveRecord">
    <vt:lpwstr>eyJoZGlkIjoiYWNlNzNhNmIzOTIzZGY2M2QzZGFjMTM3NDZmMGZlYmUiLCJ1c2VySWQiOiIxMDc1MzgyOSJ9</vt:lpwstr>
  </property>
</Properties>
</file>