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922F4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F0C7">
      <w:pPr>
        <w:pStyle w:val="2"/>
        <w:spacing w:line="244" w:lineRule="auto"/>
      </w:pPr>
    </w:p>
    <w:p w14:paraId="297C6FB4">
      <w:pPr>
        <w:pStyle w:val="2"/>
        <w:spacing w:line="244" w:lineRule="auto"/>
      </w:pPr>
    </w:p>
    <w:p w14:paraId="2A87A51B">
      <w:pPr>
        <w:pStyle w:val="2"/>
        <w:spacing w:line="244" w:lineRule="auto"/>
      </w:pPr>
    </w:p>
    <w:p w14:paraId="3DC727DF">
      <w:pPr>
        <w:pStyle w:val="2"/>
        <w:spacing w:line="244" w:lineRule="auto"/>
      </w:pPr>
    </w:p>
    <w:p w14:paraId="6263EFB4">
      <w:pPr>
        <w:pStyle w:val="2"/>
        <w:spacing w:line="244" w:lineRule="auto"/>
      </w:pPr>
    </w:p>
    <w:p w14:paraId="5C1AB61D">
      <w:pPr>
        <w:pStyle w:val="2"/>
        <w:spacing w:line="244" w:lineRule="auto"/>
      </w:pPr>
    </w:p>
    <w:p w14:paraId="134FE42D">
      <w:pPr>
        <w:pStyle w:val="2"/>
        <w:spacing w:line="244" w:lineRule="auto"/>
      </w:pPr>
    </w:p>
    <w:p w14:paraId="465AF048">
      <w:pPr>
        <w:pStyle w:val="2"/>
        <w:spacing w:line="244" w:lineRule="auto"/>
      </w:pPr>
    </w:p>
    <w:p w14:paraId="3A79FDCA">
      <w:pPr>
        <w:spacing w:before="140" w:line="225" w:lineRule="auto"/>
        <w:ind w:left="1092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46FFE506">
      <w:pPr>
        <w:pStyle w:val="2"/>
        <w:spacing w:line="315" w:lineRule="auto"/>
      </w:pPr>
    </w:p>
    <w:p w14:paraId="7E6DBD0D">
      <w:pPr>
        <w:pStyle w:val="2"/>
        <w:spacing w:line="315" w:lineRule="auto"/>
      </w:pPr>
    </w:p>
    <w:p w14:paraId="627451F3">
      <w:pPr>
        <w:pStyle w:val="2"/>
        <w:spacing w:line="316" w:lineRule="auto"/>
      </w:pPr>
    </w:p>
    <w:p w14:paraId="6DAC5F7B">
      <w:pPr>
        <w:spacing w:before="140" w:line="225" w:lineRule="auto"/>
        <w:ind w:left="2198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5"/>
          <w:sz w:val="43"/>
          <w:szCs w:val="43"/>
        </w:rPr>
        <w:t>组织架构及职责说明</w:t>
      </w:r>
    </w:p>
    <w:p w14:paraId="660BF41D">
      <w:pPr>
        <w:pStyle w:val="2"/>
        <w:spacing w:line="248" w:lineRule="auto"/>
      </w:pPr>
    </w:p>
    <w:p w14:paraId="0A546C0F">
      <w:pPr>
        <w:pStyle w:val="2"/>
        <w:spacing w:line="248" w:lineRule="auto"/>
      </w:pPr>
    </w:p>
    <w:p w14:paraId="5D00BC65">
      <w:pPr>
        <w:pStyle w:val="2"/>
        <w:spacing w:line="248" w:lineRule="auto"/>
      </w:pPr>
    </w:p>
    <w:p w14:paraId="53539B44">
      <w:pPr>
        <w:pStyle w:val="2"/>
        <w:spacing w:line="248" w:lineRule="auto"/>
      </w:pPr>
    </w:p>
    <w:p w14:paraId="07BB3FD0">
      <w:pPr>
        <w:pStyle w:val="2"/>
        <w:spacing w:line="248" w:lineRule="auto"/>
      </w:pPr>
    </w:p>
    <w:p w14:paraId="66B78E06">
      <w:pPr>
        <w:pStyle w:val="2"/>
        <w:spacing w:line="248" w:lineRule="auto"/>
      </w:pPr>
    </w:p>
    <w:p w14:paraId="08B081F1">
      <w:pPr>
        <w:pStyle w:val="2"/>
        <w:spacing w:line="248" w:lineRule="auto"/>
      </w:pPr>
    </w:p>
    <w:p w14:paraId="35938BD8">
      <w:pPr>
        <w:pStyle w:val="2"/>
        <w:spacing w:line="248" w:lineRule="auto"/>
      </w:pPr>
    </w:p>
    <w:p w14:paraId="5A0C1397">
      <w:pPr>
        <w:pStyle w:val="2"/>
        <w:spacing w:line="248" w:lineRule="auto"/>
      </w:pPr>
    </w:p>
    <w:p w14:paraId="04EF8246">
      <w:pPr>
        <w:pStyle w:val="2"/>
        <w:spacing w:line="248" w:lineRule="auto"/>
      </w:pPr>
    </w:p>
    <w:p w14:paraId="2F0B0706">
      <w:pPr>
        <w:pStyle w:val="2"/>
        <w:spacing w:line="248" w:lineRule="auto"/>
      </w:pPr>
    </w:p>
    <w:p w14:paraId="721C2B19">
      <w:pPr>
        <w:pStyle w:val="2"/>
        <w:spacing w:line="248" w:lineRule="auto"/>
      </w:pPr>
    </w:p>
    <w:p w14:paraId="3722E3CD">
      <w:pPr>
        <w:pStyle w:val="2"/>
        <w:spacing w:line="248" w:lineRule="auto"/>
      </w:pPr>
    </w:p>
    <w:p w14:paraId="3DD8FC77">
      <w:pPr>
        <w:pStyle w:val="2"/>
        <w:spacing w:line="249" w:lineRule="auto"/>
      </w:pPr>
    </w:p>
    <w:p w14:paraId="79FE1E45">
      <w:pPr>
        <w:pStyle w:val="2"/>
        <w:spacing w:line="249" w:lineRule="auto"/>
      </w:pPr>
    </w:p>
    <w:p w14:paraId="0CFCB962">
      <w:pPr>
        <w:pStyle w:val="2"/>
        <w:spacing w:line="249" w:lineRule="auto"/>
      </w:pPr>
    </w:p>
    <w:p w14:paraId="63D61498">
      <w:pPr>
        <w:pStyle w:val="2"/>
        <w:spacing w:line="249" w:lineRule="auto"/>
      </w:pPr>
    </w:p>
    <w:p w14:paraId="3B3EC4A4">
      <w:pPr>
        <w:pStyle w:val="2"/>
        <w:spacing w:line="249" w:lineRule="auto"/>
      </w:pPr>
    </w:p>
    <w:p w14:paraId="29107322">
      <w:pPr>
        <w:spacing w:before="98" w:line="221" w:lineRule="auto"/>
        <w:ind w:left="2876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编制机构：人力行政部</w:t>
      </w:r>
    </w:p>
    <w:p w14:paraId="51FCB92F">
      <w:pPr>
        <w:spacing w:before="204" w:line="252" w:lineRule="auto"/>
        <w:ind w:left="2875" w:right="1349" w:hanging="4"/>
        <w:outlineLvl w:val="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</w:rPr>
        <w:t>2025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</w:rPr>
        <w:t>1</w:t>
      </w:r>
      <w:r>
        <w:rPr>
          <w:rFonts w:ascii="微软雅黑" w:hAnsi="微软雅黑" w:eastAsia="微软雅黑" w:cs="微软雅黑"/>
          <w:b/>
          <w:bCs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</w:rPr>
        <w:t>8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微软雅黑" w:hAnsi="微软雅黑" w:eastAsia="微软雅黑" w:cs="微软雅黑"/>
          <w:b/>
          <w:bCs/>
          <w:spacing w:val="-2"/>
          <w:sz w:val="30"/>
          <w:szCs w:val="30"/>
        </w:rPr>
        <w:t>CYYH-ITSS-05-01</w:t>
      </w:r>
    </w:p>
    <w:p w14:paraId="0FC40852">
      <w:pPr>
        <w:spacing w:before="146" w:line="304" w:lineRule="auto"/>
        <w:ind w:left="2877" w:right="2765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文件起草人：井红利文件审核人：姜晓建</w:t>
      </w:r>
    </w:p>
    <w:p w14:paraId="1E39F12D">
      <w:pPr>
        <w:spacing w:before="271" w:line="221" w:lineRule="auto"/>
        <w:ind w:left="2877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文件审批人：谢晓彤</w:t>
      </w:r>
    </w:p>
    <w:p w14:paraId="1F2CEECE">
      <w:pPr>
        <w:spacing w:before="200" w:line="234" w:lineRule="auto"/>
        <w:ind w:left="2871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7"/>
          <w:sz w:val="30"/>
          <w:szCs w:val="30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  <w:u w:val="single" w:color="auto"/>
        </w:rPr>
        <w:t>2025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  <w:u w:val="single" w:color="auto"/>
        </w:rPr>
        <w:t xml:space="preserve">  1</w:t>
      </w:r>
      <w:r>
        <w:rPr>
          <w:rFonts w:ascii="微软雅黑" w:hAnsi="微软雅黑" w:eastAsia="微软雅黑" w:cs="微软雅黑"/>
          <w:b/>
          <w:bCs/>
          <w:spacing w:val="69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微软雅黑" w:hAnsi="微软雅黑" w:eastAsia="微软雅黑" w:cs="微软雅黑"/>
          <w:b/>
          <w:bCs/>
          <w:spacing w:val="75"/>
          <w:sz w:val="30"/>
          <w:szCs w:val="30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  <w:u w:val="single" w:color="auto"/>
        </w:rPr>
        <w:t xml:space="preserve">8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71341BBB">
      <w:pPr>
        <w:spacing w:line="234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81" w:right="1786" w:bottom="1388" w:left="1786" w:header="0" w:footer="1153" w:gutter="0"/>
          <w:cols w:space="720" w:num="1"/>
        </w:sectPr>
      </w:pPr>
    </w:p>
    <w:p w14:paraId="3C10FDA4">
      <w:pPr>
        <w:spacing w:line="426" w:lineRule="exact"/>
        <w:ind w:firstLine="100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B7F9">
      <w:pPr>
        <w:spacing w:before="299" w:line="222" w:lineRule="auto"/>
        <w:ind w:left="3267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71499FD0">
      <w:pPr>
        <w:spacing w:line="109" w:lineRule="exact"/>
      </w:pPr>
    </w:p>
    <w:tbl>
      <w:tblPr>
        <w:tblStyle w:val="5"/>
        <w:tblW w:w="850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320975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5A96189C">
            <w:pPr>
              <w:spacing w:before="177" w:line="222" w:lineRule="auto"/>
              <w:ind w:left="23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1FA81AF4">
            <w:pPr>
              <w:spacing w:before="177" w:line="222" w:lineRule="auto"/>
              <w:ind w:left="36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5AE87D5E">
            <w:pPr>
              <w:spacing w:before="177" w:line="222" w:lineRule="auto"/>
              <w:ind w:left="4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499D7290">
            <w:pPr>
              <w:spacing w:before="177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0E493B42">
            <w:pPr>
              <w:spacing w:before="176" w:line="222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43ED1D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58DE6347">
            <w:pPr>
              <w:spacing w:before="176" w:line="241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48F1BA50">
            <w:pPr>
              <w:spacing w:before="175" w:line="224" w:lineRule="auto"/>
              <w:ind w:left="560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0C1D5E51">
            <w:pPr>
              <w:spacing w:before="176" w:line="222" w:lineRule="auto"/>
              <w:ind w:left="4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井红利</w:t>
            </w:r>
          </w:p>
        </w:tc>
        <w:tc>
          <w:tcPr>
            <w:tcW w:w="1693" w:type="dxa"/>
          </w:tcPr>
          <w:p w14:paraId="372E1888">
            <w:pPr>
              <w:spacing w:before="176" w:line="222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6B62DD47">
            <w:pPr>
              <w:spacing w:before="176" w:line="241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2025.1.8</w:t>
            </w:r>
          </w:p>
        </w:tc>
      </w:tr>
      <w:tr w14:paraId="0CB6E1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F93E276">
            <w:pPr>
              <w:pStyle w:val="6"/>
            </w:pPr>
          </w:p>
        </w:tc>
        <w:tc>
          <w:tcPr>
            <w:tcW w:w="1843" w:type="dxa"/>
          </w:tcPr>
          <w:p w14:paraId="45501EDE">
            <w:pPr>
              <w:pStyle w:val="6"/>
            </w:pPr>
          </w:p>
        </w:tc>
        <w:tc>
          <w:tcPr>
            <w:tcW w:w="1693" w:type="dxa"/>
          </w:tcPr>
          <w:p w14:paraId="29B35FDE">
            <w:pPr>
              <w:pStyle w:val="6"/>
            </w:pPr>
          </w:p>
        </w:tc>
        <w:tc>
          <w:tcPr>
            <w:tcW w:w="1693" w:type="dxa"/>
          </w:tcPr>
          <w:p w14:paraId="68B904AE">
            <w:pPr>
              <w:pStyle w:val="6"/>
            </w:pPr>
          </w:p>
        </w:tc>
        <w:tc>
          <w:tcPr>
            <w:tcW w:w="1697" w:type="dxa"/>
          </w:tcPr>
          <w:p w14:paraId="31CE56BE">
            <w:pPr>
              <w:pStyle w:val="6"/>
            </w:pPr>
          </w:p>
        </w:tc>
      </w:tr>
      <w:tr w14:paraId="32E7F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9B8F308">
            <w:pPr>
              <w:pStyle w:val="6"/>
            </w:pPr>
          </w:p>
        </w:tc>
        <w:tc>
          <w:tcPr>
            <w:tcW w:w="1843" w:type="dxa"/>
          </w:tcPr>
          <w:p w14:paraId="7A5C9211">
            <w:pPr>
              <w:pStyle w:val="6"/>
            </w:pPr>
          </w:p>
        </w:tc>
        <w:tc>
          <w:tcPr>
            <w:tcW w:w="1693" w:type="dxa"/>
          </w:tcPr>
          <w:p w14:paraId="6C0299BD">
            <w:pPr>
              <w:pStyle w:val="6"/>
            </w:pPr>
          </w:p>
        </w:tc>
        <w:tc>
          <w:tcPr>
            <w:tcW w:w="1693" w:type="dxa"/>
          </w:tcPr>
          <w:p w14:paraId="5CA2706C">
            <w:pPr>
              <w:pStyle w:val="6"/>
            </w:pPr>
          </w:p>
        </w:tc>
        <w:tc>
          <w:tcPr>
            <w:tcW w:w="1697" w:type="dxa"/>
          </w:tcPr>
          <w:p w14:paraId="50A04F96">
            <w:pPr>
              <w:pStyle w:val="6"/>
            </w:pPr>
          </w:p>
        </w:tc>
      </w:tr>
      <w:tr w14:paraId="032F5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82A2A35">
            <w:pPr>
              <w:pStyle w:val="6"/>
            </w:pPr>
          </w:p>
        </w:tc>
        <w:tc>
          <w:tcPr>
            <w:tcW w:w="1843" w:type="dxa"/>
          </w:tcPr>
          <w:p w14:paraId="36BE1739">
            <w:pPr>
              <w:pStyle w:val="6"/>
            </w:pPr>
          </w:p>
        </w:tc>
        <w:tc>
          <w:tcPr>
            <w:tcW w:w="1693" w:type="dxa"/>
          </w:tcPr>
          <w:p w14:paraId="0D6D1987">
            <w:pPr>
              <w:pStyle w:val="6"/>
            </w:pPr>
          </w:p>
        </w:tc>
        <w:tc>
          <w:tcPr>
            <w:tcW w:w="1693" w:type="dxa"/>
          </w:tcPr>
          <w:p w14:paraId="27612FAC">
            <w:pPr>
              <w:pStyle w:val="6"/>
            </w:pPr>
          </w:p>
        </w:tc>
        <w:tc>
          <w:tcPr>
            <w:tcW w:w="1697" w:type="dxa"/>
          </w:tcPr>
          <w:p w14:paraId="23F7E44E">
            <w:pPr>
              <w:pStyle w:val="6"/>
            </w:pPr>
          </w:p>
        </w:tc>
      </w:tr>
      <w:tr w14:paraId="1210DF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27BACE8A">
            <w:pPr>
              <w:pStyle w:val="6"/>
            </w:pPr>
          </w:p>
        </w:tc>
        <w:tc>
          <w:tcPr>
            <w:tcW w:w="1843" w:type="dxa"/>
          </w:tcPr>
          <w:p w14:paraId="2EBF721D">
            <w:pPr>
              <w:pStyle w:val="6"/>
            </w:pPr>
          </w:p>
        </w:tc>
        <w:tc>
          <w:tcPr>
            <w:tcW w:w="1693" w:type="dxa"/>
          </w:tcPr>
          <w:p w14:paraId="3DE4346B">
            <w:pPr>
              <w:pStyle w:val="6"/>
            </w:pPr>
          </w:p>
        </w:tc>
        <w:tc>
          <w:tcPr>
            <w:tcW w:w="1693" w:type="dxa"/>
          </w:tcPr>
          <w:p w14:paraId="46DA904B">
            <w:pPr>
              <w:pStyle w:val="6"/>
            </w:pPr>
          </w:p>
        </w:tc>
        <w:tc>
          <w:tcPr>
            <w:tcW w:w="1697" w:type="dxa"/>
          </w:tcPr>
          <w:p w14:paraId="2C7C56BF">
            <w:pPr>
              <w:pStyle w:val="6"/>
            </w:pPr>
          </w:p>
        </w:tc>
      </w:tr>
      <w:tr w14:paraId="288FDB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47489502">
            <w:pPr>
              <w:pStyle w:val="6"/>
            </w:pPr>
          </w:p>
        </w:tc>
        <w:tc>
          <w:tcPr>
            <w:tcW w:w="1843" w:type="dxa"/>
          </w:tcPr>
          <w:p w14:paraId="76898650">
            <w:pPr>
              <w:pStyle w:val="6"/>
            </w:pPr>
          </w:p>
        </w:tc>
        <w:tc>
          <w:tcPr>
            <w:tcW w:w="1693" w:type="dxa"/>
          </w:tcPr>
          <w:p w14:paraId="0ABF7F9E">
            <w:pPr>
              <w:pStyle w:val="6"/>
            </w:pPr>
          </w:p>
        </w:tc>
        <w:tc>
          <w:tcPr>
            <w:tcW w:w="1693" w:type="dxa"/>
          </w:tcPr>
          <w:p w14:paraId="7EA587E1">
            <w:pPr>
              <w:pStyle w:val="6"/>
            </w:pPr>
          </w:p>
        </w:tc>
        <w:tc>
          <w:tcPr>
            <w:tcW w:w="1697" w:type="dxa"/>
          </w:tcPr>
          <w:p w14:paraId="0C0668FE">
            <w:pPr>
              <w:pStyle w:val="6"/>
            </w:pPr>
          </w:p>
        </w:tc>
      </w:tr>
      <w:tr w14:paraId="5A2E72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36FF7EE4">
            <w:pPr>
              <w:pStyle w:val="6"/>
            </w:pPr>
          </w:p>
        </w:tc>
        <w:tc>
          <w:tcPr>
            <w:tcW w:w="1843" w:type="dxa"/>
          </w:tcPr>
          <w:p w14:paraId="4842F4FB">
            <w:pPr>
              <w:pStyle w:val="6"/>
            </w:pPr>
          </w:p>
        </w:tc>
        <w:tc>
          <w:tcPr>
            <w:tcW w:w="1693" w:type="dxa"/>
          </w:tcPr>
          <w:p w14:paraId="5706E8DB">
            <w:pPr>
              <w:pStyle w:val="6"/>
            </w:pPr>
          </w:p>
        </w:tc>
        <w:tc>
          <w:tcPr>
            <w:tcW w:w="1693" w:type="dxa"/>
          </w:tcPr>
          <w:p w14:paraId="4C59A5B0">
            <w:pPr>
              <w:pStyle w:val="6"/>
            </w:pPr>
          </w:p>
        </w:tc>
        <w:tc>
          <w:tcPr>
            <w:tcW w:w="1697" w:type="dxa"/>
          </w:tcPr>
          <w:p w14:paraId="4328068A">
            <w:pPr>
              <w:pStyle w:val="6"/>
            </w:pPr>
          </w:p>
        </w:tc>
      </w:tr>
      <w:tr w14:paraId="4B2038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90D680B">
            <w:pPr>
              <w:pStyle w:val="6"/>
            </w:pPr>
          </w:p>
        </w:tc>
        <w:tc>
          <w:tcPr>
            <w:tcW w:w="1843" w:type="dxa"/>
          </w:tcPr>
          <w:p w14:paraId="16438ED6">
            <w:pPr>
              <w:pStyle w:val="6"/>
            </w:pPr>
          </w:p>
        </w:tc>
        <w:tc>
          <w:tcPr>
            <w:tcW w:w="1693" w:type="dxa"/>
          </w:tcPr>
          <w:p w14:paraId="6B7F031B">
            <w:pPr>
              <w:pStyle w:val="6"/>
            </w:pPr>
          </w:p>
        </w:tc>
        <w:tc>
          <w:tcPr>
            <w:tcW w:w="1693" w:type="dxa"/>
          </w:tcPr>
          <w:p w14:paraId="24EA32F4">
            <w:pPr>
              <w:pStyle w:val="6"/>
            </w:pPr>
          </w:p>
        </w:tc>
        <w:tc>
          <w:tcPr>
            <w:tcW w:w="1697" w:type="dxa"/>
          </w:tcPr>
          <w:p w14:paraId="15D5B775">
            <w:pPr>
              <w:pStyle w:val="6"/>
            </w:pPr>
          </w:p>
        </w:tc>
      </w:tr>
      <w:tr w14:paraId="0D571C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76DFD402">
            <w:pPr>
              <w:pStyle w:val="6"/>
            </w:pPr>
          </w:p>
        </w:tc>
        <w:tc>
          <w:tcPr>
            <w:tcW w:w="1843" w:type="dxa"/>
          </w:tcPr>
          <w:p w14:paraId="673489E8">
            <w:pPr>
              <w:pStyle w:val="6"/>
            </w:pPr>
          </w:p>
        </w:tc>
        <w:tc>
          <w:tcPr>
            <w:tcW w:w="1693" w:type="dxa"/>
          </w:tcPr>
          <w:p w14:paraId="741D5A38">
            <w:pPr>
              <w:pStyle w:val="6"/>
            </w:pPr>
          </w:p>
        </w:tc>
        <w:tc>
          <w:tcPr>
            <w:tcW w:w="1693" w:type="dxa"/>
          </w:tcPr>
          <w:p w14:paraId="78E6FD77">
            <w:pPr>
              <w:pStyle w:val="6"/>
            </w:pPr>
          </w:p>
        </w:tc>
        <w:tc>
          <w:tcPr>
            <w:tcW w:w="1697" w:type="dxa"/>
          </w:tcPr>
          <w:p w14:paraId="14A886CB">
            <w:pPr>
              <w:pStyle w:val="6"/>
            </w:pPr>
          </w:p>
        </w:tc>
      </w:tr>
    </w:tbl>
    <w:p w14:paraId="7F15C82C">
      <w:pPr>
        <w:pStyle w:val="2"/>
      </w:pPr>
    </w:p>
    <w:p w14:paraId="21D4A444">
      <w:pPr>
        <w:sectPr>
          <w:footerReference r:id="rId6" w:type="default"/>
          <w:pgSz w:w="11910" w:h="16840"/>
          <w:pgMar w:top="881" w:right="1697" w:bottom="1388" w:left="1699" w:header="0" w:footer="1153" w:gutter="0"/>
          <w:cols w:space="720" w:num="1"/>
        </w:sectPr>
      </w:pPr>
    </w:p>
    <w:p w14:paraId="15E3A218">
      <w:pPr>
        <w:spacing w:line="426" w:lineRule="exact"/>
        <w:ind w:firstLine="99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3502">
      <w:pPr>
        <w:pStyle w:val="2"/>
        <w:spacing w:line="314" w:lineRule="auto"/>
      </w:pPr>
    </w:p>
    <w:p w14:paraId="4F92B87F">
      <w:pPr>
        <w:pStyle w:val="2"/>
        <w:spacing w:line="315" w:lineRule="auto"/>
      </w:pPr>
    </w:p>
    <w:p w14:paraId="38061FBA">
      <w:pPr>
        <w:pStyle w:val="2"/>
        <w:spacing w:line="315" w:lineRule="auto"/>
      </w:pPr>
    </w:p>
    <w:p w14:paraId="029A32C1">
      <w:pPr>
        <w:spacing w:before="140" w:line="224" w:lineRule="auto"/>
        <w:ind w:left="123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3"/>
          <w:sz w:val="43"/>
          <w:szCs w:val="43"/>
        </w:rPr>
        <w:t>一、公司组织架构</w:t>
      </w:r>
    </w:p>
    <w:p w14:paraId="4448B6CE">
      <w:pPr>
        <w:pStyle w:val="2"/>
        <w:spacing w:line="242" w:lineRule="auto"/>
      </w:pPr>
    </w:p>
    <w:p w14:paraId="05FC13BA">
      <w:pPr>
        <w:pStyle w:val="2"/>
        <w:spacing w:line="243" w:lineRule="auto"/>
      </w:pPr>
    </w:p>
    <w:p w14:paraId="39AAD61E">
      <w:pPr>
        <w:spacing w:line="5028" w:lineRule="exact"/>
        <w:ind w:firstLine="99"/>
      </w:pPr>
      <w:r>
        <w:rPr>
          <w:position w:val="-100"/>
        </w:rPr>
        <w:drawing>
          <wp:inline distT="0" distB="0" distL="0" distR="0">
            <wp:extent cx="4841240" cy="319214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1748" cy="319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5229">
      <w:pPr>
        <w:pStyle w:val="2"/>
        <w:spacing w:line="353" w:lineRule="auto"/>
      </w:pPr>
    </w:p>
    <w:p w14:paraId="06ECE1F9">
      <w:pPr>
        <w:pStyle w:val="2"/>
        <w:spacing w:line="353" w:lineRule="auto"/>
      </w:pPr>
    </w:p>
    <w:p w14:paraId="06E2F316">
      <w:pPr>
        <w:spacing w:before="78"/>
        <w:ind w:left="1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注：运维相关部门有人力行政部、市场商务部、质量部</w:t>
      </w:r>
      <w:r>
        <w:rPr>
          <w:rFonts w:ascii="宋体" w:hAnsi="宋体" w:eastAsia="宋体" w:cs="宋体"/>
          <w:spacing w:val="-1"/>
          <w:sz w:val="24"/>
          <w:szCs w:val="24"/>
        </w:rPr>
        <w:t>、开发部、运维部（下设</w:t>
      </w:r>
      <w:r>
        <w:rPr>
          <w:rFonts w:ascii="宋体" w:hAnsi="宋体" w:eastAsia="宋体" w:cs="宋体"/>
          <w:spacing w:val="-2"/>
          <w:sz w:val="24"/>
          <w:szCs w:val="24"/>
        </w:rPr>
        <w:t>服务台）。</w:t>
      </w:r>
    </w:p>
    <w:p w14:paraId="5C2A0C00">
      <w:pPr>
        <w:pStyle w:val="2"/>
        <w:spacing w:line="409" w:lineRule="auto"/>
      </w:pPr>
    </w:p>
    <w:p w14:paraId="16784D88">
      <w:pPr>
        <w:spacing w:before="139" w:line="223" w:lineRule="auto"/>
        <w:ind w:left="123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5"/>
          <w:sz w:val="43"/>
          <w:szCs w:val="43"/>
        </w:rPr>
        <w:t>二、与运维业务相关的部门职责说明</w:t>
      </w:r>
    </w:p>
    <w:p w14:paraId="4455AF20">
      <w:pPr>
        <w:pStyle w:val="2"/>
        <w:spacing w:line="391" w:lineRule="auto"/>
      </w:pPr>
    </w:p>
    <w:p w14:paraId="53EA64B1">
      <w:pPr>
        <w:spacing w:before="101" w:line="412" w:lineRule="exact"/>
        <w:ind w:left="126"/>
        <w:rPr>
          <w:rFonts w:ascii="宋体" w:hAnsi="宋体" w:eastAsia="宋体" w:cs="宋体"/>
          <w:sz w:val="31"/>
          <w:szCs w:val="31"/>
        </w:rPr>
      </w:pPr>
      <w:r>
        <w:rPr>
          <w:rFonts w:ascii="Wingdings" w:hAnsi="Wingdings" w:eastAsia="Wingdings" w:cs="Wingdings"/>
          <w:spacing w:val="1"/>
          <w:position w:val="1"/>
          <w:sz w:val="31"/>
          <w:szCs w:val="31"/>
        </w:rPr>
        <w:t>l</w:t>
      </w:r>
      <w:r>
        <w:rPr>
          <w:rFonts w:ascii="Wingdings" w:hAnsi="Wingdings" w:eastAsia="Wingdings" w:cs="Wingdings"/>
          <w:spacing w:val="-107"/>
          <w:position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31"/>
          <w:szCs w:val="31"/>
        </w:rPr>
        <w:t>人力行政部</w:t>
      </w:r>
    </w:p>
    <w:p w14:paraId="16269837">
      <w:pPr>
        <w:spacing w:before="79" w:line="357" w:lineRule="auto"/>
        <w:ind w:left="412" w:right="180" w:hanging="4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95250" cy="1682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402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负责运维服务业务所需要的人员储备、岗位备份、人员招聘、培训、绩效考核及人才技能评价及晋升等的组织、实施和管理等工作；</w:t>
      </w:r>
    </w:p>
    <w:p w14:paraId="5FA1B12D">
      <w:pPr>
        <w:spacing w:before="79" w:line="401" w:lineRule="auto"/>
        <w:ind w:left="412" w:right="60" w:hanging="4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95250" cy="1682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402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负责根据公司的年度人力资源规划、各部门在计划外提出的招聘需求等，组</w:t>
      </w:r>
      <w:r>
        <w:rPr>
          <w:rFonts w:ascii="宋体" w:hAnsi="宋体" w:eastAsia="宋体" w:cs="宋体"/>
          <w:sz w:val="24"/>
          <w:szCs w:val="24"/>
        </w:rPr>
        <w:t>织开展人员的招聘工作，确保人力资源到位</w:t>
      </w:r>
      <w:r>
        <w:rPr>
          <w:rFonts w:ascii="宋体" w:hAnsi="宋体" w:eastAsia="宋体" w:cs="宋体"/>
          <w:spacing w:val="-1"/>
          <w:sz w:val="24"/>
          <w:szCs w:val="24"/>
        </w:rPr>
        <w:t>并符合公司发展的需要， 并妥善</w:t>
      </w:r>
      <w:r>
        <w:rPr>
          <w:rFonts w:ascii="宋体" w:hAnsi="宋体" w:eastAsia="宋体" w:cs="宋体"/>
          <w:spacing w:val="-2"/>
          <w:sz w:val="24"/>
          <w:szCs w:val="24"/>
        </w:rPr>
        <w:t>处理员工离职时的相关工作。</w:t>
      </w:r>
    </w:p>
    <w:p w14:paraId="42E171A8">
      <w:pPr>
        <w:spacing w:before="120" w:line="358" w:lineRule="auto"/>
        <w:ind w:left="409" w:right="200" w:hanging="4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根据组织结构的调整和岗位的变化，组织各部门修</w:t>
      </w:r>
      <w:r>
        <w:rPr>
          <w:rFonts w:ascii="宋体" w:hAnsi="宋体" w:eastAsia="宋体" w:cs="宋体"/>
          <w:spacing w:val="-1"/>
          <w:sz w:val="24"/>
          <w:szCs w:val="24"/>
        </w:rPr>
        <w:t>订与岗位职责相匹配的岗</w:t>
      </w:r>
      <w:r>
        <w:rPr>
          <w:rFonts w:ascii="宋体" w:hAnsi="宋体" w:eastAsia="宋体" w:cs="宋体"/>
          <w:spacing w:val="-2"/>
          <w:sz w:val="24"/>
          <w:szCs w:val="24"/>
        </w:rPr>
        <w:t>位说明书。</w:t>
      </w:r>
    </w:p>
    <w:p w14:paraId="4682965E">
      <w:pPr>
        <w:spacing w:before="78" w:line="401" w:lineRule="auto"/>
        <w:ind w:left="410" w:right="200" w:hanging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负责组织开展全公司范围内人员绩效考核。调查、收集、总结各部门绩效考</w:t>
      </w:r>
      <w:r>
        <w:rPr>
          <w:rFonts w:ascii="宋体" w:hAnsi="宋体" w:eastAsia="宋体" w:cs="宋体"/>
          <w:sz w:val="24"/>
          <w:szCs w:val="24"/>
        </w:rPr>
        <w:t>核的执行情况，逐步完善公司的绩效考核制度，</w:t>
      </w:r>
      <w:r>
        <w:rPr>
          <w:rFonts w:ascii="宋体" w:hAnsi="宋体" w:eastAsia="宋体" w:cs="宋体"/>
          <w:spacing w:val="-1"/>
          <w:sz w:val="24"/>
          <w:szCs w:val="24"/>
        </w:rPr>
        <w:t>激励员工绩效的不断提高，</w:t>
      </w:r>
      <w:r>
        <w:rPr>
          <w:rFonts w:ascii="宋体" w:hAnsi="宋体" w:eastAsia="宋体" w:cs="宋体"/>
          <w:spacing w:val="-2"/>
          <w:sz w:val="24"/>
          <w:szCs w:val="24"/>
        </w:rPr>
        <w:t>增强公司核心竞争力。</w:t>
      </w:r>
    </w:p>
    <w:p w14:paraId="41ED65FD">
      <w:pPr>
        <w:spacing w:before="78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负责组织开展全公司人员的培训工作。</w:t>
      </w:r>
    </w:p>
    <w:p w14:paraId="0F772DA4">
      <w:pPr>
        <w:spacing w:before="78" w:line="358" w:lineRule="auto"/>
        <w:ind w:left="410" w:right="80" w:hanging="4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负责处理公司的日常行政事务。准确理解领导意图，做好上情下达工作， 协调各部门之间的沟通，组织好公司各项例会。</w:t>
      </w:r>
    </w:p>
    <w:p w14:paraId="021EE56D">
      <w:pPr>
        <w:spacing w:before="101" w:line="412" w:lineRule="exact"/>
        <w:ind w:left="126"/>
        <w:rPr>
          <w:rFonts w:ascii="宋体" w:hAnsi="宋体" w:eastAsia="宋体" w:cs="宋体"/>
          <w:sz w:val="31"/>
          <w:szCs w:val="31"/>
        </w:rPr>
      </w:pPr>
      <w:r>
        <w:rPr>
          <w:rFonts w:ascii="Wingdings" w:hAnsi="Wingdings" w:eastAsia="Wingdings" w:cs="Wingdings"/>
          <w:position w:val="1"/>
          <w:sz w:val="31"/>
          <w:szCs w:val="31"/>
        </w:rPr>
        <w:t>l</w:t>
      </w:r>
      <w:r>
        <w:rPr>
          <w:rFonts w:ascii="Wingdings" w:hAnsi="Wingdings" w:eastAsia="Wingdings" w:cs="Wingdings"/>
          <w:spacing w:val="-101"/>
          <w:position w:val="1"/>
          <w:sz w:val="31"/>
          <w:szCs w:val="31"/>
        </w:rPr>
        <w:t xml:space="preserve"> </w:t>
      </w:r>
      <w:r>
        <w:rPr>
          <w:rFonts w:ascii="宋体" w:hAnsi="宋体" w:eastAsia="宋体" w:cs="宋体"/>
          <w:position w:val="1"/>
          <w:sz w:val="31"/>
          <w:szCs w:val="31"/>
        </w:rPr>
        <w:t>市场商务部</w:t>
      </w:r>
    </w:p>
    <w:p w14:paraId="0D001A89">
      <w:pPr>
        <w:spacing w:before="79" w:line="358" w:lineRule="auto"/>
        <w:ind w:left="430" w:right="200" w:hanging="43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负责备品备件的采购需按照年度或者周期采购计划进行采购，如在使用过程</w:t>
      </w:r>
      <w:r>
        <w:rPr>
          <w:rFonts w:ascii="宋体" w:hAnsi="宋体" w:eastAsia="宋体" w:cs="宋体"/>
          <w:spacing w:val="-2"/>
          <w:sz w:val="24"/>
          <w:szCs w:val="24"/>
        </w:rPr>
        <w:t>中有需求变化需要填写零星采购申请单进行单独采购。</w:t>
      </w:r>
    </w:p>
    <w:p w14:paraId="3D57D545">
      <w:pPr>
        <w:spacing w:before="78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负责按照供应商管理要求定期对供应商进行评审，选取合格优质供应商。</w:t>
      </w:r>
    </w:p>
    <w:p w14:paraId="4D7CFAAE">
      <w:pPr>
        <w:spacing w:before="78" w:line="220" w:lineRule="auto"/>
        <w:jc w:val="both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负责备品备件的采购、入库验收登记、保管与保养、发放与流转等具体事宜。</w:t>
      </w:r>
    </w:p>
    <w:p w14:paraId="28C13626">
      <w:pPr>
        <w:spacing w:before="78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负责定期进行备件的库中检验检测工作，确保备件的可用性。</w:t>
      </w:r>
    </w:p>
    <w:p w14:paraId="4FF2BAD3">
      <w:pPr>
        <w:spacing w:before="79" w:line="227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负责备件的入库统一标示编号，备件最低库存量的检查及时增补。</w:t>
      </w:r>
    </w:p>
    <w:p w14:paraId="77AD2F71">
      <w:pPr>
        <w:spacing w:before="79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负责备件盘点，并生成盘点报告。</w:t>
      </w:r>
    </w:p>
    <w:p w14:paraId="05C45447">
      <w:pPr>
        <w:spacing w:before="79" w:line="227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负责备件的报废管理。</w:t>
      </w:r>
    </w:p>
    <w:p w14:paraId="3DE256FA">
      <w:pPr>
        <w:spacing w:before="78" w:line="227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负责响应运维项目的备件需求，确保备件按时到达。</w:t>
      </w:r>
    </w:p>
    <w:p w14:paraId="5C22399A">
      <w:pPr>
        <w:spacing w:before="102" w:line="412" w:lineRule="exact"/>
        <w:ind w:left="126"/>
        <w:rPr>
          <w:rFonts w:ascii="宋体" w:hAnsi="宋体" w:eastAsia="宋体" w:cs="宋体"/>
          <w:sz w:val="31"/>
          <w:szCs w:val="31"/>
        </w:rPr>
      </w:pPr>
      <w:r>
        <w:rPr>
          <w:rFonts w:ascii="Wingdings" w:hAnsi="Wingdings" w:eastAsia="Wingdings" w:cs="Wingdings"/>
          <w:spacing w:val="-3"/>
          <w:position w:val="1"/>
          <w:sz w:val="31"/>
          <w:szCs w:val="31"/>
        </w:rPr>
        <w:t>l</w:t>
      </w:r>
      <w:r>
        <w:rPr>
          <w:rFonts w:ascii="Wingdings" w:hAnsi="Wingdings" w:eastAsia="Wingdings" w:cs="Wingdings"/>
          <w:spacing w:val="-107"/>
          <w:position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31"/>
          <w:szCs w:val="31"/>
        </w:rPr>
        <w:t>质量部</w:t>
      </w:r>
    </w:p>
    <w:p w14:paraId="3712F24F">
      <w:pPr>
        <w:spacing w:before="78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负责公司的质量体系管理工作及公司产品研发、工程项目、运行维护的指标</w:t>
      </w:r>
      <w:r>
        <w:rPr>
          <w:rFonts w:ascii="宋体" w:hAnsi="宋体" w:eastAsia="宋体" w:cs="宋体"/>
          <w:spacing w:val="-3"/>
          <w:sz w:val="24"/>
          <w:szCs w:val="24"/>
        </w:rPr>
        <w:t>过程监控。</w:t>
      </w:r>
    </w:p>
    <w:p w14:paraId="62A6D348">
      <w:pPr>
        <w:spacing w:before="78" w:line="401" w:lineRule="auto"/>
        <w:ind w:left="412" w:hanging="4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负责推行、实施 ISO9001、ISO14001、ISO</w:t>
      </w:r>
      <w:r>
        <w:rPr>
          <w:rFonts w:ascii="宋体" w:hAnsi="宋体" w:eastAsia="宋体" w:cs="宋体"/>
          <w:spacing w:val="-1"/>
          <w:sz w:val="24"/>
          <w:szCs w:val="24"/>
        </w:rPr>
        <w:t>45001体系、ITSS 运维服务能力管</w:t>
      </w:r>
      <w:r>
        <w:rPr>
          <w:rFonts w:ascii="宋体" w:hAnsi="宋体" w:eastAsia="宋体" w:cs="宋体"/>
          <w:sz w:val="24"/>
          <w:szCs w:val="24"/>
        </w:rPr>
        <w:t>理体系等相关体系在公司的执行，并组织开</w:t>
      </w:r>
      <w:r>
        <w:rPr>
          <w:rFonts w:ascii="宋体" w:hAnsi="宋体" w:eastAsia="宋体" w:cs="宋体"/>
          <w:spacing w:val="-1"/>
          <w:sz w:val="24"/>
          <w:szCs w:val="24"/>
        </w:rPr>
        <w:t>展内审、管理评审等工作。确保公司各项管理体系的有效运行。</w:t>
      </w:r>
    </w:p>
    <w:p w14:paraId="3659BAC1">
      <w:pPr>
        <w:spacing w:before="78" w:line="357" w:lineRule="auto"/>
        <w:ind w:left="410" w:right="120" w:hanging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负责梳理公司开发部的软件研发、实施项目的管理过程，对公司的项目进行监控以及质量保证工作。</w:t>
      </w:r>
    </w:p>
    <w:p w14:paraId="1B99A50C">
      <w:pPr>
        <w:spacing w:before="78" w:line="357" w:lineRule="auto"/>
        <w:ind w:left="410" w:right="120" w:hanging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负责定期的客户回访工作，对客户的满意度进行问卷调查，总结分析编写客</w:t>
      </w:r>
      <w:r>
        <w:rPr>
          <w:rFonts w:ascii="宋体" w:hAnsi="宋体" w:eastAsia="宋体" w:cs="宋体"/>
          <w:spacing w:val="-2"/>
          <w:sz w:val="24"/>
          <w:szCs w:val="24"/>
        </w:rPr>
        <w:t>户满意度调查报告。</w:t>
      </w:r>
    </w:p>
    <w:p w14:paraId="16A6E31A">
      <w:pPr>
        <w:spacing w:before="78" w:line="357" w:lineRule="auto"/>
        <w:ind w:left="410" w:right="120" w:hanging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负责涉及到产品质量、服务态度、服务规范等投诉处理，根据服务台的投诉反馈信息及时处理客户投诉。</w:t>
      </w:r>
    </w:p>
    <w:p w14:paraId="0A796528">
      <w:pPr>
        <w:spacing w:before="101" w:line="412" w:lineRule="exact"/>
        <w:ind w:left="126"/>
        <w:rPr>
          <w:rFonts w:ascii="宋体" w:hAnsi="宋体" w:eastAsia="宋体" w:cs="宋体"/>
          <w:sz w:val="31"/>
          <w:szCs w:val="31"/>
        </w:rPr>
      </w:pPr>
      <w:r>
        <w:rPr>
          <w:rFonts w:ascii="Wingdings" w:hAnsi="Wingdings" w:eastAsia="Wingdings" w:cs="Wingdings"/>
          <w:spacing w:val="-3"/>
          <w:position w:val="1"/>
          <w:sz w:val="31"/>
          <w:szCs w:val="31"/>
        </w:rPr>
        <w:t>l</w:t>
      </w:r>
      <w:r>
        <w:rPr>
          <w:rFonts w:ascii="Wingdings" w:hAnsi="Wingdings" w:eastAsia="Wingdings" w:cs="Wingdings"/>
          <w:spacing w:val="-107"/>
          <w:position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31"/>
          <w:szCs w:val="31"/>
        </w:rPr>
        <w:t>开发部</w:t>
      </w:r>
    </w:p>
    <w:p w14:paraId="794C7A78">
      <w:pPr>
        <w:spacing w:before="79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负责产品的需求调研，需求分析工作。</w:t>
      </w:r>
    </w:p>
    <w:p w14:paraId="395FD961">
      <w:pPr>
        <w:spacing w:before="78" w:line="227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负责产品的设计工作。</w:t>
      </w:r>
    </w:p>
    <w:p w14:paraId="0EB36E33">
      <w:pPr>
        <w:spacing w:before="79" w:line="227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负责产品的整体解决方案和技术方案的编制。</w:t>
      </w:r>
    </w:p>
    <w:p w14:paraId="38D3ADED">
      <w:pPr>
        <w:spacing w:before="78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负责编写软件相关部分售前方案，参与售前技术交流。</w:t>
      </w:r>
    </w:p>
    <w:p w14:paraId="0C3DEE01">
      <w:pPr>
        <w:spacing w:before="79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负责产品的系统编码及单元测试工作。</w:t>
      </w:r>
    </w:p>
    <w:p w14:paraId="567902E8">
      <w:pPr>
        <w:spacing w:before="78" w:line="227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负责承担的研发项目的管理工作。</w:t>
      </w:r>
    </w:p>
    <w:p w14:paraId="4A052567">
      <w:pPr>
        <w:spacing w:before="79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负责对运维工具软件的开发、维护和管理工作。</w:t>
      </w:r>
    </w:p>
    <w:p w14:paraId="62CA6BED">
      <w:pPr>
        <w:spacing w:before="101" w:line="412" w:lineRule="exact"/>
        <w:ind w:left="126"/>
        <w:rPr>
          <w:rFonts w:ascii="宋体" w:hAnsi="宋体" w:eastAsia="宋体" w:cs="宋体"/>
          <w:sz w:val="31"/>
          <w:szCs w:val="31"/>
        </w:rPr>
      </w:pPr>
      <w:r>
        <w:rPr>
          <w:rFonts w:ascii="Wingdings" w:hAnsi="Wingdings" w:eastAsia="Wingdings" w:cs="Wingdings"/>
          <w:spacing w:val="-2"/>
          <w:position w:val="1"/>
          <w:sz w:val="31"/>
          <w:szCs w:val="31"/>
        </w:rPr>
        <w:t>l</w:t>
      </w:r>
      <w:r>
        <w:rPr>
          <w:rFonts w:ascii="Wingdings" w:hAnsi="Wingdings" w:eastAsia="Wingdings" w:cs="Wingdings"/>
          <w:spacing w:val="-111"/>
          <w:position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31"/>
          <w:szCs w:val="31"/>
        </w:rPr>
        <w:t>运维部</w:t>
      </w:r>
    </w:p>
    <w:p w14:paraId="7D816F1B">
      <w:pPr>
        <w:spacing w:before="79" w:line="357" w:lineRule="auto"/>
        <w:ind w:left="412" w:right="120" w:hanging="4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通过对运维项目的总结，提出改进和优化建议，不</w:t>
      </w:r>
      <w:r>
        <w:rPr>
          <w:rFonts w:ascii="宋体" w:hAnsi="宋体" w:eastAsia="宋体" w:cs="宋体"/>
          <w:spacing w:val="-1"/>
          <w:sz w:val="24"/>
          <w:szCs w:val="24"/>
        </w:rPr>
        <w:t>断提升运维服务能力和运</w:t>
      </w:r>
      <w:r>
        <w:rPr>
          <w:rFonts w:ascii="宋体" w:hAnsi="宋体" w:eastAsia="宋体" w:cs="宋体"/>
          <w:spacing w:val="-3"/>
          <w:sz w:val="24"/>
          <w:szCs w:val="24"/>
        </w:rPr>
        <w:t>维服务质量。</w:t>
      </w:r>
    </w:p>
    <w:p w14:paraId="310EC0FA">
      <w:pPr>
        <w:spacing w:before="122" w:line="227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依据运维服务能力计划，组织制定运维服务能力实施方案。</w:t>
      </w:r>
    </w:p>
    <w:p w14:paraId="75A8277B">
      <w:pPr>
        <w:spacing w:before="78" w:line="358" w:lineRule="auto"/>
        <w:ind w:left="422" w:right="200" w:hanging="4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根据运维服务业务的需要，负责对组织级运维服务</w:t>
      </w:r>
      <w:r>
        <w:rPr>
          <w:rFonts w:ascii="宋体" w:hAnsi="宋体" w:eastAsia="宋体" w:cs="宋体"/>
          <w:spacing w:val="-1"/>
          <w:sz w:val="24"/>
          <w:szCs w:val="24"/>
        </w:rPr>
        <w:t>目录的编制、修订、发布</w:t>
      </w:r>
      <w:r>
        <w:rPr>
          <w:rFonts w:ascii="宋体" w:hAnsi="宋体" w:eastAsia="宋体" w:cs="宋体"/>
          <w:spacing w:val="-5"/>
          <w:sz w:val="24"/>
          <w:szCs w:val="24"/>
        </w:rPr>
        <w:t>工作。</w:t>
      </w:r>
    </w:p>
    <w:p w14:paraId="2413F3C1">
      <w:pPr>
        <w:spacing w:before="78" w:line="357" w:lineRule="auto"/>
        <w:ind w:left="420" w:right="200" w:hanging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负责规划和建立运维服务项目的交付过程，并确保服务交付过程在各项目中</w:t>
      </w:r>
      <w:r>
        <w:rPr>
          <w:rFonts w:ascii="宋体" w:hAnsi="宋体" w:eastAsia="宋体" w:cs="宋体"/>
          <w:spacing w:val="-2"/>
          <w:sz w:val="24"/>
          <w:szCs w:val="24"/>
        </w:rPr>
        <w:t>得到有效实施。</w:t>
      </w:r>
    </w:p>
    <w:p w14:paraId="583C6F78">
      <w:pPr>
        <w:spacing w:before="78" w:line="358" w:lineRule="auto"/>
        <w:ind w:left="421" w:right="200" w:hanging="4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通过热线支持、远程协助、现场服务，以及服务工</w:t>
      </w:r>
      <w:r>
        <w:rPr>
          <w:rFonts w:ascii="宋体" w:hAnsi="宋体" w:eastAsia="宋体" w:cs="宋体"/>
          <w:spacing w:val="-1"/>
          <w:sz w:val="24"/>
          <w:szCs w:val="24"/>
        </w:rPr>
        <w:t>程师驻场等多种方式帮助客户及时有效地解决各类系统故障，满足客户需求。</w:t>
      </w:r>
    </w:p>
    <w:p w14:paraId="413CD798">
      <w:pPr>
        <w:spacing w:before="78" w:line="22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对运行维护服务能力进行策划、实施、检查、改进，对信息安全和成果负责。</w:t>
      </w:r>
    </w:p>
    <w:p w14:paraId="5EDB8EF0">
      <w:pPr>
        <w:spacing w:before="79" w:line="227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负责对客户的定期巡检，并出具相关巡检报告，交付客户并进行及时处理。</w:t>
      </w:r>
    </w:p>
    <w:p w14:paraId="70251F4C">
      <w:pPr>
        <w:spacing w:before="78" w:line="220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负责运维项目资源的统筹安排，并确保资源的有效利用。</w:t>
      </w:r>
    </w:p>
    <w:p w14:paraId="7902B199">
      <w:pPr>
        <w:spacing w:before="79" w:line="227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负责知识库的管理，包括知识的收集、整理、发布、协调总体管理。</w:t>
      </w:r>
    </w:p>
    <w:p w14:paraId="67756352">
      <w:pPr>
        <w:spacing w:before="78" w:line="220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负责与运维相关技术的研发，包括发现问题、解决问题的技术研发等。</w:t>
      </w:r>
    </w:p>
    <w:p w14:paraId="6827877D">
      <w:pPr>
        <w:spacing w:before="79" w:line="358" w:lineRule="auto"/>
        <w:ind w:left="418" w:right="200" w:hanging="4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负责确保公司与客户的沟通有效，负责客户反馈信息的收集和整理工作，以及维护客户关系，不断提升客户满意度。</w:t>
      </w:r>
    </w:p>
    <w:p w14:paraId="6BE8543C">
      <w:pPr>
        <w:spacing w:before="78" w:line="219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运维部下设服务台，服务台的职责如下：</w:t>
      </w:r>
    </w:p>
    <w:p w14:paraId="432ABE66">
      <w:pPr>
        <w:spacing w:before="78" w:line="227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通过线电话和邮箱受理公司用户提交的服务请求。</w:t>
      </w:r>
    </w:p>
    <w:p w14:paraId="0746B822">
      <w:pPr>
        <w:spacing w:before="78" w:line="220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及时记录所有用户的请求。</w:t>
      </w:r>
    </w:p>
    <w:p w14:paraId="1A60340E">
      <w:pPr>
        <w:spacing w:before="79" w:line="227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在SLA承诺的时间内响应用户的服务请求。</w:t>
      </w:r>
    </w:p>
    <w:p w14:paraId="50128D59">
      <w:pPr>
        <w:spacing w:before="79" w:line="358" w:lineRule="auto"/>
        <w:ind w:left="422" w:right="200" w:hanging="4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根据用户提交的服务请求进行规范的分类、分级，</w:t>
      </w:r>
      <w:r>
        <w:rPr>
          <w:rFonts w:ascii="宋体" w:hAnsi="宋体" w:eastAsia="宋体" w:cs="宋体"/>
          <w:spacing w:val="-1"/>
          <w:sz w:val="24"/>
          <w:szCs w:val="24"/>
        </w:rPr>
        <w:t>并按服务请求类型在运维</w:t>
      </w:r>
      <w:r>
        <w:rPr>
          <w:rFonts w:ascii="宋体" w:hAnsi="宋体" w:eastAsia="宋体" w:cs="宋体"/>
          <w:spacing w:val="-2"/>
          <w:sz w:val="24"/>
          <w:szCs w:val="24"/>
        </w:rPr>
        <w:t>工具中进行提单。</w:t>
      </w:r>
    </w:p>
    <w:p w14:paraId="258D2813">
      <w:pPr>
        <w:spacing w:before="78" w:line="358" w:lineRule="auto"/>
        <w:ind w:left="420" w:right="200" w:hanging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在承诺的时间内处理，处理用户的简单服务请求（包括客户咨询</w:t>
      </w:r>
      <w:r>
        <w:rPr>
          <w:rFonts w:ascii="宋体" w:hAnsi="宋体" w:eastAsia="宋体" w:cs="宋体"/>
          <w:spacing w:val="10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对于无法直接处理的服务，按规范将通过运维工具传递给高一级技术支持。</w:t>
      </w:r>
    </w:p>
    <w:p w14:paraId="770D3DF7">
      <w:pPr>
        <w:spacing w:before="122" w:line="227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规范跟踪用户服务请求的处理进展，将请求最终</w:t>
      </w:r>
      <w:r>
        <w:rPr>
          <w:rFonts w:ascii="宋体" w:hAnsi="宋体" w:eastAsia="宋体" w:cs="宋体"/>
          <w:spacing w:val="-1"/>
          <w:sz w:val="24"/>
          <w:szCs w:val="24"/>
        </w:rPr>
        <w:t>处理结果反馈给申请用户。</w:t>
      </w:r>
    </w:p>
    <w:p w14:paraId="02E13E67">
      <w:pPr>
        <w:spacing w:before="78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值班人员按规范跟踪突发服务以及通报相关人员。</w:t>
      </w:r>
    </w:p>
    <w:p w14:paraId="2BF40811">
      <w:pPr>
        <w:spacing w:before="78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协助质量部完成客户满意度调查问卷。</w:t>
      </w:r>
    </w:p>
    <w:p w14:paraId="19C5C770">
      <w:pPr>
        <w:spacing w:before="78" w:line="227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负责接受、处理客户的投诉。</w:t>
      </w:r>
    </w:p>
    <w:sectPr>
      <w:footerReference r:id="rId7" w:type="default"/>
      <w:pgSz w:w="11910" w:h="16840"/>
      <w:pgMar w:top="881" w:right="1786" w:bottom="1388" w:left="1700" w:header="0" w:footer="115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1977C">
    <w:pPr>
      <w:spacing w:line="230" w:lineRule="auto"/>
      <w:ind w:left="414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73BAE">
    <w:pPr>
      <w:spacing w:line="230" w:lineRule="auto"/>
      <w:ind w:left="421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41A54">
    <w:pPr>
      <w:spacing w:line="229" w:lineRule="auto"/>
      <w:ind w:left="421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8434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1789</Words>
  <Characters>1849</Characters>
  <Lines>0</Lines>
  <Paragraphs>0</Paragraphs>
  <TotalTime>4</TotalTime>
  <ScaleCrop>false</ScaleCrop>
  <LinksUpToDate>false</LinksUpToDate>
  <CharactersWithSpaces>1944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2025-09-28T18:41:00Z</dcterms:created>
  <dc:creator>liang lu</dc:creator>
  <cp:lastModifiedBy>郝宇</cp:lastModifiedBy>
  <dcterms:modified xsi:type="dcterms:W3CDTF">2025-10-01T04:42:45Z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2025-09-29T02:58:09Z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07C0BF03BDDC45B1ADBCF83080184151_12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