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line="442" w:lineRule="exact"/>
        <w:ind w:firstLine="12"/>
      </w:pPr>
      <w:r>
        <w:rPr>
          <w:position w:val="-8"/>
        </w:rPr>
        <w:drawing>
          <wp:inline distT="0" distB="0" distL="0" distR="0">
            <wp:extent cx="766952" cy="28102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6952" cy="2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spacing w:before="140" w:line="225" w:lineRule="auto"/>
        <w:ind w:left="1092"/>
        <w:rPr>
          <w:rFonts w:ascii="SimHei" w:eastAsia="SimHei" w:hAnsi="SimHei" w:cs="SimHei"/>
          <w:sz w:val="43"/>
          <w:szCs w:val="43"/>
        </w:rPr>
      </w:pPr>
      <w:r>
        <w:rPr>
          <w:rFonts w:ascii="SimHei" w:eastAsia="SimHei" w:hAnsi="SimHei" w:cs="SimHei"/>
          <w:b/>
          <w:bCs/>
          <w:spacing w:val="6"/>
          <w:sz w:val="43"/>
          <w:szCs w:val="43"/>
        </w:rPr>
        <w:t>创意银航（山东）技术有限公司</w:t>
      </w:r>
    </w:p>
    <w:p>
      <w:pPr>
        <w:pStyle w:val="BodyText"/>
        <w:spacing w:line="313" w:lineRule="auto"/>
      </w:pPr>
    </w:p>
    <w:p>
      <w:pPr>
        <w:pStyle w:val="BodyText"/>
        <w:spacing w:line="313" w:lineRule="auto"/>
      </w:pPr>
    </w:p>
    <w:p>
      <w:pPr>
        <w:spacing w:before="140" w:line="225" w:lineRule="auto"/>
        <w:ind w:left="1543"/>
        <w:rPr>
          <w:rFonts w:ascii="SimHei" w:eastAsia="SimHei" w:hAnsi="SimHei" w:cs="SimHei"/>
          <w:sz w:val="43"/>
          <w:szCs w:val="43"/>
        </w:rPr>
      </w:pPr>
      <w:r>
        <w:rPr>
          <w:rFonts w:ascii="SimHei" w:eastAsia="SimHei" w:hAnsi="SimHei" w:cs="SimHei"/>
          <w:b/>
          <w:bCs/>
          <w:spacing w:val="5"/>
          <w:sz w:val="43"/>
          <w:szCs w:val="43"/>
        </w:rPr>
        <w:t>运维服务能力管理内审制度</w:t>
      </w: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spacing w:before="98" w:line="221" w:lineRule="auto"/>
        <w:ind w:left="2881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3"/>
          <w:sz w:val="30"/>
          <w:szCs w:val="30"/>
        </w:rPr>
        <w:t>编制机构：</w:t>
      </w:r>
      <w:r>
        <w:rPr>
          <w:rFonts w:ascii="SimHei" w:eastAsia="SimHei" w:hAnsi="SimHei" w:cs="SimHei"/>
          <w:spacing w:val="-3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3"/>
          <w:sz w:val="30"/>
          <w:szCs w:val="30"/>
        </w:rPr>
        <w:t>质量部</w:t>
      </w:r>
    </w:p>
    <w:p>
      <w:pPr>
        <w:spacing w:before="269" w:line="221" w:lineRule="auto"/>
        <w:ind w:left="2871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编制时间：</w:t>
      </w:r>
      <w:r>
        <w:rPr>
          <w:rFonts w:ascii="SimHei" w:eastAsia="SimHei" w:hAnsi="SimHei" w:cs="SimHei"/>
          <w:spacing w:val="-5"/>
          <w:sz w:val="30"/>
          <w:szCs w:val="30"/>
        </w:rPr>
        <w:t xml:space="preserve"> </w:t>
      </w:r>
      <w:r>
        <w:rPr>
          <w:rFonts w:ascii="Calibri" w:eastAsia="Calibri" w:hAnsi="Calibri" w:cs="Calibri"/>
          <w:b/>
          <w:bCs/>
          <w:spacing w:val="-5"/>
          <w:sz w:val="30"/>
          <w:szCs w:val="30"/>
        </w:rPr>
        <w:t>2025</w:t>
      </w:r>
      <w:r>
        <w:rPr>
          <w:rFonts w:ascii="Calibri" w:eastAsia="Calibri" w:hAnsi="Calibri" w:cs="Calibri"/>
          <w:b/>
          <w:bCs/>
          <w:spacing w:val="20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年</w:t>
      </w:r>
      <w:r>
        <w:rPr>
          <w:rFonts w:ascii="SimHei" w:eastAsia="SimHei" w:hAnsi="SimHei" w:cs="SimHei"/>
          <w:spacing w:val="12"/>
          <w:sz w:val="30"/>
          <w:szCs w:val="30"/>
        </w:rPr>
        <w:t xml:space="preserve"> </w:t>
      </w:r>
      <w:r>
        <w:rPr>
          <w:rFonts w:ascii="Calibri" w:eastAsia="Calibri" w:hAnsi="Calibri" w:cs="Calibri"/>
          <w:b/>
          <w:bCs/>
          <w:spacing w:val="-5"/>
          <w:sz w:val="30"/>
          <w:szCs w:val="30"/>
        </w:rPr>
        <w:t>01</w:t>
      </w:r>
      <w:r>
        <w:rPr>
          <w:rFonts w:ascii="Calibri" w:eastAsia="Calibri" w:hAnsi="Calibri" w:cs="Calibri"/>
          <w:b/>
          <w:bCs/>
          <w:spacing w:val="20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月</w:t>
      </w:r>
      <w:r>
        <w:rPr>
          <w:rFonts w:ascii="Calibri" w:eastAsia="Calibri" w:hAnsi="Calibri" w:cs="Calibri"/>
          <w:b/>
          <w:bCs/>
          <w:spacing w:val="-5"/>
          <w:sz w:val="30"/>
          <w:szCs w:val="30"/>
        </w:rPr>
        <w:t>8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日</w:t>
      </w:r>
    </w:p>
    <w:p>
      <w:pPr>
        <w:spacing w:before="269" w:line="222" w:lineRule="auto"/>
        <w:ind w:left="2876"/>
        <w:rPr>
          <w:rFonts w:ascii="Calibri" w:eastAsia="Calibri" w:hAnsi="Calibri" w:cs="Calibr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2"/>
          <w:sz w:val="30"/>
          <w:szCs w:val="30"/>
        </w:rPr>
        <w:t>版本名称：</w:t>
      </w:r>
      <w:r>
        <w:rPr>
          <w:rFonts w:ascii="Calibri" w:eastAsia="Calibri" w:hAnsi="Calibri" w:cs="Calibri"/>
          <w:b/>
          <w:bCs/>
          <w:spacing w:val="-2"/>
          <w:sz w:val="30"/>
          <w:szCs w:val="30"/>
        </w:rPr>
        <w:t>CYYH-ITSS-07-01</w:t>
      </w:r>
    </w:p>
    <w:p>
      <w:pPr>
        <w:spacing w:before="270" w:line="222" w:lineRule="auto"/>
        <w:ind w:left="2877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6"/>
          <w:sz w:val="30"/>
          <w:szCs w:val="30"/>
        </w:rPr>
        <w:t>文件起草人：姜晓建</w:t>
      </w:r>
    </w:p>
    <w:p>
      <w:pPr>
        <w:spacing w:before="268" w:line="222" w:lineRule="auto"/>
        <w:ind w:left="2877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文件审核人：姜晓建</w:t>
      </w:r>
    </w:p>
    <w:p>
      <w:pPr>
        <w:spacing w:before="268" w:line="221" w:lineRule="auto"/>
        <w:ind w:left="2877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6"/>
          <w:sz w:val="30"/>
          <w:szCs w:val="30"/>
        </w:rPr>
        <w:t>文件审批人：谢晓彤</w:t>
      </w:r>
    </w:p>
    <w:p>
      <w:pPr>
        <w:spacing w:before="275" w:line="221" w:lineRule="auto"/>
        <w:ind w:left="2871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生效时间：</w:t>
      </w:r>
      <w:r>
        <w:rPr>
          <w:rFonts w:ascii="Calibri" w:eastAsia="Calibri" w:hAnsi="Calibri" w:cs="Calibri"/>
          <w:b/>
          <w:bCs/>
          <w:spacing w:val="-5"/>
          <w:sz w:val="30"/>
          <w:szCs w:val="30"/>
          <w:u w:val="single" w:color="auto"/>
        </w:rPr>
        <w:t xml:space="preserve">  2025</w:t>
      </w:r>
      <w:r>
        <w:rPr>
          <w:rFonts w:ascii="Calibri" w:eastAsia="Calibri" w:hAnsi="Calibri" w:cs="Calibri"/>
          <w:b/>
          <w:bCs/>
          <w:spacing w:val="8"/>
          <w:sz w:val="30"/>
          <w:szCs w:val="30"/>
          <w:u w:val="single" w:color="auto"/>
        </w:rPr>
        <w:t xml:space="preserve">    </w:t>
      </w:r>
      <w:r>
        <w:rPr>
          <w:rFonts w:ascii="Calibri" w:eastAsia="Calibri" w:hAnsi="Calibri" w:cs="Calibri"/>
          <w:b/>
          <w:bCs/>
          <w:spacing w:val="-55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年</w:t>
      </w:r>
      <w:r>
        <w:rPr>
          <w:rFonts w:ascii="Calibri" w:eastAsia="Calibri" w:hAnsi="Calibri" w:cs="Calibri"/>
          <w:b/>
          <w:bCs/>
          <w:spacing w:val="-5"/>
          <w:sz w:val="30"/>
          <w:szCs w:val="30"/>
          <w:u w:val="single" w:color="auto"/>
        </w:rPr>
        <w:t xml:space="preserve">   1</w:t>
      </w:r>
      <w:r>
        <w:rPr>
          <w:rFonts w:ascii="Calibri" w:eastAsia="Calibri" w:hAnsi="Calibri" w:cs="Calibri"/>
          <w:b/>
          <w:bCs/>
          <w:spacing w:val="18"/>
          <w:sz w:val="30"/>
          <w:szCs w:val="30"/>
          <w:u w:val="single" w:color="auto"/>
        </w:rPr>
        <w:t xml:space="preserve"> 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月</w:t>
      </w:r>
      <w:r>
        <w:rPr>
          <w:rFonts w:ascii="Calibri" w:eastAsia="Calibri" w:hAnsi="Calibri" w:cs="Calibri"/>
          <w:b/>
          <w:bCs/>
          <w:spacing w:val="17"/>
          <w:sz w:val="30"/>
          <w:szCs w:val="30"/>
          <w:u w:val="single" w:color="auto"/>
        </w:rPr>
        <w:t xml:space="preserve">  </w:t>
      </w:r>
      <w:r>
        <w:rPr>
          <w:rFonts w:ascii="Calibri" w:eastAsia="Calibri" w:hAnsi="Calibri" w:cs="Calibri"/>
          <w:b/>
          <w:bCs/>
          <w:spacing w:val="-5"/>
          <w:sz w:val="30"/>
          <w:szCs w:val="30"/>
          <w:u w:val="single" w:color="auto"/>
        </w:rPr>
        <w:t xml:space="preserve">8 </w:t>
      </w:r>
      <w:r>
        <w:rPr>
          <w:rFonts w:ascii="Calibri" w:eastAsia="Calibri" w:hAnsi="Calibri" w:cs="Calibri"/>
          <w:b/>
          <w:bCs/>
          <w:spacing w:val="-5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日</w:t>
      </w:r>
    </w:p>
    <w:p>
      <w:pPr>
        <w:spacing w:line="221" w:lineRule="auto"/>
        <w:rPr>
          <w:rFonts w:ascii="SimHei" w:eastAsia="SimHei" w:hAnsi="SimHei" w:cs="SimHei"/>
          <w:sz w:val="30"/>
          <w:szCs w:val="30"/>
        </w:rPr>
        <w:sectPr>
          <w:footerReference w:type="default" r:id="rId5"/>
          <w:pgSz w:w="11910" w:h="16840"/>
          <w:pgMar w:top="897" w:right="1786" w:bottom="1110" w:left="1786" w:header="0" w:footer="875" w:gutter="0"/>
          <w:cols w:space="720"/>
        </w:sectPr>
      </w:pPr>
    </w:p>
    <w:p>
      <w:pPr>
        <w:spacing w:line="442" w:lineRule="exact"/>
        <w:ind w:firstLine="12"/>
      </w:pPr>
      <w:r>
        <w:rPr>
          <w:position w:val="-8"/>
        </w:rPr>
        <w:drawing>
          <wp:inline distT="0" distB="0" distL="0" distR="0">
            <wp:extent cx="766952" cy="28102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6952" cy="2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0" w:line="222" w:lineRule="auto"/>
        <w:ind w:left="3340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文件修改记录</w:t>
      </w:r>
    </w:p>
    <w:p>
      <w:pPr>
        <w:spacing w:line="107" w:lineRule="exact"/>
      </w:pPr>
    </w:p>
    <w:tbl>
      <w:tblPr>
        <w:tblStyle w:val="TableNormal"/>
        <w:tblW w:w="8508" w:type="dxa"/>
        <w:tblInd w:w="1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582"/>
        <w:gridCol w:w="1843"/>
        <w:gridCol w:w="1693"/>
        <w:gridCol w:w="1693"/>
        <w:gridCol w:w="1697"/>
      </w:tblGrid>
      <w:tr>
        <w:tblPrEx>
          <w:tblW w:w="8508" w:type="dxa"/>
          <w:tblInd w:w="155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32"/>
        </w:trPr>
        <w:tc>
          <w:tcPr>
            <w:tcW w:w="1582" w:type="dxa"/>
          </w:tcPr>
          <w:p>
            <w:pPr>
              <w:spacing w:before="178" w:line="222" w:lineRule="auto"/>
              <w:ind w:left="230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>
            <w:pPr>
              <w:spacing w:before="178" w:line="222" w:lineRule="auto"/>
              <w:ind w:left="366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>
            <w:pPr>
              <w:spacing w:before="178" w:line="222" w:lineRule="auto"/>
              <w:ind w:left="434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>
            <w:pPr>
              <w:spacing w:before="177" w:line="223" w:lineRule="auto"/>
              <w:ind w:left="444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>
            <w:pPr>
              <w:spacing w:before="177" w:line="222" w:lineRule="auto"/>
              <w:ind w:left="332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2"/>
                <w:sz w:val="28"/>
                <w:szCs w:val="28"/>
              </w:rPr>
              <w:t>生效日期</w:t>
            </w:r>
          </w:p>
        </w:tc>
      </w:tr>
      <w:tr>
        <w:tblPrEx>
          <w:tblW w:w="8508" w:type="dxa"/>
          <w:tblInd w:w="155" w:type="dxa"/>
          <w:tblLayout w:type="fixed"/>
        </w:tblPrEx>
        <w:trPr>
          <w:trHeight w:val="865"/>
        </w:trPr>
        <w:tc>
          <w:tcPr>
            <w:tcW w:w="1582" w:type="dxa"/>
          </w:tcPr>
          <w:p>
            <w:pPr>
              <w:spacing w:before="176" w:line="241" w:lineRule="auto"/>
              <w:ind w:left="311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>
            <w:pPr>
              <w:spacing w:before="175" w:line="224" w:lineRule="auto"/>
              <w:ind w:left="560" w:right="26" w:hanging="420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2"/>
                <w:sz w:val="28"/>
                <w:szCs w:val="28"/>
              </w:rPr>
              <w:t>初始版本，文</w:t>
            </w:r>
            <w:r>
              <w:rPr>
                <w:rFonts w:ascii="SimHei" w:eastAsia="SimHei" w:hAnsi="SimHei" w:cs="SimHei"/>
                <w:spacing w:val="-3"/>
                <w:sz w:val="28"/>
                <w:szCs w:val="28"/>
              </w:rPr>
              <w:t>档建立</w:t>
            </w:r>
          </w:p>
        </w:tc>
        <w:tc>
          <w:tcPr>
            <w:tcW w:w="1693" w:type="dxa"/>
          </w:tcPr>
          <w:p>
            <w:pPr>
              <w:spacing w:before="177" w:line="222" w:lineRule="auto"/>
              <w:ind w:left="440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3" w:type="dxa"/>
          </w:tcPr>
          <w:p>
            <w:pPr>
              <w:spacing w:before="177" w:line="222" w:lineRule="auto"/>
              <w:ind w:left="495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>
            <w:pPr>
              <w:spacing w:before="176" w:line="241" w:lineRule="auto"/>
              <w:ind w:left="332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2"/>
                <w:sz w:val="28"/>
                <w:szCs w:val="28"/>
              </w:rPr>
              <w:t>2025.1.8</w:t>
            </w:r>
          </w:p>
        </w:tc>
      </w:tr>
      <w:tr>
        <w:tblPrEx>
          <w:tblW w:w="8508" w:type="dxa"/>
          <w:tblInd w:w="155" w:type="dxa"/>
          <w:tblLayout w:type="fixed"/>
        </w:tblPrEx>
        <w:trPr>
          <w:trHeight w:val="627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55" w:type="dxa"/>
          <w:tblLayout w:type="fixed"/>
        </w:tblPrEx>
        <w:trPr>
          <w:trHeight w:val="627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55" w:type="dxa"/>
          <w:tblLayout w:type="fixed"/>
        </w:tblPrEx>
        <w:trPr>
          <w:trHeight w:val="629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55" w:type="dxa"/>
          <w:tblLayout w:type="fixed"/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55" w:type="dxa"/>
          <w:tblLayout w:type="fixed"/>
        </w:tblPrEx>
        <w:trPr>
          <w:trHeight w:val="632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footerReference w:type="default" r:id="rId6"/>
          <w:pgSz w:w="11910" w:h="16840"/>
          <w:pgMar w:top="897" w:right="1457" w:bottom="1110" w:left="1786" w:header="0" w:footer="875" w:gutter="0"/>
          <w:cols w:space="720"/>
        </w:sectPr>
      </w:pPr>
    </w:p>
    <w:p>
      <w:pPr>
        <w:spacing w:line="458" w:lineRule="exact"/>
        <w:ind w:firstLine="12"/>
      </w:pPr>
      <w:r>
        <w:rPr>
          <w:position w:val="-9"/>
        </w:rPr>
        <w:drawing>
          <wp:inline distT="0" distB="0" distL="0" distR="0">
            <wp:extent cx="766952" cy="291056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6952" cy="2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Arial" w:eastAsia="Arial" w:hAnsi="Arial" w:cs="Arial"/>
          <w:sz w:val="21"/>
          <w:szCs w:val="21"/>
        </w:rPr>
        <w:id w:val="1605461114"/>
        <w:docPartObj>
          <w:docPartGallery w:val="Table of Contents"/>
          <w:docPartUnique/>
        </w:docPartObj>
      </w:sdtPr>
      <w:sdtEndPr>
        <w:rPr>
          <w:rFonts w:ascii="SimSun" w:eastAsia="SimSun" w:hAnsi="SimSun" w:cs="SimSun"/>
          <w:sz w:val="24"/>
          <w:szCs w:val="24"/>
        </w:rPr>
      </w:sdtEndPr>
      <w:sdtContent>
        <w:p>
          <w:pPr>
            <w:spacing w:before="282" w:line="221" w:lineRule="auto"/>
            <w:ind w:left="4043"/>
            <w:rPr>
              <w:rFonts w:ascii="SimSun" w:eastAsia="SimSun" w:hAnsi="SimSun" w:cs="SimSun"/>
              <w:sz w:val="24"/>
              <w:szCs w:val="24"/>
            </w:rPr>
          </w:pPr>
          <w:r>
            <w:rPr>
              <w:rFonts w:ascii="SimSun" w:eastAsia="SimSun" w:hAnsi="SimSun" w:cs="SimSun"/>
              <w:spacing w:val="-28"/>
              <w:sz w:val="24"/>
              <w:szCs w:val="24"/>
            </w:rPr>
            <w:t>目录</w:t>
          </w:r>
        </w:p>
        <w:p>
          <w:pPr>
            <w:tabs>
              <w:tab w:val="right" w:leader="dot" w:pos="8562"/>
            </w:tabs>
            <w:spacing w:before="177" w:line="185" w:lineRule="auto"/>
            <w:ind w:left="359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29"/>
              <w:sz w:val="24"/>
              <w:szCs w:val="24"/>
            </w:rPr>
            <w:t>1</w:t>
          </w:r>
          <w:r>
            <w:rPr>
              <w:rFonts w:ascii="SimSun" w:eastAsia="SimSun" w:hAnsi="SimSun" w:cs="SimSun"/>
              <w:spacing w:val="54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29"/>
              <w:sz w:val="24"/>
              <w:szCs w:val="24"/>
            </w:rPr>
            <w:t>目的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97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9"/>
              <w:sz w:val="24"/>
              <w:szCs w:val="24"/>
            </w:rPr>
            <w:t>4</w:t>
          </w:r>
          <w:r>
            <w:fldChar w:fldCharType="end"/>
          </w:r>
        </w:p>
        <w:p>
          <w:pPr>
            <w:tabs>
              <w:tab w:val="right" w:leader="dot" w:pos="8562"/>
            </w:tabs>
            <w:spacing w:before="227" w:line="185" w:lineRule="auto"/>
            <w:ind w:left="344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3"/>
              <w:sz w:val="24"/>
              <w:szCs w:val="24"/>
            </w:rPr>
            <w:t>2 适用范围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97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9"/>
              <w:sz w:val="24"/>
              <w:szCs w:val="24"/>
            </w:rPr>
            <w:t>4</w:t>
          </w:r>
          <w:r>
            <w:fldChar w:fldCharType="end"/>
          </w:r>
        </w:p>
        <w:p>
          <w:pPr>
            <w:tabs>
              <w:tab w:val="right" w:leader="dot" w:pos="8562"/>
            </w:tabs>
            <w:spacing w:before="225" w:line="185" w:lineRule="auto"/>
            <w:ind w:left="346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9"/>
              <w:sz w:val="24"/>
              <w:szCs w:val="24"/>
            </w:rPr>
            <w:t>3</w:t>
          </w:r>
          <w:r>
            <w:rPr>
              <w:rFonts w:ascii="SimSun" w:eastAsia="SimSun" w:hAnsi="SimSun" w:cs="SimSun"/>
              <w:spacing w:val="7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9"/>
              <w:sz w:val="24"/>
              <w:szCs w:val="24"/>
            </w:rPr>
            <w:t>职责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97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9"/>
              <w:sz w:val="24"/>
              <w:szCs w:val="24"/>
            </w:rPr>
            <w:t>4</w:t>
          </w:r>
          <w:r>
            <w:fldChar w:fldCharType="end"/>
          </w:r>
        </w:p>
        <w:p>
          <w:pPr>
            <w:tabs>
              <w:tab w:val="right" w:leader="dot" w:pos="8562"/>
            </w:tabs>
            <w:spacing w:before="227" w:line="185" w:lineRule="auto"/>
            <w:ind w:left="785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5"/>
              <w:sz w:val="24"/>
              <w:szCs w:val="24"/>
            </w:rPr>
            <w:t>3.1</w:t>
          </w:r>
          <w:r>
            <w:rPr>
              <w:rFonts w:ascii="SimSun" w:eastAsia="SimSun" w:hAnsi="SimSun" w:cs="SimSun"/>
              <w:spacing w:val="20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5"/>
              <w:sz w:val="24"/>
              <w:szCs w:val="24"/>
            </w:rPr>
            <w:t>管理者代表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57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9"/>
              <w:sz w:val="24"/>
              <w:szCs w:val="24"/>
            </w:rPr>
            <w:t>4</w:t>
          </w:r>
          <w:r>
            <w:fldChar w:fldCharType="end"/>
          </w:r>
        </w:p>
        <w:p>
          <w:pPr>
            <w:tabs>
              <w:tab w:val="right" w:leader="dot" w:pos="8562"/>
            </w:tabs>
            <w:spacing w:before="227" w:line="185" w:lineRule="auto"/>
            <w:ind w:left="785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9"/>
              <w:sz w:val="24"/>
              <w:szCs w:val="24"/>
            </w:rPr>
            <w:t>3.2</w:t>
          </w:r>
          <w:r>
            <w:rPr>
              <w:rFonts w:ascii="SimSun" w:eastAsia="SimSun" w:hAnsi="SimSun" w:cs="SimSun"/>
              <w:spacing w:val="43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9"/>
              <w:sz w:val="24"/>
              <w:szCs w:val="24"/>
            </w:rPr>
            <w:t>内审组长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57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9"/>
              <w:sz w:val="24"/>
              <w:szCs w:val="24"/>
            </w:rPr>
            <w:t>4</w:t>
          </w:r>
          <w:r>
            <w:fldChar w:fldCharType="end"/>
          </w:r>
        </w:p>
        <w:p>
          <w:pPr>
            <w:tabs>
              <w:tab w:val="right" w:leader="dot" w:pos="8562"/>
            </w:tabs>
            <w:spacing w:before="225" w:line="185" w:lineRule="auto"/>
            <w:ind w:left="785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5"/>
              <w:sz w:val="24"/>
              <w:szCs w:val="24"/>
            </w:rPr>
            <w:t>3.3</w:t>
          </w:r>
          <w:r>
            <w:rPr>
              <w:rFonts w:ascii="SimSun" w:eastAsia="SimSun" w:hAnsi="SimSun" w:cs="SimSun"/>
              <w:spacing w:val="15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5"/>
              <w:sz w:val="24"/>
              <w:szCs w:val="24"/>
            </w:rPr>
            <w:t>相关部门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51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5"/>
              <w:sz w:val="24"/>
              <w:szCs w:val="24"/>
            </w:rPr>
            <w:t>5</w:t>
          </w:r>
          <w:r>
            <w:fldChar w:fldCharType="end"/>
          </w:r>
        </w:p>
        <w:p>
          <w:pPr>
            <w:tabs>
              <w:tab w:val="right" w:leader="dot" w:pos="8562"/>
            </w:tabs>
            <w:spacing w:before="228" w:line="185" w:lineRule="auto"/>
            <w:ind w:left="340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7"/>
              <w:sz w:val="24"/>
              <w:szCs w:val="24"/>
            </w:rPr>
            <w:t>4</w:t>
          </w:r>
          <w:r>
            <w:rPr>
              <w:rFonts w:ascii="SimSun" w:eastAsia="SimSun" w:hAnsi="SimSun" w:cs="SimSun"/>
              <w:spacing w:val="6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7"/>
              <w:sz w:val="24"/>
              <w:szCs w:val="24"/>
            </w:rPr>
            <w:t>程序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91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5"/>
              <w:sz w:val="24"/>
              <w:szCs w:val="24"/>
            </w:rPr>
            <w:t>5</w:t>
          </w:r>
          <w:r>
            <w:fldChar w:fldCharType="end"/>
          </w:r>
        </w:p>
        <w:p>
          <w:pPr>
            <w:tabs>
              <w:tab w:val="right" w:leader="dot" w:pos="8562"/>
            </w:tabs>
            <w:spacing w:before="225" w:line="184" w:lineRule="auto"/>
            <w:ind w:left="782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5"/>
              <w:sz w:val="24"/>
              <w:szCs w:val="24"/>
            </w:rPr>
            <w:t>4.1</w:t>
          </w:r>
          <w:r>
            <w:rPr>
              <w:rFonts w:ascii="SimSun" w:eastAsia="SimSun" w:hAnsi="SimSun" w:cs="SimSun"/>
              <w:spacing w:val="15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5"/>
              <w:sz w:val="24"/>
              <w:szCs w:val="24"/>
            </w:rPr>
            <w:t>流程图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53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5"/>
              <w:sz w:val="24"/>
              <w:szCs w:val="24"/>
            </w:rPr>
            <w:t>5</w:t>
          </w:r>
          <w:r>
            <w:fldChar w:fldCharType="end"/>
          </w:r>
        </w:p>
        <w:p>
          <w:pPr>
            <w:tabs>
              <w:tab w:val="right" w:leader="dot" w:pos="8562"/>
            </w:tabs>
            <w:spacing w:before="226" w:line="185" w:lineRule="auto"/>
            <w:ind w:left="782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2"/>
              <w:sz w:val="24"/>
              <w:szCs w:val="24"/>
            </w:rPr>
            <w:t>4.2 制定年度内审计划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53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5"/>
              <w:sz w:val="24"/>
              <w:szCs w:val="24"/>
            </w:rPr>
            <w:t>5</w:t>
          </w:r>
          <w:r>
            <w:fldChar w:fldCharType="end"/>
          </w:r>
        </w:p>
        <w:p>
          <w:pPr>
            <w:tabs>
              <w:tab w:val="right" w:leader="dot" w:pos="8562"/>
            </w:tabs>
            <w:spacing w:before="228" w:line="185" w:lineRule="auto"/>
            <w:ind w:left="782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7"/>
              <w:sz w:val="24"/>
              <w:szCs w:val="24"/>
            </w:rPr>
            <w:t>4.3</w:t>
          </w:r>
          <w:r>
            <w:rPr>
              <w:rFonts w:ascii="SimSun" w:eastAsia="SimSun" w:hAnsi="SimSun" w:cs="SimSun"/>
              <w:spacing w:val="41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7"/>
              <w:sz w:val="24"/>
              <w:szCs w:val="24"/>
            </w:rPr>
            <w:t>内审的准备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56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2"/>
              <w:sz w:val="24"/>
              <w:szCs w:val="24"/>
            </w:rPr>
            <w:t>6</w:t>
          </w:r>
          <w:r>
            <w:fldChar w:fldCharType="end"/>
          </w:r>
        </w:p>
        <w:p>
          <w:pPr>
            <w:tabs>
              <w:tab w:val="right" w:leader="dot" w:pos="8562"/>
            </w:tabs>
            <w:spacing w:before="227" w:line="185" w:lineRule="auto"/>
            <w:ind w:left="782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7"/>
              <w:sz w:val="24"/>
              <w:szCs w:val="24"/>
            </w:rPr>
            <w:t>4.4</w:t>
          </w:r>
          <w:r>
            <w:rPr>
              <w:rFonts w:ascii="SimSun" w:eastAsia="SimSun" w:hAnsi="SimSun" w:cs="SimSun"/>
              <w:spacing w:val="41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7"/>
              <w:sz w:val="24"/>
              <w:szCs w:val="24"/>
            </w:rPr>
            <w:t>内审的实施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52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6"/>
              <w:sz w:val="24"/>
              <w:szCs w:val="24"/>
            </w:rPr>
            <w:t>7</w:t>
          </w:r>
          <w:r>
            <w:fldChar w:fldCharType="end"/>
          </w:r>
        </w:p>
        <w:p>
          <w:pPr>
            <w:tabs>
              <w:tab w:val="right" w:leader="dot" w:pos="8562"/>
            </w:tabs>
            <w:spacing w:before="226" w:line="185" w:lineRule="auto"/>
            <w:ind w:left="782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6"/>
              <w:sz w:val="24"/>
              <w:szCs w:val="24"/>
            </w:rPr>
            <w:t>4.5</w:t>
          </w:r>
          <w:r>
            <w:rPr>
              <w:rFonts w:ascii="SimSun" w:eastAsia="SimSun" w:hAnsi="SimSun" w:cs="SimSun"/>
              <w:spacing w:val="45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6"/>
              <w:sz w:val="24"/>
              <w:szCs w:val="24"/>
            </w:rPr>
            <w:t>内审的后续工作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57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1"/>
              <w:sz w:val="24"/>
              <w:szCs w:val="24"/>
            </w:rPr>
            <w:t>8</w:t>
          </w:r>
          <w:r>
            <w:fldChar w:fldCharType="end"/>
          </w:r>
        </w:p>
        <w:p>
          <w:pPr>
            <w:tabs>
              <w:tab w:val="right" w:leader="dot" w:pos="8562"/>
            </w:tabs>
            <w:spacing w:before="227" w:line="185" w:lineRule="auto"/>
            <w:ind w:left="782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7"/>
              <w:sz w:val="24"/>
              <w:szCs w:val="24"/>
            </w:rPr>
            <w:t>4.6</w:t>
          </w:r>
          <w:r>
            <w:rPr>
              <w:rFonts w:ascii="SimSun" w:eastAsia="SimSun" w:hAnsi="SimSun" w:cs="SimSun"/>
              <w:spacing w:val="41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7"/>
              <w:sz w:val="24"/>
              <w:szCs w:val="24"/>
            </w:rPr>
            <w:t>内审的频次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57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1"/>
              <w:sz w:val="24"/>
              <w:szCs w:val="24"/>
            </w:rPr>
            <w:t>8</w:t>
          </w:r>
          <w:r>
            <w:fldChar w:fldCharType="end"/>
          </w:r>
        </w:p>
        <w:p>
          <w:pPr>
            <w:tabs>
              <w:tab w:val="right" w:leader="dot" w:pos="8562"/>
            </w:tabs>
            <w:spacing w:before="225" w:line="219" w:lineRule="auto"/>
            <w:ind w:left="346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4"/>
              <w:sz w:val="24"/>
              <w:szCs w:val="24"/>
            </w:rPr>
            <w:t>5 输出记录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95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1"/>
              <w:sz w:val="24"/>
              <w:szCs w:val="24"/>
            </w:rPr>
            <w:t>9</w:t>
          </w:r>
          <w:r>
            <w:fldChar w:fldCharType="end"/>
          </w:r>
        </w:p>
      </w:sdtContent>
    </w:sdt>
    <w:p>
      <w:pPr>
        <w:spacing w:line="219" w:lineRule="auto"/>
        <w:rPr>
          <w:rFonts w:ascii="SimSun" w:eastAsia="SimSun" w:hAnsi="SimSun" w:cs="SimSun"/>
          <w:sz w:val="24"/>
          <w:szCs w:val="24"/>
        </w:rPr>
        <w:sectPr>
          <w:footerReference w:type="default" r:id="rId8"/>
          <w:pgSz w:w="11910" w:h="16840"/>
          <w:pgMar w:top="739" w:right="1561" w:bottom="709" w:left="1786" w:header="0" w:footer="476" w:gutter="0"/>
          <w:cols w:space="720"/>
        </w:sectPr>
      </w:pPr>
    </w:p>
    <w:p>
      <w:pPr>
        <w:spacing w:line="442" w:lineRule="exact"/>
        <w:ind w:firstLine="12"/>
      </w:pPr>
      <w:r>
        <w:rPr>
          <w:position w:val="-8"/>
        </w:rPr>
        <w:drawing>
          <wp:inline distT="0" distB="0" distL="0" distR="0">
            <wp:extent cx="766952" cy="28102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6952" cy="2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14" w:line="228" w:lineRule="auto"/>
        <w:ind w:left="41"/>
        <w:outlineLvl w:val="0"/>
        <w:rPr>
          <w:rFonts w:ascii="SimHei" w:eastAsia="SimHei" w:hAnsi="SimHei" w:cs="SimHei"/>
          <w:sz w:val="31"/>
          <w:szCs w:val="31"/>
        </w:rPr>
      </w:pPr>
      <w:bookmarkStart w:id="0" w:name="bookmark1"/>
      <w:bookmarkEnd w:id="0"/>
      <w:r>
        <w:rPr>
          <w:rFonts w:ascii="SimHei" w:eastAsia="SimHei" w:hAnsi="SimHei" w:cs="SimHei"/>
          <w:b/>
          <w:bCs/>
          <w:spacing w:val="-23"/>
          <w:sz w:val="31"/>
          <w:szCs w:val="31"/>
        </w:rPr>
        <w:t>1</w:t>
      </w:r>
      <w:r>
        <w:rPr>
          <w:rFonts w:ascii="SimHei" w:eastAsia="SimHei" w:hAnsi="SimHei" w:cs="SimHei"/>
          <w:spacing w:val="62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-23"/>
          <w:sz w:val="31"/>
          <w:szCs w:val="31"/>
        </w:rPr>
        <w:t>目的</w:t>
      </w:r>
    </w:p>
    <w:p>
      <w:pPr>
        <w:pStyle w:val="BodyText"/>
        <w:spacing w:line="263" w:lineRule="auto"/>
      </w:pPr>
    </w:p>
    <w:p>
      <w:pPr>
        <w:pStyle w:val="BodyText"/>
        <w:spacing w:line="263" w:lineRule="auto"/>
      </w:pPr>
    </w:p>
    <w:p>
      <w:pPr>
        <w:spacing w:before="78" w:line="364" w:lineRule="auto"/>
        <w:ind w:left="22" w:firstLine="48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本制度用于评价公司 </w:t>
      </w:r>
      <w:r>
        <w:rPr>
          <w:rFonts w:ascii="Calibri" w:eastAsia="Calibri" w:hAnsi="Calibri" w:cs="Calibri"/>
          <w:sz w:val="24"/>
          <w:szCs w:val="24"/>
        </w:rPr>
        <w:t xml:space="preserve">ITSS </w:t>
      </w:r>
      <w:r>
        <w:rPr>
          <w:rFonts w:ascii="SimSun" w:eastAsia="SimSun" w:hAnsi="SimSun" w:cs="SimSun"/>
          <w:sz w:val="24"/>
          <w:szCs w:val="24"/>
        </w:rPr>
        <w:t>运维服务能力管理</w:t>
      </w:r>
      <w:r>
        <w:rPr>
          <w:rFonts w:ascii="SimSun" w:eastAsia="SimSun" w:hAnsi="SimSun" w:cs="SimSun"/>
          <w:spacing w:val="-1"/>
          <w:sz w:val="24"/>
          <w:szCs w:val="24"/>
        </w:rPr>
        <w:t>体系，通过内部审核活动，验</w:t>
      </w:r>
      <w:r>
        <w:rPr>
          <w:rFonts w:ascii="SimSun" w:eastAsia="SimSun" w:hAnsi="SimSun" w:cs="SimSun"/>
          <w:sz w:val="24"/>
          <w:szCs w:val="24"/>
        </w:rPr>
        <w:t xml:space="preserve">证并确保 </w:t>
      </w:r>
      <w:r>
        <w:rPr>
          <w:rFonts w:ascii="Calibri" w:eastAsia="Calibri" w:hAnsi="Calibri" w:cs="Calibri"/>
          <w:sz w:val="24"/>
          <w:szCs w:val="24"/>
        </w:rPr>
        <w:t xml:space="preserve">ITSS </w:t>
      </w:r>
      <w:r>
        <w:rPr>
          <w:rFonts w:ascii="SimSun" w:eastAsia="SimSun" w:hAnsi="SimSun" w:cs="SimSun"/>
          <w:sz w:val="24"/>
          <w:szCs w:val="24"/>
        </w:rPr>
        <w:t>运维服务能力管理体系的要求与实施</w:t>
      </w:r>
      <w:r>
        <w:rPr>
          <w:rFonts w:ascii="SimSun" w:eastAsia="SimSun" w:hAnsi="SimSun" w:cs="SimSun"/>
          <w:spacing w:val="-1"/>
          <w:sz w:val="24"/>
          <w:szCs w:val="24"/>
        </w:rPr>
        <w:t>的符合性和持续有效性，验</w:t>
      </w:r>
      <w:r>
        <w:rPr>
          <w:rFonts w:ascii="SimSun" w:eastAsia="SimSun" w:hAnsi="SimSun" w:cs="SimSun"/>
          <w:spacing w:val="-1"/>
          <w:sz w:val="24"/>
          <w:szCs w:val="24"/>
        </w:rPr>
        <w:t xml:space="preserve">证各项运维服务活动与相关结果是否符合运维服务计划安排进度和 </w:t>
      </w:r>
      <w:r>
        <w:rPr>
          <w:rFonts w:ascii="Calibri" w:eastAsia="Calibri" w:hAnsi="Calibri" w:cs="Calibri"/>
          <w:spacing w:val="-1"/>
          <w:sz w:val="24"/>
          <w:szCs w:val="24"/>
        </w:rPr>
        <w:t>SLA</w:t>
      </w:r>
      <w:r>
        <w:rPr>
          <w:rFonts w:ascii="Calibri" w:eastAsia="Calibri" w:hAnsi="Calibri" w:cs="Calibri"/>
          <w:spacing w:val="-25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1"/>
          <w:sz w:val="24"/>
          <w:szCs w:val="24"/>
        </w:rPr>
        <w:t>，</w:t>
      </w:r>
      <w:r>
        <w:rPr>
          <w:rFonts w:ascii="SimSun" w:eastAsia="SimSun" w:hAnsi="SimSun" w:cs="SimSun"/>
          <w:spacing w:val="-2"/>
          <w:sz w:val="24"/>
          <w:szCs w:val="24"/>
        </w:rPr>
        <w:t>从而判</w:t>
      </w:r>
      <w:r>
        <w:rPr>
          <w:rFonts w:ascii="SimSun" w:eastAsia="SimSun" w:hAnsi="SimSun" w:cs="SimSun"/>
          <w:spacing w:val="-1"/>
          <w:sz w:val="24"/>
          <w:szCs w:val="24"/>
        </w:rPr>
        <w:t xml:space="preserve">断运维体系和 </w:t>
      </w:r>
      <w:r>
        <w:rPr>
          <w:rFonts w:ascii="Calibri" w:eastAsia="Calibri" w:hAnsi="Calibri" w:cs="Calibri"/>
          <w:spacing w:val="-1"/>
          <w:sz w:val="24"/>
          <w:szCs w:val="24"/>
        </w:rPr>
        <w:t>SLA</w:t>
      </w:r>
      <w:r>
        <w:rPr>
          <w:rFonts w:ascii="Calibri" w:eastAsia="Calibri" w:hAnsi="Calibri" w:cs="Calibri"/>
          <w:spacing w:val="29"/>
          <w:w w:val="101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1"/>
          <w:sz w:val="24"/>
          <w:szCs w:val="24"/>
        </w:rPr>
        <w:t xml:space="preserve">的有效性，并为 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ITSS </w:t>
      </w:r>
      <w:r>
        <w:rPr>
          <w:rFonts w:ascii="SimSun" w:eastAsia="SimSun" w:hAnsi="SimSun" w:cs="SimSun"/>
          <w:spacing w:val="-1"/>
          <w:sz w:val="24"/>
          <w:szCs w:val="24"/>
        </w:rPr>
        <w:t>运维服务能力管理体系的改进和管理评</w:t>
      </w:r>
      <w:r>
        <w:rPr>
          <w:rFonts w:ascii="SimSun" w:eastAsia="SimSun" w:hAnsi="SimSun" w:cs="SimSun"/>
          <w:spacing w:val="-1"/>
          <w:sz w:val="24"/>
          <w:szCs w:val="24"/>
        </w:rPr>
        <w:t>审提供依据，确保体系的正常运行，特制定本程序。</w:t>
      </w:r>
    </w:p>
    <w:p>
      <w:pPr>
        <w:pStyle w:val="BodyText"/>
        <w:spacing w:line="342" w:lineRule="auto"/>
      </w:pPr>
    </w:p>
    <w:p>
      <w:pPr>
        <w:spacing w:before="100" w:line="228" w:lineRule="auto"/>
        <w:ind w:left="23"/>
        <w:outlineLvl w:val="0"/>
        <w:rPr>
          <w:rFonts w:ascii="SimHei" w:eastAsia="SimHei" w:hAnsi="SimHei" w:cs="SimHei"/>
          <w:sz w:val="31"/>
          <w:szCs w:val="31"/>
        </w:rPr>
      </w:pPr>
      <w:bookmarkStart w:id="1" w:name="bookmark2"/>
      <w:bookmarkEnd w:id="1"/>
      <w:r>
        <w:rPr>
          <w:rFonts w:ascii="SimHei" w:eastAsia="SimHei" w:hAnsi="SimHei" w:cs="SimHei"/>
          <w:b/>
          <w:bCs/>
          <w:sz w:val="31"/>
          <w:szCs w:val="31"/>
        </w:rPr>
        <w:t>2</w:t>
      </w:r>
      <w:r>
        <w:rPr>
          <w:rFonts w:ascii="SimHei" w:eastAsia="SimHei" w:hAnsi="SimHei" w:cs="SimHei"/>
          <w:spacing w:val="28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z w:val="31"/>
          <w:szCs w:val="31"/>
        </w:rPr>
        <w:t>适用范围</w:t>
      </w:r>
    </w:p>
    <w:p>
      <w:pPr>
        <w:pStyle w:val="BodyText"/>
        <w:spacing w:line="263" w:lineRule="auto"/>
      </w:pPr>
    </w:p>
    <w:p>
      <w:pPr>
        <w:pStyle w:val="BodyText"/>
        <w:spacing w:line="263" w:lineRule="auto"/>
      </w:pPr>
    </w:p>
    <w:p>
      <w:pPr>
        <w:spacing w:before="79" w:line="366" w:lineRule="auto"/>
        <w:ind w:left="25" w:right="211" w:firstLine="478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4"/>
          <w:sz w:val="24"/>
          <w:szCs w:val="24"/>
        </w:rPr>
        <w:t xml:space="preserve">本公司 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ITSS </w:t>
      </w:r>
      <w:r>
        <w:rPr>
          <w:rFonts w:ascii="SimSun" w:eastAsia="SimSun" w:hAnsi="SimSun" w:cs="SimSun"/>
          <w:spacing w:val="-4"/>
          <w:sz w:val="24"/>
          <w:szCs w:val="24"/>
        </w:rPr>
        <w:t>运维服务能力管理体系所覆盖的</w:t>
      </w:r>
      <w:r>
        <w:rPr>
          <w:rFonts w:ascii="SimSun" w:eastAsia="SimSun" w:hAnsi="SimSun" w:cs="SimSun"/>
          <w:spacing w:val="-5"/>
          <w:sz w:val="24"/>
          <w:szCs w:val="24"/>
        </w:rPr>
        <w:t xml:space="preserve">范围，适用于 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ITSS </w:t>
      </w:r>
      <w:r>
        <w:rPr>
          <w:rFonts w:ascii="SimSun" w:eastAsia="SimSun" w:hAnsi="SimSun" w:cs="SimSun"/>
          <w:spacing w:val="-5"/>
          <w:sz w:val="24"/>
          <w:szCs w:val="24"/>
        </w:rPr>
        <w:t>运维能力管</w:t>
      </w:r>
      <w:r>
        <w:rPr>
          <w:rFonts w:ascii="SimSun" w:eastAsia="SimSun" w:hAnsi="SimSun" w:cs="SimSun"/>
          <w:spacing w:val="-1"/>
          <w:sz w:val="24"/>
          <w:szCs w:val="24"/>
        </w:rPr>
        <w:t>理体系运行相关的所有工作、场所、部门和岗位等。</w:t>
      </w:r>
    </w:p>
    <w:p>
      <w:pPr>
        <w:pStyle w:val="BodyText"/>
        <w:spacing w:line="337" w:lineRule="auto"/>
      </w:pPr>
    </w:p>
    <w:p>
      <w:pPr>
        <w:spacing w:before="102" w:line="226" w:lineRule="auto"/>
        <w:ind w:left="25"/>
        <w:outlineLvl w:val="0"/>
        <w:rPr>
          <w:rFonts w:ascii="SimHei" w:eastAsia="SimHei" w:hAnsi="SimHei" w:cs="SimHei"/>
          <w:sz w:val="31"/>
          <w:szCs w:val="31"/>
        </w:rPr>
      </w:pPr>
      <w:bookmarkStart w:id="2" w:name="bookmark3"/>
      <w:bookmarkEnd w:id="2"/>
      <w:r>
        <w:rPr>
          <w:rFonts w:ascii="SimHei" w:eastAsia="SimHei" w:hAnsi="SimHei" w:cs="SimHei"/>
          <w:b/>
          <w:bCs/>
          <w:spacing w:val="-5"/>
          <w:sz w:val="31"/>
          <w:szCs w:val="31"/>
        </w:rPr>
        <w:t>3</w:t>
      </w:r>
      <w:r>
        <w:rPr>
          <w:rFonts w:ascii="SimHei" w:eastAsia="SimHei" w:hAnsi="SimHei" w:cs="SimHei"/>
          <w:spacing w:val="62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-5"/>
          <w:sz w:val="31"/>
          <w:szCs w:val="31"/>
        </w:rPr>
        <w:t>职责</w:t>
      </w:r>
    </w:p>
    <w:p>
      <w:pPr>
        <w:pStyle w:val="BodyText"/>
        <w:spacing w:line="302" w:lineRule="auto"/>
      </w:pPr>
    </w:p>
    <w:p>
      <w:pPr>
        <w:pStyle w:val="BodyText"/>
        <w:spacing w:line="303" w:lineRule="auto"/>
      </w:pPr>
    </w:p>
    <w:p>
      <w:pPr>
        <w:spacing w:before="98" w:line="222" w:lineRule="auto"/>
        <w:ind w:left="25"/>
        <w:outlineLvl w:val="1"/>
        <w:rPr>
          <w:rFonts w:ascii="SimHei" w:eastAsia="SimHei" w:hAnsi="SimHei" w:cs="SimHei"/>
          <w:sz w:val="30"/>
          <w:szCs w:val="30"/>
        </w:rPr>
      </w:pPr>
      <w:bookmarkStart w:id="3" w:name="bookmark4"/>
      <w:bookmarkEnd w:id="3"/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3.1</w:t>
      </w:r>
      <w:r>
        <w:rPr>
          <w:rFonts w:ascii="SimHei" w:eastAsia="SimHei" w:hAnsi="SimHei" w:cs="SimHei"/>
          <w:spacing w:val="-4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管理者代表</w:t>
      </w:r>
    </w:p>
    <w:p>
      <w:pPr>
        <w:spacing w:before="270" w:line="239" w:lineRule="auto"/>
        <w:ind w:left="5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4"/>
          <w:sz w:val="24"/>
          <w:szCs w:val="24"/>
        </w:rPr>
        <w:t>n</w:t>
      </w:r>
      <w:r>
        <w:rPr>
          <w:rFonts w:ascii="Wingdings" w:eastAsia="Wingdings" w:hAnsi="Wingdings" w:cs="Wingdings"/>
          <w:spacing w:val="-49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4"/>
          <w:sz w:val="24"/>
          <w:szCs w:val="24"/>
        </w:rPr>
        <w:t>选派内审组长；</w:t>
      </w:r>
    </w:p>
    <w:p>
      <w:pPr>
        <w:spacing w:before="159" w:line="239" w:lineRule="auto"/>
        <w:ind w:left="5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4"/>
          <w:sz w:val="24"/>
          <w:szCs w:val="24"/>
        </w:rPr>
        <w:t>n</w:t>
      </w:r>
      <w:r>
        <w:rPr>
          <w:rFonts w:ascii="Wingdings" w:eastAsia="Wingdings" w:hAnsi="Wingdings" w:cs="Wingdings"/>
          <w:spacing w:val="-49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4"/>
          <w:sz w:val="24"/>
          <w:szCs w:val="24"/>
        </w:rPr>
        <w:t>批准内审计划；</w:t>
      </w:r>
    </w:p>
    <w:p>
      <w:pPr>
        <w:spacing w:before="162" w:line="239" w:lineRule="auto"/>
        <w:ind w:left="5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3"/>
          <w:sz w:val="24"/>
          <w:szCs w:val="24"/>
        </w:rPr>
        <w:t>n</w:t>
      </w:r>
      <w:r>
        <w:rPr>
          <w:rFonts w:ascii="Wingdings" w:eastAsia="Wingdings" w:hAnsi="Wingdings" w:cs="Wingdings"/>
          <w:spacing w:val="-51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3"/>
          <w:sz w:val="24"/>
          <w:szCs w:val="24"/>
        </w:rPr>
        <w:t>批准内审实施计划；</w:t>
      </w:r>
    </w:p>
    <w:p>
      <w:pPr>
        <w:spacing w:before="162" w:line="238" w:lineRule="auto"/>
        <w:ind w:left="5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4"/>
          <w:sz w:val="24"/>
          <w:szCs w:val="24"/>
        </w:rPr>
        <w:t>n</w:t>
      </w:r>
      <w:r>
        <w:rPr>
          <w:rFonts w:ascii="Wingdings" w:eastAsia="Wingdings" w:hAnsi="Wingdings" w:cs="Wingdings"/>
          <w:spacing w:val="-49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4"/>
          <w:sz w:val="24"/>
          <w:szCs w:val="24"/>
        </w:rPr>
        <w:t>批准内审报告。</w:t>
      </w:r>
    </w:p>
    <w:p>
      <w:pPr>
        <w:pStyle w:val="BodyText"/>
        <w:spacing w:line="323" w:lineRule="auto"/>
      </w:pPr>
    </w:p>
    <w:p>
      <w:pPr>
        <w:pStyle w:val="BodyText"/>
        <w:spacing w:line="323" w:lineRule="auto"/>
      </w:pPr>
    </w:p>
    <w:p>
      <w:pPr>
        <w:spacing w:before="98" w:line="222" w:lineRule="auto"/>
        <w:ind w:left="25"/>
        <w:outlineLvl w:val="1"/>
        <w:rPr>
          <w:rFonts w:ascii="SimHei" w:eastAsia="SimHei" w:hAnsi="SimHei" w:cs="SimHei"/>
          <w:sz w:val="30"/>
          <w:szCs w:val="30"/>
        </w:rPr>
      </w:pPr>
      <w:bookmarkStart w:id="4" w:name="bookmark5"/>
      <w:bookmarkEnd w:id="4"/>
      <w:r>
        <w:rPr>
          <w:rFonts w:ascii="SimHei" w:eastAsia="SimHei" w:hAnsi="SimHei" w:cs="SimHei"/>
          <w:b/>
          <w:bCs/>
          <w:spacing w:val="-9"/>
          <w:sz w:val="30"/>
          <w:szCs w:val="30"/>
        </w:rPr>
        <w:t>3.2</w:t>
      </w:r>
      <w:r>
        <w:rPr>
          <w:rFonts w:ascii="SimHei" w:eastAsia="SimHei" w:hAnsi="SimHei" w:cs="SimHei"/>
          <w:spacing w:val="35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9"/>
          <w:sz w:val="30"/>
          <w:szCs w:val="30"/>
        </w:rPr>
        <w:t>内审组长</w:t>
      </w:r>
    </w:p>
    <w:p>
      <w:pPr>
        <w:spacing w:before="267" w:line="239" w:lineRule="auto"/>
        <w:ind w:left="5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4"/>
          <w:sz w:val="24"/>
          <w:szCs w:val="24"/>
        </w:rPr>
        <w:t>n</w:t>
      </w:r>
      <w:r>
        <w:rPr>
          <w:rFonts w:ascii="Wingdings" w:eastAsia="Wingdings" w:hAnsi="Wingdings" w:cs="Wingdings"/>
          <w:spacing w:val="-41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4"/>
          <w:sz w:val="24"/>
          <w:szCs w:val="24"/>
        </w:rPr>
        <w:t>制定内审实施计划；</w:t>
      </w:r>
    </w:p>
    <w:p>
      <w:pPr>
        <w:spacing w:before="162" w:line="239" w:lineRule="auto"/>
        <w:ind w:left="5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3"/>
          <w:sz w:val="24"/>
          <w:szCs w:val="24"/>
        </w:rPr>
        <w:t>n</w:t>
      </w:r>
      <w:r>
        <w:rPr>
          <w:rFonts w:ascii="Wingdings" w:eastAsia="Wingdings" w:hAnsi="Wingdings" w:cs="Wingdings"/>
          <w:spacing w:val="-47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3"/>
          <w:sz w:val="24"/>
          <w:szCs w:val="24"/>
        </w:rPr>
        <w:t>组织编制内审检查表；</w:t>
      </w:r>
    </w:p>
    <w:p>
      <w:pPr>
        <w:spacing w:before="162" w:line="238" w:lineRule="auto"/>
        <w:ind w:left="5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4"/>
          <w:sz w:val="24"/>
          <w:szCs w:val="24"/>
        </w:rPr>
        <w:t>n</w:t>
      </w:r>
      <w:r>
        <w:rPr>
          <w:rFonts w:ascii="Wingdings" w:eastAsia="Wingdings" w:hAnsi="Wingdings" w:cs="Wingdings"/>
          <w:spacing w:val="-49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4"/>
          <w:sz w:val="24"/>
          <w:szCs w:val="24"/>
        </w:rPr>
        <w:t>提交内审报告；</w:t>
      </w:r>
    </w:p>
    <w:p>
      <w:pPr>
        <w:spacing w:before="161" w:line="239" w:lineRule="auto"/>
        <w:ind w:left="5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5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5"/>
          <w:sz w:val="24"/>
          <w:szCs w:val="24"/>
        </w:rPr>
        <w:t>负责跟踪、验证、纠正措施实施情况。</w:t>
      </w:r>
    </w:p>
    <w:p>
      <w:pPr>
        <w:spacing w:line="239" w:lineRule="auto"/>
        <w:rPr>
          <w:rFonts w:ascii="SimSun" w:eastAsia="SimSun" w:hAnsi="SimSun" w:cs="SimSun"/>
          <w:sz w:val="24"/>
          <w:szCs w:val="24"/>
        </w:rPr>
        <w:sectPr>
          <w:footerReference w:type="default" r:id="rId9"/>
          <w:pgSz w:w="11910" w:h="16840"/>
          <w:pgMar w:top="897" w:right="1719" w:bottom="1110" w:left="1786" w:header="0" w:footer="875" w:gutter="0"/>
          <w:cols w:space="720"/>
        </w:sectPr>
      </w:pPr>
    </w:p>
    <w:p>
      <w:pPr>
        <w:spacing w:line="442" w:lineRule="exact"/>
        <w:ind w:firstLine="12"/>
      </w:pPr>
      <w:r>
        <w:rPr>
          <w:position w:val="-8"/>
        </w:rPr>
        <w:drawing>
          <wp:inline distT="0" distB="0" distL="0" distR="0">
            <wp:extent cx="766952" cy="28102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6952" cy="2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5" w:lineRule="auto"/>
      </w:pPr>
    </w:p>
    <w:p>
      <w:pPr>
        <w:spacing w:before="98" w:line="223" w:lineRule="auto"/>
        <w:ind w:left="25"/>
        <w:outlineLvl w:val="1"/>
        <w:rPr>
          <w:rFonts w:ascii="SimHei" w:eastAsia="SimHei" w:hAnsi="SimHei" w:cs="SimHei"/>
          <w:sz w:val="30"/>
          <w:szCs w:val="30"/>
        </w:rPr>
      </w:pPr>
      <w:bookmarkStart w:id="5" w:name="bookmark6"/>
      <w:bookmarkEnd w:id="5"/>
      <w:r>
        <w:rPr>
          <w:rFonts w:ascii="SimHei" w:eastAsia="SimHei" w:hAnsi="SimHei" w:cs="SimHei"/>
          <w:b/>
          <w:bCs/>
          <w:spacing w:val="-7"/>
          <w:sz w:val="30"/>
          <w:szCs w:val="30"/>
        </w:rPr>
        <w:t>3.3</w:t>
      </w:r>
      <w:r>
        <w:rPr>
          <w:rFonts w:ascii="SimHei" w:eastAsia="SimHei" w:hAnsi="SimHei" w:cs="SimHei"/>
          <w:spacing w:val="21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7"/>
          <w:sz w:val="30"/>
          <w:szCs w:val="30"/>
        </w:rPr>
        <w:t>相关部门</w:t>
      </w:r>
    </w:p>
    <w:p>
      <w:pPr>
        <w:spacing w:before="276" w:line="366" w:lineRule="auto"/>
        <w:ind w:left="28" w:right="183" w:firstLine="474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7"/>
          <w:sz w:val="24"/>
          <w:szCs w:val="24"/>
        </w:rPr>
        <w:t>配合审核组实施内审工作，组织对本单位的不合格项分析原因，制定</w:t>
      </w:r>
      <w:r>
        <w:rPr>
          <w:rFonts w:ascii="SimSun" w:eastAsia="SimSun" w:hAnsi="SimSun" w:cs="SimSun"/>
          <w:spacing w:val="-8"/>
          <w:sz w:val="24"/>
          <w:szCs w:val="24"/>
        </w:rPr>
        <w:t>和实施</w:t>
      </w:r>
      <w:r>
        <w:rPr>
          <w:rFonts w:ascii="SimSun" w:eastAsia="SimSun" w:hAnsi="SimSun" w:cs="SimSun"/>
          <w:spacing w:val="-1"/>
          <w:sz w:val="24"/>
          <w:szCs w:val="24"/>
        </w:rPr>
        <w:t>纠正措施，对不合格项的纠正措施有效性进行跟踪验证。</w:t>
      </w:r>
    </w:p>
    <w:p>
      <w:pPr>
        <w:pStyle w:val="BodyText"/>
        <w:spacing w:line="337" w:lineRule="auto"/>
      </w:pPr>
    </w:p>
    <w:p>
      <w:pPr>
        <w:spacing w:before="101" w:line="227" w:lineRule="auto"/>
        <w:ind w:left="17"/>
        <w:outlineLvl w:val="0"/>
        <w:rPr>
          <w:rFonts w:ascii="SimHei" w:eastAsia="SimHei" w:hAnsi="SimHei" w:cs="SimHei"/>
          <w:sz w:val="31"/>
          <w:szCs w:val="31"/>
        </w:rPr>
      </w:pPr>
      <w:bookmarkStart w:id="6" w:name="bookmark7"/>
      <w:bookmarkEnd w:id="6"/>
      <w:r>
        <w:rPr>
          <w:rFonts w:ascii="SimHei" w:eastAsia="SimHei" w:hAnsi="SimHei" w:cs="SimHei"/>
          <w:b/>
          <w:bCs/>
          <w:spacing w:val="-1"/>
          <w:sz w:val="31"/>
          <w:szCs w:val="31"/>
        </w:rPr>
        <w:t>4</w:t>
      </w:r>
      <w:r>
        <w:rPr>
          <w:rFonts w:ascii="SimHei" w:eastAsia="SimHei" w:hAnsi="SimHei" w:cs="SimHei"/>
          <w:spacing w:val="21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-1"/>
          <w:sz w:val="31"/>
          <w:szCs w:val="31"/>
        </w:rPr>
        <w:t>程序</w:t>
      </w:r>
    </w:p>
    <w:p>
      <w:pPr>
        <w:pStyle w:val="BodyText"/>
        <w:spacing w:line="302" w:lineRule="auto"/>
      </w:pPr>
    </w:p>
    <w:p>
      <w:pPr>
        <w:pStyle w:val="BodyText"/>
        <w:spacing w:line="302" w:lineRule="auto"/>
      </w:pPr>
    </w:p>
    <w:p>
      <w:pPr>
        <w:spacing w:before="97" w:line="221" w:lineRule="auto"/>
        <w:ind w:left="17"/>
        <w:outlineLvl w:val="1"/>
        <w:rPr>
          <w:rFonts w:ascii="SimHei" w:eastAsia="SimHei" w:hAnsi="SimHei" w:cs="SimHei"/>
          <w:sz w:val="30"/>
          <w:szCs w:val="30"/>
        </w:rPr>
      </w:pPr>
      <w:bookmarkStart w:id="7" w:name="bookmark8"/>
      <w:bookmarkEnd w:id="7"/>
      <w:r>
        <w:rPr>
          <w:rFonts w:ascii="SimHei" w:eastAsia="SimHei" w:hAnsi="SimHei" w:cs="SimHei"/>
          <w:b/>
          <w:bCs/>
          <w:spacing w:val="-6"/>
          <w:sz w:val="30"/>
          <w:szCs w:val="30"/>
        </w:rPr>
        <w:t>4.1</w:t>
      </w:r>
      <w:r>
        <w:rPr>
          <w:rFonts w:ascii="SimHei" w:eastAsia="SimHei" w:hAnsi="SimHei" w:cs="SimHei"/>
          <w:spacing w:val="19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6"/>
          <w:sz w:val="30"/>
          <w:szCs w:val="30"/>
        </w:rPr>
        <w:t>流程图</w:t>
      </w:r>
    </w:p>
    <w:p>
      <w:pPr>
        <w:spacing w:before="114"/>
      </w:pPr>
    </w:p>
    <w:p>
      <w:pPr>
        <w:spacing w:before="113"/>
      </w:pPr>
    </w:p>
    <w:tbl>
      <w:tblPr>
        <w:tblStyle w:val="TableNormal"/>
        <w:tblW w:w="6145" w:type="dxa"/>
        <w:tblInd w:w="109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362"/>
        <w:gridCol w:w="1378"/>
        <w:gridCol w:w="1610"/>
        <w:gridCol w:w="1431"/>
        <w:gridCol w:w="1364"/>
      </w:tblGrid>
      <w:tr>
        <w:tblPrEx>
          <w:tblW w:w="6145" w:type="dxa"/>
          <w:tblInd w:w="109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321"/>
        </w:trPr>
        <w:tc>
          <w:tcPr>
            <w:tcW w:w="6145" w:type="dxa"/>
            <w:gridSpan w:val="5"/>
          </w:tcPr>
          <w:p>
            <w:pPr>
              <w:spacing w:before="74" w:line="220" w:lineRule="auto"/>
              <w:ind w:left="55"/>
              <w:rPr>
                <w:rFonts w:ascii="SimSun" w:eastAsia="SimSun" w:hAnsi="SimSun" w:cs="SimSun"/>
                <w:sz w:val="16"/>
                <w:szCs w:val="16"/>
              </w:rPr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1777</wp:posOffset>
                  </wp:positionH>
                  <wp:positionV relativeFrom="paragraph">
                    <wp:posOffset>2174</wp:posOffset>
                  </wp:positionV>
                  <wp:extent cx="3896359" cy="4634864"/>
                  <wp:effectExtent l="0" t="0" r="0" b="0"/>
                  <wp:wrapNone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96359" cy="4634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Sun" w:eastAsia="SimSun" w:hAnsi="SimSun" w:cs="SimSun"/>
                <w:spacing w:val="8"/>
                <w:sz w:val="16"/>
                <w:szCs w:val="16"/>
              </w:rPr>
              <w:t>内审流程</w:t>
            </w:r>
          </w:p>
        </w:tc>
      </w:tr>
      <w:tr>
        <w:tblPrEx>
          <w:tblW w:w="6145" w:type="dxa"/>
          <w:tblInd w:w="1092" w:type="dxa"/>
          <w:tblLayout w:type="fixed"/>
        </w:tblPrEx>
        <w:trPr>
          <w:trHeight w:val="394"/>
        </w:trPr>
        <w:tc>
          <w:tcPr>
            <w:tcW w:w="362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78" w:type="dxa"/>
          </w:tcPr>
          <w:p>
            <w:pPr>
              <w:spacing w:before="130" w:line="235" w:lineRule="auto"/>
              <w:ind w:left="546"/>
              <w:rPr>
                <w:rFonts w:ascii="SimSun" w:eastAsia="SimSun" w:hAnsi="SimSun" w:cs="SimSun"/>
                <w:sz w:val="12"/>
                <w:szCs w:val="12"/>
              </w:rPr>
            </w:pPr>
            <w:r>
              <w:rPr>
                <w:rFonts w:ascii="SimSun" w:eastAsia="SimSun" w:hAnsi="SimSun" w:cs="SimSun"/>
                <w:spacing w:val="25"/>
                <w:sz w:val="12"/>
                <w:szCs w:val="12"/>
              </w:rPr>
              <w:t>输入</w:t>
            </w:r>
          </w:p>
        </w:tc>
        <w:tc>
          <w:tcPr>
            <w:tcW w:w="1610" w:type="dxa"/>
          </w:tcPr>
          <w:p>
            <w:pPr>
              <w:spacing w:before="130" w:line="235" w:lineRule="auto"/>
              <w:ind w:left="511"/>
              <w:rPr>
                <w:rFonts w:ascii="SimSun" w:eastAsia="SimSun" w:hAnsi="SimSun" w:cs="SimSun"/>
                <w:sz w:val="12"/>
                <w:szCs w:val="12"/>
              </w:rPr>
            </w:pPr>
            <w:r>
              <w:rPr>
                <w:rFonts w:ascii="SimSun" w:eastAsia="SimSun" w:hAnsi="SimSun" w:cs="SimSun"/>
                <w:spacing w:val="27"/>
                <w:sz w:val="12"/>
                <w:szCs w:val="12"/>
              </w:rPr>
              <w:t>过程步骤</w:t>
            </w:r>
          </w:p>
        </w:tc>
        <w:tc>
          <w:tcPr>
            <w:tcW w:w="1431" w:type="dxa"/>
          </w:tcPr>
          <w:p>
            <w:pPr>
              <w:spacing w:before="130" w:line="235" w:lineRule="auto"/>
              <w:ind w:left="577"/>
              <w:rPr>
                <w:rFonts w:ascii="SimSun" w:eastAsia="SimSun" w:hAnsi="SimSun" w:cs="SimSun"/>
                <w:sz w:val="12"/>
                <w:szCs w:val="12"/>
              </w:rPr>
            </w:pPr>
            <w:r>
              <w:rPr>
                <w:rFonts w:ascii="SimSun" w:eastAsia="SimSun" w:hAnsi="SimSun" w:cs="SimSun"/>
                <w:spacing w:val="25"/>
                <w:sz w:val="12"/>
                <w:szCs w:val="12"/>
              </w:rPr>
              <w:t>输出</w:t>
            </w:r>
          </w:p>
        </w:tc>
        <w:tc>
          <w:tcPr>
            <w:tcW w:w="1364" w:type="dxa"/>
          </w:tcPr>
          <w:p>
            <w:pPr>
              <w:spacing w:before="130" w:line="235" w:lineRule="auto"/>
              <w:ind w:left="298"/>
              <w:rPr>
                <w:rFonts w:ascii="SimSun" w:eastAsia="SimSun" w:hAnsi="SimSun" w:cs="SimSun"/>
                <w:sz w:val="12"/>
                <w:szCs w:val="12"/>
              </w:rPr>
            </w:pPr>
            <w:r>
              <w:rPr>
                <w:rFonts w:ascii="SimSun" w:eastAsia="SimSun" w:hAnsi="SimSun" w:cs="SimSun"/>
                <w:spacing w:val="23"/>
                <w:sz w:val="12"/>
                <w:szCs w:val="12"/>
              </w:rPr>
              <w:t>负责人</w:t>
            </w:r>
            <w:r>
              <w:rPr>
                <w:rFonts w:ascii="Times New Roman" w:eastAsia="Times New Roman" w:hAnsi="Times New Roman" w:cs="Times New Roman"/>
                <w:spacing w:val="23"/>
                <w:sz w:val="12"/>
                <w:szCs w:val="12"/>
              </w:rPr>
              <w:t>/</w:t>
            </w:r>
            <w:r>
              <w:rPr>
                <w:rFonts w:ascii="SimSun" w:eastAsia="SimSun" w:hAnsi="SimSun" w:cs="SimSun"/>
                <w:spacing w:val="23"/>
                <w:sz w:val="12"/>
                <w:szCs w:val="12"/>
              </w:rPr>
              <w:t>部门</w:t>
            </w:r>
          </w:p>
        </w:tc>
      </w:tr>
      <w:tr>
        <w:tblPrEx>
          <w:tblW w:w="6145" w:type="dxa"/>
          <w:tblInd w:w="1092" w:type="dxa"/>
          <w:tblLayout w:type="fixed"/>
        </w:tblPrEx>
        <w:trPr>
          <w:trHeight w:val="6578"/>
        </w:trPr>
        <w:tc>
          <w:tcPr>
            <w:tcW w:w="36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378" w:type="dxa"/>
          </w:tcPr>
          <w:p>
            <w:pPr>
              <w:pStyle w:val="TableText"/>
            </w:pPr>
          </w:p>
        </w:tc>
        <w:tc>
          <w:tcPr>
            <w:tcW w:w="1610" w:type="dxa"/>
          </w:tcPr>
          <w:p>
            <w:pPr>
              <w:pStyle w:val="TableText"/>
              <w:spacing w:line="312" w:lineRule="auto"/>
            </w:pPr>
          </w:p>
          <w:p>
            <w:pPr>
              <w:spacing w:before="26"/>
              <w:ind w:left="406"/>
              <w:rPr>
                <w:rFonts w:ascii="SimSun" w:eastAsia="SimSun" w:hAnsi="SimSun" w:cs="SimSun"/>
                <w:sz w:val="8"/>
                <w:szCs w:val="8"/>
              </w:rPr>
            </w:pPr>
            <w:r>
              <w:rPr>
                <w:rFonts w:ascii="SimSun" w:eastAsia="SimSun" w:hAnsi="SimSun" w:cs="SimSun"/>
                <w:spacing w:val="17"/>
                <w:sz w:val="8"/>
                <w:szCs w:val="8"/>
              </w:rPr>
              <w:t>制定年度内审计划</w:t>
            </w:r>
          </w:p>
          <w:p>
            <w:pPr>
              <w:pStyle w:val="TableText"/>
              <w:spacing w:line="334" w:lineRule="auto"/>
            </w:pPr>
          </w:p>
          <w:p>
            <w:pPr>
              <w:pStyle w:val="TableText"/>
              <w:spacing w:line="335" w:lineRule="auto"/>
            </w:pPr>
          </w:p>
          <w:p>
            <w:pPr>
              <w:spacing w:before="26"/>
              <w:ind w:left="406"/>
              <w:rPr>
                <w:rFonts w:ascii="SimSun" w:eastAsia="SimSun" w:hAnsi="SimSun" w:cs="SimSun"/>
                <w:sz w:val="8"/>
                <w:szCs w:val="8"/>
              </w:rPr>
            </w:pPr>
            <w:r>
              <w:rPr>
                <w:rFonts w:ascii="SimSun" w:eastAsia="SimSun" w:hAnsi="SimSun" w:cs="SimSun"/>
                <w:spacing w:val="17"/>
                <w:sz w:val="8"/>
                <w:szCs w:val="8"/>
              </w:rPr>
              <w:t>制定内审实施计划</w:t>
            </w:r>
          </w:p>
          <w:p>
            <w:pPr>
              <w:pStyle w:val="TableText"/>
              <w:spacing w:line="334" w:lineRule="auto"/>
            </w:pPr>
          </w:p>
          <w:p>
            <w:pPr>
              <w:pStyle w:val="TableText"/>
              <w:spacing w:line="335" w:lineRule="auto"/>
            </w:pPr>
          </w:p>
          <w:p>
            <w:pPr>
              <w:spacing w:before="26"/>
              <w:ind w:left="458"/>
              <w:rPr>
                <w:rFonts w:ascii="SimSun" w:eastAsia="SimSun" w:hAnsi="SimSun" w:cs="SimSun"/>
                <w:sz w:val="8"/>
                <w:szCs w:val="8"/>
              </w:rPr>
            </w:pPr>
            <w:r>
              <w:rPr>
                <w:rFonts w:ascii="SimSun" w:eastAsia="SimSun" w:hAnsi="SimSun" w:cs="SimSun"/>
                <w:spacing w:val="17"/>
                <w:sz w:val="8"/>
                <w:szCs w:val="8"/>
              </w:rPr>
              <w:t>制定内审检查表</w:t>
            </w:r>
          </w:p>
          <w:p>
            <w:pPr>
              <w:pStyle w:val="TableText"/>
              <w:spacing w:line="334" w:lineRule="auto"/>
            </w:pPr>
          </w:p>
          <w:p>
            <w:pPr>
              <w:pStyle w:val="TableText"/>
              <w:spacing w:line="335" w:lineRule="auto"/>
            </w:pPr>
          </w:p>
          <w:p>
            <w:pPr>
              <w:spacing w:before="27" w:line="239" w:lineRule="auto"/>
              <w:ind w:left="611"/>
              <w:rPr>
                <w:rFonts w:ascii="SimSun" w:eastAsia="SimSun" w:hAnsi="SimSun" w:cs="SimSun"/>
                <w:sz w:val="8"/>
                <w:szCs w:val="8"/>
              </w:rPr>
            </w:pPr>
            <w:r>
              <w:rPr>
                <w:rFonts w:ascii="SimSun" w:eastAsia="SimSun" w:hAnsi="SimSun" w:cs="SimSun"/>
                <w:spacing w:val="16"/>
                <w:sz w:val="8"/>
                <w:szCs w:val="8"/>
              </w:rPr>
              <w:t>首次会议</w:t>
            </w:r>
          </w:p>
          <w:p>
            <w:pPr>
              <w:pStyle w:val="TableText"/>
              <w:spacing w:line="336" w:lineRule="auto"/>
            </w:pPr>
          </w:p>
          <w:p>
            <w:pPr>
              <w:pStyle w:val="TableText"/>
              <w:spacing w:line="336" w:lineRule="auto"/>
            </w:pPr>
          </w:p>
          <w:p>
            <w:pPr>
              <w:spacing w:before="26" w:line="241" w:lineRule="auto"/>
              <w:ind w:left="610"/>
              <w:rPr>
                <w:rFonts w:ascii="SimSun" w:eastAsia="SimSun" w:hAnsi="SimSun" w:cs="SimSun"/>
                <w:sz w:val="8"/>
                <w:szCs w:val="8"/>
              </w:rPr>
            </w:pPr>
            <w:r>
              <w:rPr>
                <w:rFonts w:ascii="SimSun" w:eastAsia="SimSun" w:hAnsi="SimSun" w:cs="SimSun"/>
                <w:spacing w:val="16"/>
                <w:sz w:val="8"/>
                <w:szCs w:val="8"/>
              </w:rPr>
              <w:t>现场审核</w:t>
            </w:r>
          </w:p>
          <w:p>
            <w:pPr>
              <w:pStyle w:val="TableText"/>
              <w:spacing w:line="334" w:lineRule="auto"/>
            </w:pPr>
          </w:p>
          <w:p>
            <w:pPr>
              <w:pStyle w:val="TableText"/>
              <w:spacing w:line="335" w:lineRule="auto"/>
            </w:pPr>
          </w:p>
          <w:p>
            <w:pPr>
              <w:spacing w:before="27" w:line="239" w:lineRule="auto"/>
              <w:ind w:left="609"/>
              <w:rPr>
                <w:rFonts w:ascii="SimSun" w:eastAsia="SimSun" w:hAnsi="SimSun" w:cs="SimSun"/>
                <w:sz w:val="8"/>
                <w:szCs w:val="8"/>
              </w:rPr>
            </w:pPr>
            <w:r>
              <w:rPr>
                <w:rFonts w:ascii="SimSun" w:eastAsia="SimSun" w:hAnsi="SimSun" w:cs="SimSun"/>
                <w:spacing w:val="16"/>
                <w:sz w:val="8"/>
                <w:szCs w:val="8"/>
              </w:rPr>
              <w:t>末次会议</w:t>
            </w:r>
          </w:p>
          <w:p>
            <w:pPr>
              <w:pStyle w:val="TableText"/>
              <w:spacing w:line="335" w:lineRule="auto"/>
            </w:pPr>
          </w:p>
          <w:p>
            <w:pPr>
              <w:pStyle w:val="TableText"/>
              <w:spacing w:line="335" w:lineRule="auto"/>
            </w:pPr>
          </w:p>
          <w:p>
            <w:pPr>
              <w:spacing w:before="26"/>
              <w:ind w:left="520"/>
              <w:rPr>
                <w:rFonts w:ascii="SimSun" w:eastAsia="SimSun" w:hAnsi="SimSun" w:cs="SimSun"/>
                <w:sz w:val="8"/>
                <w:szCs w:val="8"/>
              </w:rPr>
            </w:pPr>
            <w:r>
              <w:rPr>
                <w:rFonts w:ascii="SimSun" w:eastAsia="SimSun" w:hAnsi="SimSun" w:cs="SimSun"/>
                <w:spacing w:val="15"/>
                <w:sz w:val="8"/>
                <w:szCs w:val="8"/>
              </w:rPr>
              <w:t>内审不合格项</w:t>
            </w:r>
          </w:p>
          <w:p>
            <w:pPr>
              <w:pStyle w:val="TableText"/>
              <w:spacing w:line="334" w:lineRule="auto"/>
            </w:pPr>
          </w:p>
          <w:p>
            <w:pPr>
              <w:pStyle w:val="TableText"/>
              <w:spacing w:line="335" w:lineRule="auto"/>
            </w:pPr>
          </w:p>
          <w:p>
            <w:pPr>
              <w:spacing w:before="27" w:line="239" w:lineRule="auto"/>
              <w:ind w:left="621"/>
              <w:rPr>
                <w:rFonts w:ascii="SimSun" w:eastAsia="SimSun" w:hAnsi="SimSun" w:cs="SimSun"/>
                <w:sz w:val="8"/>
                <w:szCs w:val="8"/>
              </w:rPr>
            </w:pPr>
            <w:r>
              <w:rPr>
                <w:rFonts w:ascii="SimSun" w:eastAsia="SimSun" w:hAnsi="SimSun" w:cs="SimSun"/>
                <w:spacing w:val="13"/>
                <w:sz w:val="8"/>
                <w:szCs w:val="8"/>
              </w:rPr>
              <w:t>内审报告</w:t>
            </w:r>
          </w:p>
        </w:tc>
        <w:tc>
          <w:tcPr>
            <w:tcW w:w="1431" w:type="dxa"/>
          </w:tcPr>
          <w:p>
            <w:pPr>
              <w:pStyle w:val="TableText"/>
              <w:spacing w:line="250" w:lineRule="auto"/>
            </w:pPr>
          </w:p>
          <w:p>
            <w:pPr>
              <w:spacing w:before="26"/>
              <w:ind w:left="432"/>
              <w:rPr>
                <w:rFonts w:ascii="SimSun" w:eastAsia="SimSun" w:hAnsi="SimSun" w:cs="SimSun"/>
                <w:sz w:val="8"/>
                <w:szCs w:val="8"/>
              </w:rPr>
            </w:pPr>
            <w:r>
              <w:rPr>
                <w:rFonts w:ascii="SimSun" w:eastAsia="SimSun" w:hAnsi="SimSun" w:cs="SimSun"/>
                <w:spacing w:val="15"/>
                <w:sz w:val="8"/>
                <w:szCs w:val="8"/>
              </w:rPr>
              <w:t>内审年度计划</w:t>
            </w:r>
          </w:p>
          <w:p>
            <w:pPr>
              <w:pStyle w:val="TableText"/>
              <w:spacing w:line="334" w:lineRule="auto"/>
            </w:pPr>
          </w:p>
          <w:p>
            <w:pPr>
              <w:pStyle w:val="TableText"/>
              <w:spacing w:line="335" w:lineRule="auto"/>
            </w:pPr>
          </w:p>
          <w:p>
            <w:pPr>
              <w:spacing w:before="26"/>
              <w:ind w:left="432"/>
              <w:rPr>
                <w:rFonts w:ascii="SimSun" w:eastAsia="SimSun" w:hAnsi="SimSun" w:cs="SimSun"/>
                <w:sz w:val="8"/>
                <w:szCs w:val="8"/>
              </w:rPr>
            </w:pPr>
            <w:r>
              <w:rPr>
                <w:rFonts w:ascii="SimSun" w:eastAsia="SimSun" w:hAnsi="SimSun" w:cs="SimSun"/>
                <w:spacing w:val="15"/>
                <w:sz w:val="8"/>
                <w:szCs w:val="8"/>
              </w:rPr>
              <w:t>内审实施计划</w:t>
            </w:r>
          </w:p>
          <w:p>
            <w:pPr>
              <w:pStyle w:val="TableText"/>
              <w:spacing w:line="336" w:lineRule="auto"/>
            </w:pPr>
          </w:p>
          <w:p>
            <w:pPr>
              <w:pStyle w:val="TableText"/>
              <w:spacing w:line="336" w:lineRule="auto"/>
            </w:pPr>
          </w:p>
          <w:p>
            <w:pPr>
              <w:spacing w:before="26"/>
              <w:ind w:left="484"/>
              <w:rPr>
                <w:rFonts w:ascii="SimSun" w:eastAsia="SimSun" w:hAnsi="SimSun" w:cs="SimSun"/>
                <w:sz w:val="8"/>
                <w:szCs w:val="8"/>
              </w:rPr>
            </w:pPr>
            <w:r>
              <w:rPr>
                <w:rFonts w:ascii="SimSun" w:eastAsia="SimSun" w:hAnsi="SimSun" w:cs="SimSun"/>
                <w:spacing w:val="14"/>
                <w:sz w:val="8"/>
                <w:szCs w:val="8"/>
              </w:rPr>
              <w:t>内审检查表</w:t>
            </w:r>
          </w:p>
          <w:p>
            <w:pPr>
              <w:pStyle w:val="TableText"/>
              <w:spacing w:line="255" w:lineRule="auto"/>
            </w:pPr>
          </w:p>
          <w:p>
            <w:pPr>
              <w:pStyle w:val="TableText"/>
              <w:spacing w:line="255" w:lineRule="auto"/>
            </w:pPr>
          </w:p>
          <w:p>
            <w:pPr>
              <w:pStyle w:val="TableText"/>
              <w:spacing w:line="255" w:lineRule="auto"/>
            </w:pPr>
          </w:p>
          <w:p>
            <w:pPr>
              <w:pStyle w:val="TableText"/>
              <w:spacing w:line="256" w:lineRule="auto"/>
            </w:pPr>
          </w:p>
          <w:p>
            <w:pPr>
              <w:pStyle w:val="TableText"/>
              <w:spacing w:line="256" w:lineRule="auto"/>
            </w:pPr>
          </w:p>
          <w:p>
            <w:pPr>
              <w:pStyle w:val="TableText"/>
              <w:spacing w:line="256" w:lineRule="auto"/>
            </w:pPr>
          </w:p>
          <w:p>
            <w:pPr>
              <w:pStyle w:val="TableText"/>
              <w:spacing w:line="256" w:lineRule="auto"/>
            </w:pPr>
          </w:p>
          <w:p>
            <w:pPr>
              <w:pStyle w:val="TableText"/>
              <w:spacing w:line="256" w:lineRule="auto"/>
            </w:pPr>
          </w:p>
          <w:p>
            <w:pPr>
              <w:pStyle w:val="TableText"/>
              <w:spacing w:line="256" w:lineRule="auto"/>
            </w:pPr>
          </w:p>
          <w:p>
            <w:pPr>
              <w:pStyle w:val="TableText"/>
              <w:spacing w:line="256" w:lineRule="auto"/>
            </w:pPr>
          </w:p>
          <w:p>
            <w:pPr>
              <w:pStyle w:val="TableText"/>
              <w:spacing w:line="256" w:lineRule="auto"/>
            </w:pPr>
          </w:p>
          <w:p>
            <w:pPr>
              <w:pStyle w:val="TableText"/>
              <w:spacing w:line="256" w:lineRule="auto"/>
            </w:pPr>
          </w:p>
          <w:p>
            <w:pPr>
              <w:spacing w:before="26" w:line="239" w:lineRule="auto"/>
              <w:ind w:left="384"/>
              <w:rPr>
                <w:rFonts w:ascii="SimSun" w:eastAsia="SimSun" w:hAnsi="SimSun" w:cs="SimSun"/>
                <w:sz w:val="8"/>
                <w:szCs w:val="8"/>
              </w:rPr>
            </w:pPr>
            <w:r>
              <w:rPr>
                <w:rFonts w:ascii="SimSun" w:eastAsia="SimSun" w:hAnsi="SimSun" w:cs="SimSun"/>
                <w:spacing w:val="15"/>
                <w:sz w:val="8"/>
                <w:szCs w:val="8"/>
              </w:rPr>
              <w:t>内审不合格报告</w:t>
            </w:r>
          </w:p>
          <w:p>
            <w:pPr>
              <w:pStyle w:val="TableText"/>
              <w:spacing w:line="335" w:lineRule="auto"/>
            </w:pPr>
          </w:p>
          <w:p>
            <w:pPr>
              <w:pStyle w:val="TableText"/>
              <w:spacing w:line="335" w:lineRule="auto"/>
            </w:pPr>
          </w:p>
          <w:p>
            <w:pPr>
              <w:spacing w:before="26" w:line="239" w:lineRule="auto"/>
              <w:ind w:left="532"/>
              <w:rPr>
                <w:rFonts w:ascii="SimSun" w:eastAsia="SimSun" w:hAnsi="SimSun" w:cs="SimSun"/>
                <w:sz w:val="8"/>
                <w:szCs w:val="8"/>
              </w:rPr>
            </w:pPr>
            <w:r>
              <w:rPr>
                <w:rFonts w:ascii="SimSun" w:eastAsia="SimSun" w:hAnsi="SimSun" w:cs="SimSun"/>
                <w:spacing w:val="13"/>
                <w:sz w:val="8"/>
                <w:szCs w:val="8"/>
              </w:rPr>
              <w:t>内审报告</w:t>
            </w:r>
          </w:p>
        </w:tc>
        <w:tc>
          <w:tcPr>
            <w:tcW w:w="1364" w:type="dxa"/>
          </w:tcPr>
          <w:p>
            <w:pPr>
              <w:pStyle w:val="TableText"/>
              <w:spacing w:line="312" w:lineRule="auto"/>
            </w:pPr>
          </w:p>
          <w:p>
            <w:pPr>
              <w:spacing w:before="26"/>
              <w:ind w:left="549"/>
              <w:rPr>
                <w:rFonts w:ascii="SimSun" w:eastAsia="SimSun" w:hAnsi="SimSun" w:cs="SimSun"/>
                <w:sz w:val="8"/>
                <w:szCs w:val="8"/>
              </w:rPr>
            </w:pPr>
            <w:r>
              <w:rPr>
                <w:rFonts w:ascii="SimSun" w:eastAsia="SimSun" w:hAnsi="SimSun" w:cs="SimSun"/>
                <w:spacing w:val="16"/>
                <w:sz w:val="8"/>
                <w:szCs w:val="8"/>
              </w:rPr>
              <w:t>质量部</w:t>
            </w:r>
          </w:p>
          <w:p>
            <w:pPr>
              <w:pStyle w:val="TableText"/>
              <w:spacing w:line="334" w:lineRule="auto"/>
            </w:pPr>
          </w:p>
          <w:p>
            <w:pPr>
              <w:pStyle w:val="TableText"/>
              <w:spacing w:line="335" w:lineRule="auto"/>
            </w:pPr>
          </w:p>
          <w:p>
            <w:pPr>
              <w:spacing w:before="26"/>
              <w:ind w:left="517"/>
              <w:rPr>
                <w:rFonts w:ascii="SimSun" w:eastAsia="SimSun" w:hAnsi="SimSun" w:cs="SimSun"/>
                <w:sz w:val="8"/>
                <w:szCs w:val="8"/>
              </w:rPr>
            </w:pPr>
            <w:r>
              <w:rPr>
                <w:rFonts w:ascii="SimSun" w:eastAsia="SimSun" w:hAnsi="SimSun" w:cs="SimSun"/>
                <w:spacing w:val="13"/>
                <w:sz w:val="8"/>
                <w:szCs w:val="8"/>
              </w:rPr>
              <w:t>内审小组</w:t>
            </w:r>
          </w:p>
        </w:tc>
      </w:tr>
    </w:tbl>
    <w:p>
      <w:pPr>
        <w:pStyle w:val="BodyText"/>
        <w:spacing w:line="463" w:lineRule="auto"/>
      </w:pPr>
    </w:p>
    <w:p>
      <w:pPr>
        <w:spacing w:before="98" w:line="222" w:lineRule="auto"/>
        <w:ind w:left="17"/>
        <w:outlineLvl w:val="1"/>
        <w:rPr>
          <w:rFonts w:ascii="SimHei" w:eastAsia="SimHei" w:hAnsi="SimHei" w:cs="SimHei"/>
          <w:sz w:val="30"/>
          <w:szCs w:val="30"/>
        </w:rPr>
      </w:pPr>
      <w:bookmarkStart w:id="8" w:name="bookmark9"/>
      <w:bookmarkEnd w:id="8"/>
      <w:r>
        <w:rPr>
          <w:rFonts w:ascii="SimHei" w:eastAsia="SimHei" w:hAnsi="SimHei" w:cs="SimHei"/>
          <w:b/>
          <w:bCs/>
          <w:spacing w:val="-3"/>
          <w:sz w:val="30"/>
          <w:szCs w:val="30"/>
        </w:rPr>
        <w:t>4.2</w:t>
      </w:r>
      <w:r>
        <w:rPr>
          <w:rFonts w:ascii="SimHei" w:eastAsia="SimHei" w:hAnsi="SimHei" w:cs="SimHei"/>
          <w:spacing w:val="-3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3"/>
          <w:sz w:val="30"/>
          <w:szCs w:val="30"/>
        </w:rPr>
        <w:t>制定年度内审计划</w:t>
      </w:r>
    </w:p>
    <w:p>
      <w:pPr>
        <w:spacing w:before="279" w:line="366" w:lineRule="auto"/>
        <w:ind w:left="35" w:firstLine="467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2"/>
          <w:sz w:val="24"/>
          <w:szCs w:val="24"/>
        </w:rPr>
        <w:t>根据运维质量管理计划中的内审计划时间，质量部负责制定年度内审计划。</w:t>
      </w:r>
      <w:r>
        <w:rPr>
          <w:rFonts w:ascii="SimSun" w:eastAsia="SimSun" w:hAnsi="SimSun" w:cs="SimSun"/>
          <w:spacing w:val="-2"/>
          <w:sz w:val="24"/>
          <w:szCs w:val="24"/>
        </w:rPr>
        <w:t>审核计划由管理者代表审批后方可生效。</w:t>
      </w:r>
    </w:p>
    <w:p>
      <w:pPr>
        <w:spacing w:line="366" w:lineRule="auto"/>
        <w:rPr>
          <w:rFonts w:ascii="SimSun" w:eastAsia="SimSun" w:hAnsi="SimSun" w:cs="SimSun"/>
          <w:sz w:val="24"/>
          <w:szCs w:val="24"/>
        </w:rPr>
        <w:sectPr>
          <w:footerReference w:type="default" r:id="rId11"/>
          <w:pgSz w:w="11910" w:h="16840"/>
          <w:pgMar w:top="897" w:right="1749" w:bottom="1110" w:left="1786" w:header="0" w:footer="876" w:gutter="0"/>
          <w:cols w:space="720"/>
        </w:sectPr>
      </w:pPr>
    </w:p>
    <w:p>
      <w:pPr>
        <w:spacing w:line="442" w:lineRule="exact"/>
        <w:ind w:firstLine="12"/>
      </w:pPr>
      <w:r>
        <w:rPr>
          <w:position w:val="-8"/>
        </w:rPr>
        <w:drawing>
          <wp:inline distT="0" distB="0" distL="0" distR="0">
            <wp:extent cx="766952" cy="28102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6952" cy="2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2" w:line="219" w:lineRule="auto"/>
        <w:ind w:left="503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"/>
          <w:sz w:val="24"/>
          <w:szCs w:val="24"/>
        </w:rPr>
        <w:t>年度内部审核计划应包括如下内容：</w:t>
      </w:r>
    </w:p>
    <w:p>
      <w:pPr>
        <w:pStyle w:val="BodyText"/>
        <w:spacing w:line="256" w:lineRule="auto"/>
      </w:pPr>
    </w:p>
    <w:p>
      <w:pPr>
        <w:spacing w:before="78" w:line="241" w:lineRule="auto"/>
        <w:ind w:left="5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5"/>
          <w:sz w:val="24"/>
          <w:szCs w:val="24"/>
        </w:rPr>
        <w:t>n</w:t>
      </w:r>
      <w:r>
        <w:rPr>
          <w:rFonts w:ascii="Wingdings" w:eastAsia="Wingdings" w:hAnsi="Wingdings" w:cs="Wingdings"/>
          <w:spacing w:val="-50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5"/>
          <w:sz w:val="24"/>
          <w:szCs w:val="24"/>
        </w:rPr>
        <w:t>计划时间；</w:t>
      </w:r>
    </w:p>
    <w:p>
      <w:pPr>
        <w:spacing w:before="157"/>
        <w:ind w:left="5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7"/>
          <w:sz w:val="24"/>
          <w:szCs w:val="24"/>
        </w:rPr>
        <w:t>n</w:t>
      </w:r>
      <w:r>
        <w:rPr>
          <w:rFonts w:ascii="Wingdings" w:eastAsia="Wingdings" w:hAnsi="Wingdings" w:cs="Wingdings"/>
          <w:spacing w:val="-38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7"/>
          <w:sz w:val="24"/>
          <w:szCs w:val="24"/>
        </w:rPr>
        <w:t>审核范围；</w:t>
      </w:r>
    </w:p>
    <w:p>
      <w:pPr>
        <w:spacing w:before="161" w:line="239" w:lineRule="auto"/>
        <w:ind w:left="5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7"/>
          <w:sz w:val="24"/>
          <w:szCs w:val="24"/>
        </w:rPr>
        <w:t>n</w:t>
      </w:r>
      <w:r>
        <w:rPr>
          <w:rFonts w:ascii="Wingdings" w:eastAsia="Wingdings" w:hAnsi="Wingdings" w:cs="Wingdings"/>
          <w:spacing w:val="-38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7"/>
          <w:sz w:val="24"/>
          <w:szCs w:val="24"/>
        </w:rPr>
        <w:t>审核次数；</w:t>
      </w:r>
    </w:p>
    <w:p>
      <w:pPr>
        <w:spacing w:before="161"/>
        <w:ind w:left="5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3"/>
          <w:sz w:val="24"/>
          <w:szCs w:val="24"/>
        </w:rPr>
        <w:t>n</w:t>
      </w:r>
      <w:r>
        <w:rPr>
          <w:rFonts w:ascii="Wingdings" w:eastAsia="Wingdings" w:hAnsi="Wingdings" w:cs="Wingdings"/>
          <w:spacing w:val="-48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3"/>
          <w:sz w:val="24"/>
          <w:szCs w:val="24"/>
        </w:rPr>
        <w:t>制定日期和批准日期。</w:t>
      </w:r>
    </w:p>
    <w:p>
      <w:pPr>
        <w:pStyle w:val="BodyText"/>
        <w:spacing w:line="320" w:lineRule="auto"/>
      </w:pPr>
    </w:p>
    <w:p>
      <w:pPr>
        <w:pStyle w:val="BodyText"/>
        <w:spacing w:line="321" w:lineRule="auto"/>
      </w:pPr>
    </w:p>
    <w:p>
      <w:pPr>
        <w:spacing w:before="98" w:line="222" w:lineRule="auto"/>
        <w:ind w:left="17"/>
        <w:outlineLvl w:val="1"/>
        <w:rPr>
          <w:rFonts w:ascii="SimHei" w:eastAsia="SimHei" w:hAnsi="SimHei" w:cs="SimHei"/>
          <w:sz w:val="30"/>
          <w:szCs w:val="30"/>
        </w:rPr>
      </w:pPr>
      <w:bookmarkStart w:id="9" w:name="bookmark10"/>
      <w:bookmarkEnd w:id="9"/>
      <w:r>
        <w:rPr>
          <w:rFonts w:ascii="SimHei" w:eastAsia="SimHei" w:hAnsi="SimHei" w:cs="SimHei"/>
          <w:b/>
          <w:bCs/>
          <w:spacing w:val="-7"/>
          <w:sz w:val="30"/>
          <w:szCs w:val="30"/>
        </w:rPr>
        <w:t>4.3</w:t>
      </w:r>
      <w:r>
        <w:rPr>
          <w:rFonts w:ascii="SimHei" w:eastAsia="SimHei" w:hAnsi="SimHei" w:cs="SimHei"/>
          <w:spacing w:val="35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7"/>
          <w:sz w:val="30"/>
          <w:szCs w:val="30"/>
        </w:rPr>
        <w:t>内审的准备</w:t>
      </w:r>
    </w:p>
    <w:p>
      <w:pPr>
        <w:spacing w:before="286" w:line="222" w:lineRule="auto"/>
        <w:ind w:left="18"/>
        <w:rPr>
          <w:rFonts w:ascii="SimHei" w:eastAsia="SimHei" w:hAnsi="SimHei" w:cs="SimHei"/>
          <w:sz w:val="28"/>
          <w:szCs w:val="28"/>
        </w:rPr>
      </w:pPr>
      <w:r>
        <w:rPr>
          <w:rFonts w:ascii="Calibri" w:eastAsia="Calibri" w:hAnsi="Calibri" w:cs="Calibri"/>
          <w:b/>
          <w:bCs/>
          <w:spacing w:val="-4"/>
          <w:sz w:val="28"/>
          <w:szCs w:val="28"/>
        </w:rPr>
        <w:t>4.3.1</w:t>
      </w:r>
      <w:r>
        <w:rPr>
          <w:rFonts w:ascii="Calibri" w:eastAsia="Calibri" w:hAnsi="Calibri" w:cs="Calibri"/>
          <w:b/>
          <w:bCs/>
          <w:spacing w:val="16"/>
          <w:sz w:val="28"/>
          <w:szCs w:val="28"/>
        </w:rPr>
        <w:t xml:space="preserve">  </w:t>
      </w:r>
      <w:r>
        <w:rPr>
          <w:rFonts w:ascii="SimHei" w:eastAsia="SimHei" w:hAnsi="SimHei" w:cs="SimHei"/>
          <w:b/>
          <w:bCs/>
          <w:spacing w:val="-4"/>
          <w:sz w:val="28"/>
          <w:szCs w:val="28"/>
        </w:rPr>
        <w:t>计划编制</w:t>
      </w:r>
    </w:p>
    <w:p>
      <w:pPr>
        <w:spacing w:before="223" w:line="364" w:lineRule="auto"/>
        <w:ind w:left="21" w:firstLine="480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0"/>
          <w:sz w:val="24"/>
          <w:szCs w:val="24"/>
        </w:rPr>
        <w:t>每次内审之前，管理者代表指定内审组长，由内审组长提名经所在部门负</w:t>
      </w:r>
      <w:r>
        <w:rPr>
          <w:rFonts w:ascii="SimSun" w:eastAsia="SimSun" w:hAnsi="SimSun" w:cs="SimSun"/>
          <w:spacing w:val="-11"/>
          <w:sz w:val="24"/>
          <w:szCs w:val="24"/>
        </w:rPr>
        <w:t>责人</w:t>
      </w:r>
      <w:r>
        <w:rPr>
          <w:rFonts w:ascii="SimSun" w:eastAsia="SimSun" w:hAnsi="SimSun" w:cs="SimSun"/>
          <w:spacing w:val="-14"/>
          <w:sz w:val="24"/>
          <w:szCs w:val="24"/>
        </w:rPr>
        <w:t>同意组建内审组成员。内审组长编制本次内审的《内部审核实施计划》，报管理者代</w:t>
      </w:r>
      <w:r>
        <w:rPr>
          <w:rFonts w:ascii="SimSun" w:eastAsia="SimSun" w:hAnsi="SimSun" w:cs="SimSun"/>
          <w:spacing w:val="-13"/>
          <w:sz w:val="24"/>
          <w:szCs w:val="24"/>
        </w:rPr>
        <w:t>表批准后，质量部负责组织实施，在内审前一周将《内部审核实</w:t>
      </w:r>
      <w:r>
        <w:rPr>
          <w:rFonts w:ascii="SimSun" w:eastAsia="SimSun" w:hAnsi="SimSun" w:cs="SimSun"/>
          <w:spacing w:val="-14"/>
          <w:sz w:val="24"/>
          <w:szCs w:val="24"/>
        </w:rPr>
        <w:t>施计划》发至各个相</w:t>
      </w:r>
      <w:r>
        <w:rPr>
          <w:rFonts w:ascii="SimSun" w:eastAsia="SimSun" w:hAnsi="SimSun" w:cs="SimSun"/>
          <w:spacing w:val="-1"/>
          <w:sz w:val="24"/>
          <w:szCs w:val="24"/>
        </w:rPr>
        <w:t>关部门和各位内审员。</w:t>
      </w:r>
    </w:p>
    <w:p>
      <w:pPr>
        <w:spacing w:before="133" w:line="223" w:lineRule="auto"/>
        <w:ind w:left="18"/>
        <w:rPr>
          <w:rFonts w:ascii="SimHei" w:eastAsia="SimHei" w:hAnsi="SimHei" w:cs="SimHei"/>
          <w:sz w:val="28"/>
          <w:szCs w:val="28"/>
        </w:rPr>
      </w:pP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4.3.2</w:t>
      </w:r>
      <w:r>
        <w:rPr>
          <w:rFonts w:ascii="Calibri" w:eastAsia="Calibri" w:hAnsi="Calibri" w:cs="Calibri"/>
          <w:b/>
          <w:bCs/>
          <w:spacing w:val="24"/>
          <w:w w:val="101"/>
          <w:sz w:val="28"/>
          <w:szCs w:val="28"/>
        </w:rPr>
        <w:t xml:space="preserve">  </w:t>
      </w:r>
      <w:r>
        <w:rPr>
          <w:rFonts w:ascii="SimHei" w:eastAsia="SimHei" w:hAnsi="SimHei" w:cs="SimHei"/>
          <w:b/>
          <w:bCs/>
          <w:spacing w:val="-5"/>
          <w:sz w:val="28"/>
          <w:szCs w:val="28"/>
        </w:rPr>
        <w:t>内审计划内容</w:t>
      </w:r>
    </w:p>
    <w:p>
      <w:pPr>
        <w:spacing w:before="211"/>
        <w:ind w:left="5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6"/>
          <w:sz w:val="24"/>
          <w:szCs w:val="24"/>
        </w:rPr>
        <w:t>n</w:t>
      </w:r>
      <w:r>
        <w:rPr>
          <w:rFonts w:ascii="Wingdings" w:eastAsia="Wingdings" w:hAnsi="Wingdings" w:cs="Wingdings"/>
          <w:spacing w:val="-38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6"/>
          <w:sz w:val="24"/>
          <w:szCs w:val="24"/>
        </w:rPr>
        <w:t>审核的目的；</w:t>
      </w:r>
    </w:p>
    <w:p>
      <w:pPr>
        <w:spacing w:before="161"/>
        <w:ind w:left="5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6"/>
          <w:sz w:val="24"/>
          <w:szCs w:val="24"/>
        </w:rPr>
        <w:t>n</w:t>
      </w:r>
      <w:r>
        <w:rPr>
          <w:rFonts w:ascii="Wingdings" w:eastAsia="Wingdings" w:hAnsi="Wingdings" w:cs="Wingdings"/>
          <w:spacing w:val="-38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6"/>
          <w:sz w:val="24"/>
          <w:szCs w:val="24"/>
        </w:rPr>
        <w:t>审核的范围；</w:t>
      </w:r>
    </w:p>
    <w:p>
      <w:pPr>
        <w:spacing w:before="158" w:line="239" w:lineRule="auto"/>
        <w:ind w:left="5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6"/>
          <w:sz w:val="24"/>
          <w:szCs w:val="24"/>
        </w:rPr>
        <w:t>n</w:t>
      </w:r>
      <w:r>
        <w:rPr>
          <w:rFonts w:ascii="Wingdings" w:eastAsia="Wingdings" w:hAnsi="Wingdings" w:cs="Wingdings"/>
          <w:spacing w:val="-38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6"/>
          <w:sz w:val="24"/>
          <w:szCs w:val="24"/>
        </w:rPr>
        <w:t>审核的依据；</w:t>
      </w:r>
    </w:p>
    <w:p>
      <w:pPr>
        <w:spacing w:before="162"/>
        <w:ind w:left="5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3"/>
          <w:sz w:val="24"/>
          <w:szCs w:val="24"/>
        </w:rPr>
        <w:t>n</w:t>
      </w:r>
      <w:r>
        <w:rPr>
          <w:rFonts w:ascii="Wingdings" w:eastAsia="Wingdings" w:hAnsi="Wingdings" w:cs="Wingdings"/>
          <w:spacing w:val="-33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3"/>
          <w:sz w:val="24"/>
          <w:szCs w:val="24"/>
        </w:rPr>
        <w:t>审核组长和审核组其他成员名单；</w:t>
      </w:r>
    </w:p>
    <w:p>
      <w:pPr>
        <w:spacing w:before="159" w:line="239" w:lineRule="auto"/>
        <w:ind w:left="5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>n</w:t>
      </w:r>
      <w:r>
        <w:rPr>
          <w:rFonts w:ascii="Wingdings" w:eastAsia="Wingdings" w:hAnsi="Wingdings" w:cs="Wingdings"/>
          <w:spacing w:val="-43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2"/>
          <w:sz w:val="24"/>
          <w:szCs w:val="24"/>
        </w:rPr>
        <w:t>受审核部门及与该部门相关的质量要素；</w:t>
      </w:r>
    </w:p>
    <w:p>
      <w:pPr>
        <w:spacing w:before="162"/>
        <w:ind w:left="5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3"/>
          <w:sz w:val="24"/>
          <w:szCs w:val="24"/>
        </w:rPr>
        <w:t>n</w:t>
      </w:r>
      <w:r>
        <w:rPr>
          <w:rFonts w:ascii="Wingdings" w:eastAsia="Wingdings" w:hAnsi="Wingdings" w:cs="Wingdings"/>
          <w:spacing w:val="-36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3"/>
          <w:sz w:val="24"/>
          <w:szCs w:val="24"/>
        </w:rPr>
        <w:t>审核实施日期和具体日程安排；</w:t>
      </w:r>
    </w:p>
    <w:p>
      <w:pPr>
        <w:spacing w:before="160" w:line="238" w:lineRule="auto"/>
        <w:ind w:left="5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4"/>
          <w:sz w:val="24"/>
          <w:szCs w:val="24"/>
        </w:rPr>
        <w:t>n</w:t>
      </w:r>
      <w:r>
        <w:rPr>
          <w:rFonts w:ascii="Wingdings" w:eastAsia="Wingdings" w:hAnsi="Wingdings" w:cs="Wingdings"/>
          <w:spacing w:val="-37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4"/>
          <w:sz w:val="24"/>
          <w:szCs w:val="24"/>
        </w:rPr>
        <w:t>审核报告的完成时间。</w:t>
      </w:r>
    </w:p>
    <w:p>
      <w:pPr>
        <w:spacing w:before="312" w:line="222" w:lineRule="auto"/>
        <w:ind w:left="18"/>
        <w:rPr>
          <w:rFonts w:ascii="SimHei" w:eastAsia="SimHei" w:hAnsi="SimHei" w:cs="SimHei"/>
          <w:sz w:val="28"/>
          <w:szCs w:val="28"/>
        </w:rPr>
      </w:pP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4.3.3</w:t>
      </w:r>
      <w:r>
        <w:rPr>
          <w:rFonts w:ascii="Calibri" w:eastAsia="Calibri" w:hAnsi="Calibri" w:cs="Calibri"/>
          <w:b/>
          <w:bCs/>
          <w:spacing w:val="22"/>
          <w:sz w:val="28"/>
          <w:szCs w:val="28"/>
        </w:rPr>
        <w:t xml:space="preserve">  </w:t>
      </w:r>
      <w:r>
        <w:rPr>
          <w:rFonts w:ascii="SimHei" w:eastAsia="SimHei" w:hAnsi="SimHei" w:cs="SimHei"/>
          <w:b/>
          <w:bCs/>
          <w:spacing w:val="-5"/>
          <w:sz w:val="28"/>
          <w:szCs w:val="28"/>
        </w:rPr>
        <w:t>内审组成员</w:t>
      </w:r>
    </w:p>
    <w:p>
      <w:pPr>
        <w:spacing w:before="217" w:line="239" w:lineRule="auto"/>
        <w:ind w:left="5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3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3"/>
          <w:sz w:val="24"/>
          <w:szCs w:val="24"/>
        </w:rPr>
        <w:t>内审组成员必须与被审核内容的工作责任人无直接责任关系；</w:t>
      </w:r>
    </w:p>
    <w:p>
      <w:pPr>
        <w:spacing w:before="159" w:line="239" w:lineRule="auto"/>
        <w:ind w:left="5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4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4"/>
          <w:sz w:val="24"/>
          <w:szCs w:val="24"/>
        </w:rPr>
        <w:t>审核组成员必须经过培训且具有内审员资格。</w:t>
      </w:r>
    </w:p>
    <w:p>
      <w:pPr>
        <w:spacing w:before="310" w:line="222" w:lineRule="auto"/>
        <w:ind w:left="18"/>
        <w:rPr>
          <w:rFonts w:ascii="SimHei" w:eastAsia="SimHei" w:hAnsi="SimHei" w:cs="SimHei"/>
          <w:sz w:val="28"/>
          <w:szCs w:val="28"/>
        </w:rPr>
      </w:pPr>
      <w:r>
        <w:rPr>
          <w:rFonts w:ascii="Calibri" w:eastAsia="Calibri" w:hAnsi="Calibri" w:cs="Calibri"/>
          <w:b/>
          <w:bCs/>
          <w:spacing w:val="-1"/>
          <w:sz w:val="28"/>
          <w:szCs w:val="28"/>
        </w:rPr>
        <w:t xml:space="preserve">4.3.4  </w:t>
      </w:r>
      <w:r>
        <w:rPr>
          <w:rFonts w:ascii="SimHei" w:eastAsia="SimHei" w:hAnsi="SimHei" w:cs="SimHei"/>
          <w:b/>
          <w:bCs/>
          <w:spacing w:val="-1"/>
          <w:sz w:val="28"/>
          <w:szCs w:val="28"/>
        </w:rPr>
        <w:t>编制内审检查表</w:t>
      </w:r>
    </w:p>
    <w:p>
      <w:pPr>
        <w:spacing w:before="214" w:line="239" w:lineRule="auto"/>
        <w:ind w:left="5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>n</w:t>
      </w:r>
      <w:r>
        <w:rPr>
          <w:rFonts w:ascii="Wingdings" w:eastAsia="Wingdings" w:hAnsi="Wingdings" w:cs="Wingdings"/>
          <w:spacing w:val="-46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2"/>
          <w:sz w:val="24"/>
          <w:szCs w:val="24"/>
        </w:rPr>
        <w:t>在内审活动实施现场审核之前，内审组长组织内审组成员根据审核任务</w:t>
      </w:r>
    </w:p>
    <w:p>
      <w:pPr>
        <w:spacing w:before="171" w:line="219" w:lineRule="auto"/>
        <w:ind w:left="942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"/>
          <w:sz w:val="24"/>
          <w:szCs w:val="24"/>
        </w:rPr>
        <w:t>的分工不同，于内审实施前一天完成《内审检查表》的编制工</w:t>
      </w:r>
      <w:r>
        <w:rPr>
          <w:rFonts w:ascii="SimSun" w:eastAsia="SimSun" w:hAnsi="SimSun" w:cs="SimSun"/>
          <w:spacing w:val="-2"/>
          <w:sz w:val="24"/>
          <w:szCs w:val="24"/>
        </w:rPr>
        <w:t>作。</w:t>
      </w:r>
    </w:p>
    <w:p>
      <w:pPr>
        <w:spacing w:line="219" w:lineRule="auto"/>
        <w:rPr>
          <w:rFonts w:ascii="SimSun" w:eastAsia="SimSun" w:hAnsi="SimSun" w:cs="SimSun"/>
          <w:sz w:val="24"/>
          <w:szCs w:val="24"/>
        </w:rPr>
        <w:sectPr>
          <w:footerReference w:type="default" r:id="rId12"/>
          <w:pgSz w:w="11910" w:h="16840"/>
          <w:pgMar w:top="897" w:right="1710" w:bottom="1110" w:left="1786" w:header="0" w:footer="876" w:gutter="0"/>
          <w:cols w:space="720"/>
        </w:sectPr>
      </w:pPr>
    </w:p>
    <w:p>
      <w:pPr>
        <w:spacing w:line="442" w:lineRule="exact"/>
        <w:ind w:firstLine="12"/>
      </w:pPr>
      <w:r>
        <w:rPr>
          <w:position w:val="-8"/>
        </w:rPr>
        <w:drawing>
          <wp:inline distT="0" distB="0" distL="0" distR="0">
            <wp:extent cx="766952" cy="28102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6952" cy="2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1" w:line="329" w:lineRule="auto"/>
        <w:ind w:left="922" w:right="182" w:hanging="409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3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3"/>
          <w:sz w:val="24"/>
          <w:szCs w:val="24"/>
        </w:rPr>
        <w:t>内审检查表应简单列出需要检查的对象、需要被审核部门口头回答的问</w:t>
      </w:r>
      <w:r>
        <w:rPr>
          <w:rFonts w:ascii="SimSun" w:eastAsia="SimSun" w:hAnsi="SimSun" w:cs="SimSun"/>
          <w:spacing w:val="-7"/>
          <w:sz w:val="24"/>
          <w:szCs w:val="24"/>
        </w:rPr>
        <w:t>题、需要证实的一些过程、需要提交的记录、需要察看的环</w:t>
      </w:r>
      <w:r>
        <w:rPr>
          <w:rFonts w:ascii="SimSun" w:eastAsia="SimSun" w:hAnsi="SimSun" w:cs="SimSun"/>
          <w:spacing w:val="-8"/>
          <w:sz w:val="24"/>
          <w:szCs w:val="24"/>
        </w:rPr>
        <w:t>境、需要验</w:t>
      </w:r>
      <w:r>
        <w:rPr>
          <w:rFonts w:ascii="SimSun" w:eastAsia="SimSun" w:hAnsi="SimSun" w:cs="SimSun"/>
          <w:spacing w:val="-6"/>
          <w:sz w:val="24"/>
          <w:szCs w:val="24"/>
        </w:rPr>
        <w:t>证的结果等等，根据公司内部 ITSS 运维能力管理体系相关程序文件开</w:t>
      </w:r>
      <w:r>
        <w:rPr>
          <w:rFonts w:ascii="SimSun" w:eastAsia="SimSun" w:hAnsi="SimSun" w:cs="SimSun"/>
          <w:spacing w:val="-8"/>
          <w:sz w:val="24"/>
          <w:szCs w:val="24"/>
        </w:rPr>
        <w:t>展审核。应在现场审核之前预先做好准备。</w:t>
      </w:r>
    </w:p>
    <w:p>
      <w:pPr>
        <w:spacing w:before="180" w:line="295" w:lineRule="auto"/>
        <w:ind w:left="924" w:right="213" w:hanging="411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3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3"/>
          <w:sz w:val="24"/>
          <w:szCs w:val="24"/>
        </w:rPr>
        <w:t>审核的方式主要有：询问、查看、观察、</w:t>
      </w:r>
      <w:r>
        <w:rPr>
          <w:rFonts w:ascii="SimSun" w:eastAsia="SimSun" w:hAnsi="SimSun" w:cs="SimSun"/>
          <w:spacing w:val="-4"/>
          <w:sz w:val="24"/>
          <w:szCs w:val="24"/>
        </w:rPr>
        <w:t>记录、交谈等多种方式，并在</w:t>
      </w:r>
      <w:r>
        <w:rPr>
          <w:rFonts w:ascii="SimSun" w:eastAsia="SimSun" w:hAnsi="SimSun" w:cs="SimSun"/>
          <w:spacing w:val="-1"/>
          <w:sz w:val="24"/>
          <w:szCs w:val="24"/>
        </w:rPr>
        <w:t>现场审核之前根据审核的任务和问题预先选定审核的方式。</w:t>
      </w:r>
    </w:p>
    <w:p>
      <w:pPr>
        <w:pStyle w:val="BodyText"/>
        <w:spacing w:line="328" w:lineRule="auto"/>
      </w:pPr>
    </w:p>
    <w:p>
      <w:pPr>
        <w:pStyle w:val="BodyText"/>
        <w:spacing w:line="329" w:lineRule="auto"/>
      </w:pPr>
    </w:p>
    <w:p>
      <w:pPr>
        <w:spacing w:before="98" w:line="222" w:lineRule="auto"/>
        <w:ind w:left="17"/>
        <w:outlineLvl w:val="1"/>
        <w:rPr>
          <w:rFonts w:ascii="SimHei" w:eastAsia="SimHei" w:hAnsi="SimHei" w:cs="SimHei"/>
          <w:sz w:val="30"/>
          <w:szCs w:val="30"/>
        </w:rPr>
      </w:pPr>
      <w:bookmarkStart w:id="10" w:name="bookmark11"/>
      <w:bookmarkEnd w:id="10"/>
      <w:r>
        <w:rPr>
          <w:rFonts w:ascii="SimHei" w:eastAsia="SimHei" w:hAnsi="SimHei" w:cs="SimHei"/>
          <w:b/>
          <w:bCs/>
          <w:spacing w:val="-7"/>
          <w:sz w:val="30"/>
          <w:szCs w:val="30"/>
        </w:rPr>
        <w:t>4.4</w:t>
      </w:r>
      <w:r>
        <w:rPr>
          <w:rFonts w:ascii="SimHei" w:eastAsia="SimHei" w:hAnsi="SimHei" w:cs="SimHei"/>
          <w:spacing w:val="35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7"/>
          <w:sz w:val="30"/>
          <w:szCs w:val="30"/>
        </w:rPr>
        <w:t>内审的实施</w:t>
      </w:r>
    </w:p>
    <w:p>
      <w:pPr>
        <w:spacing w:before="286" w:line="222" w:lineRule="auto"/>
        <w:ind w:left="18"/>
        <w:rPr>
          <w:rFonts w:ascii="SimHei" w:eastAsia="SimHei" w:hAnsi="SimHei" w:cs="SimHei"/>
          <w:sz w:val="28"/>
          <w:szCs w:val="28"/>
        </w:rPr>
      </w:pPr>
      <w:r>
        <w:rPr>
          <w:rFonts w:ascii="Calibri" w:eastAsia="Calibri" w:hAnsi="Calibri" w:cs="Calibri"/>
          <w:b/>
          <w:bCs/>
          <w:spacing w:val="-4"/>
          <w:sz w:val="28"/>
          <w:szCs w:val="28"/>
        </w:rPr>
        <w:t>4.4.1</w:t>
      </w:r>
      <w:r>
        <w:rPr>
          <w:rFonts w:ascii="Calibri" w:eastAsia="Calibri" w:hAnsi="Calibri" w:cs="Calibri"/>
          <w:b/>
          <w:bCs/>
          <w:spacing w:val="16"/>
          <w:sz w:val="28"/>
          <w:szCs w:val="28"/>
        </w:rPr>
        <w:t xml:space="preserve">  </w:t>
      </w:r>
      <w:r>
        <w:rPr>
          <w:rFonts w:ascii="SimHei" w:eastAsia="SimHei" w:hAnsi="SimHei" w:cs="SimHei"/>
          <w:b/>
          <w:bCs/>
          <w:spacing w:val="-4"/>
          <w:sz w:val="28"/>
          <w:szCs w:val="28"/>
        </w:rPr>
        <w:t>首次会议</w:t>
      </w:r>
    </w:p>
    <w:p>
      <w:pPr>
        <w:spacing w:before="212" w:line="317" w:lineRule="auto"/>
        <w:ind w:left="921" w:right="242" w:hanging="408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14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14"/>
          <w:sz w:val="24"/>
          <w:szCs w:val="24"/>
        </w:rPr>
        <w:t>内审组长主持召开首次会议，并指派专人做好《内</w:t>
      </w:r>
      <w:r>
        <w:rPr>
          <w:rFonts w:ascii="SimSun" w:eastAsia="SimSun" w:hAnsi="SimSun" w:cs="SimSun"/>
          <w:spacing w:val="-15"/>
          <w:sz w:val="24"/>
          <w:szCs w:val="24"/>
        </w:rPr>
        <w:t>审首/末次会议记录》，</w:t>
      </w:r>
      <w:r>
        <w:rPr>
          <w:rFonts w:ascii="SimSun" w:eastAsia="SimSun" w:hAnsi="SimSun" w:cs="SimSun"/>
          <w:sz w:val="24"/>
          <w:szCs w:val="24"/>
        </w:rPr>
        <w:t>保存《内审首/末次会议签到表》。首次会议要</w:t>
      </w:r>
      <w:r>
        <w:rPr>
          <w:rFonts w:ascii="SimSun" w:eastAsia="SimSun" w:hAnsi="SimSun" w:cs="SimSun"/>
          <w:spacing w:val="-1"/>
          <w:sz w:val="24"/>
          <w:szCs w:val="24"/>
        </w:rPr>
        <w:t>求公司相关管理人员以</w:t>
      </w:r>
      <w:r>
        <w:rPr>
          <w:rFonts w:ascii="SimSun" w:eastAsia="SimSun" w:hAnsi="SimSun" w:cs="SimSun"/>
          <w:spacing w:val="-1"/>
          <w:sz w:val="24"/>
          <w:szCs w:val="24"/>
        </w:rPr>
        <w:t>及所有内审组成员参加，并按照会议要求签到。</w:t>
      </w:r>
    </w:p>
    <w:p>
      <w:pPr>
        <w:spacing w:before="182" w:line="295" w:lineRule="auto"/>
        <w:ind w:left="949" w:right="213" w:hanging="436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>n</w:t>
      </w:r>
      <w:r>
        <w:rPr>
          <w:rFonts w:ascii="Wingdings" w:eastAsia="Wingdings" w:hAnsi="Wingdings" w:cs="Wingdings"/>
          <w:spacing w:val="-46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2"/>
          <w:sz w:val="24"/>
          <w:szCs w:val="24"/>
        </w:rPr>
        <w:t>首次会议应该由内审组长宣读内审计划，并做出必要的解释。请求</w:t>
      </w:r>
      <w:r>
        <w:rPr>
          <w:rFonts w:ascii="SimSun" w:eastAsia="SimSun" w:hAnsi="SimSun" w:cs="SimSun"/>
          <w:spacing w:val="-3"/>
          <w:sz w:val="24"/>
          <w:szCs w:val="24"/>
        </w:rPr>
        <w:t>各部</w:t>
      </w:r>
      <w:r>
        <w:rPr>
          <w:rFonts w:ascii="SimSun" w:eastAsia="SimSun" w:hAnsi="SimSun" w:cs="SimSun"/>
          <w:spacing w:val="-2"/>
          <w:sz w:val="24"/>
          <w:szCs w:val="24"/>
        </w:rPr>
        <w:t>门予以配合并承诺对内审过程中涉及的信息进行保密。</w:t>
      </w:r>
    </w:p>
    <w:p>
      <w:pPr>
        <w:spacing w:before="178" w:line="239" w:lineRule="auto"/>
        <w:ind w:left="5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>n</w:t>
      </w:r>
      <w:r>
        <w:rPr>
          <w:rFonts w:ascii="Wingdings" w:eastAsia="Wingdings" w:hAnsi="Wingdings" w:cs="Wingdings"/>
          <w:spacing w:val="-45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2"/>
          <w:sz w:val="24"/>
          <w:szCs w:val="24"/>
        </w:rPr>
        <w:t>首次会议的时间通常不超过半个小时。</w:t>
      </w:r>
    </w:p>
    <w:p>
      <w:pPr>
        <w:spacing w:before="310" w:line="222" w:lineRule="auto"/>
        <w:ind w:left="18"/>
        <w:rPr>
          <w:rFonts w:ascii="SimHei" w:eastAsia="SimHei" w:hAnsi="SimHei" w:cs="SimHei"/>
          <w:sz w:val="28"/>
          <w:szCs w:val="28"/>
        </w:rPr>
      </w:pPr>
      <w:r>
        <w:rPr>
          <w:rFonts w:ascii="Calibri" w:eastAsia="Calibri" w:hAnsi="Calibri" w:cs="Calibri"/>
          <w:b/>
          <w:bCs/>
          <w:spacing w:val="-4"/>
          <w:sz w:val="28"/>
          <w:szCs w:val="28"/>
        </w:rPr>
        <w:t>4.4.2</w:t>
      </w:r>
      <w:r>
        <w:rPr>
          <w:rFonts w:ascii="Calibri" w:eastAsia="Calibri" w:hAnsi="Calibri" w:cs="Calibri"/>
          <w:b/>
          <w:bCs/>
          <w:spacing w:val="19"/>
          <w:sz w:val="28"/>
          <w:szCs w:val="28"/>
        </w:rPr>
        <w:t xml:space="preserve">  </w:t>
      </w:r>
      <w:r>
        <w:rPr>
          <w:rFonts w:ascii="SimHei" w:eastAsia="SimHei" w:hAnsi="SimHei" w:cs="SimHei"/>
          <w:b/>
          <w:bCs/>
          <w:spacing w:val="-4"/>
          <w:sz w:val="28"/>
          <w:szCs w:val="28"/>
        </w:rPr>
        <w:t>实施现场审核</w:t>
      </w:r>
    </w:p>
    <w:p>
      <w:pPr>
        <w:spacing w:before="212" w:line="295" w:lineRule="auto"/>
        <w:ind w:left="923" w:right="175" w:hanging="41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2"/>
          <w:sz w:val="24"/>
          <w:szCs w:val="24"/>
        </w:rPr>
        <w:t>审核过程中，根据审核组长的安排，各审核小组应该</w:t>
      </w:r>
      <w:r>
        <w:rPr>
          <w:rFonts w:ascii="SimSun" w:eastAsia="SimSun" w:hAnsi="SimSun" w:cs="SimSun"/>
          <w:spacing w:val="-3"/>
          <w:sz w:val="24"/>
          <w:szCs w:val="24"/>
        </w:rPr>
        <w:t>密切合作，充分交</w:t>
      </w:r>
      <w:r>
        <w:rPr>
          <w:rFonts w:ascii="SimSun" w:eastAsia="SimSun" w:hAnsi="SimSun" w:cs="SimSun"/>
          <w:spacing w:val="-1"/>
          <w:sz w:val="24"/>
          <w:szCs w:val="24"/>
        </w:rPr>
        <w:t>流，遇到困难请审核组长出面协调解决。</w:t>
      </w:r>
    </w:p>
    <w:p>
      <w:pPr>
        <w:spacing w:before="179" w:line="318" w:lineRule="auto"/>
        <w:ind w:left="922" w:hanging="409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1"/>
          <w:sz w:val="24"/>
          <w:szCs w:val="24"/>
        </w:rPr>
        <w:t>n</w:t>
      </w:r>
      <w:r>
        <w:rPr>
          <w:rFonts w:ascii="Wingdings" w:eastAsia="Wingdings" w:hAnsi="Wingdings" w:cs="Wingdings"/>
          <w:spacing w:val="-48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1"/>
          <w:sz w:val="24"/>
          <w:szCs w:val="24"/>
        </w:rPr>
        <w:t>在审核过程中，通过交谈、查阅文件或资料、观察现场、检查原始记录</w:t>
      </w:r>
      <w:r>
        <w:rPr>
          <w:rFonts w:ascii="SimSun" w:eastAsia="SimSun" w:hAnsi="SimSun" w:cs="SimSun"/>
          <w:spacing w:val="2"/>
          <w:sz w:val="24"/>
          <w:szCs w:val="24"/>
        </w:rPr>
        <w:t>等方式获取证据，将发现的不符合情况填写在检查表“审核检查记录</w:t>
      </w:r>
      <w:r>
        <w:rPr>
          <w:rFonts w:ascii="SimSun" w:eastAsia="SimSun" w:hAnsi="SimSun" w:cs="SimSun"/>
          <w:spacing w:val="-71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2"/>
          <w:sz w:val="24"/>
          <w:szCs w:val="24"/>
        </w:rPr>
        <w:t>”</w:t>
      </w:r>
      <w:r>
        <w:rPr>
          <w:rFonts w:ascii="SimSun" w:eastAsia="SimSun" w:hAnsi="SimSun" w:cs="SimSun"/>
          <w:spacing w:val="-4"/>
          <w:sz w:val="24"/>
          <w:szCs w:val="24"/>
        </w:rPr>
        <w:t>栏中。</w:t>
      </w:r>
    </w:p>
    <w:p>
      <w:pPr>
        <w:spacing w:before="179" w:line="294" w:lineRule="auto"/>
        <w:ind w:left="920" w:right="175" w:hanging="407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2"/>
          <w:sz w:val="24"/>
          <w:szCs w:val="24"/>
        </w:rPr>
        <w:t>审核组根据内审检查表集中讨论并经内审组长同意后</w:t>
      </w:r>
      <w:r>
        <w:rPr>
          <w:rFonts w:ascii="SimSun" w:eastAsia="SimSun" w:hAnsi="SimSun" w:cs="SimSun"/>
          <w:spacing w:val="-3"/>
          <w:sz w:val="24"/>
          <w:szCs w:val="24"/>
        </w:rPr>
        <w:t>填写《内审不合格</w:t>
      </w:r>
      <w:r>
        <w:rPr>
          <w:rFonts w:ascii="SimSun" w:eastAsia="SimSun" w:hAnsi="SimSun" w:cs="SimSun"/>
          <w:spacing w:val="-1"/>
          <w:sz w:val="24"/>
          <w:szCs w:val="24"/>
        </w:rPr>
        <w:t>报告》，由不合格问题的发现部门负责人签字认可。</w:t>
      </w:r>
    </w:p>
    <w:p>
      <w:pPr>
        <w:spacing w:before="180" w:line="238" w:lineRule="auto"/>
        <w:ind w:left="5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>n</w:t>
      </w:r>
      <w:r>
        <w:rPr>
          <w:rFonts w:ascii="Wingdings" w:eastAsia="Wingdings" w:hAnsi="Wingdings" w:cs="Wingdings"/>
          <w:spacing w:val="-35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2"/>
          <w:sz w:val="24"/>
          <w:szCs w:val="24"/>
        </w:rPr>
        <w:t>不符合报告单涉及的不合格项的性质主要有三类：</w:t>
      </w:r>
    </w:p>
    <w:p>
      <w:pPr>
        <w:spacing w:before="161" w:line="227" w:lineRule="auto"/>
        <w:ind w:left="753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position w:val="-4"/>
          <w:sz w:val="24"/>
          <w:szCs w:val="24"/>
        </w:rPr>
        <w:drawing>
          <wp:inline distT="0" distB="0" distL="0" distR="0">
            <wp:extent cx="122986" cy="168859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111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1"/>
          <w:sz w:val="24"/>
          <w:szCs w:val="24"/>
        </w:rPr>
        <w:t>体系性不合格：内部服务管理体系文件不符合标准的要求；</w:t>
      </w:r>
    </w:p>
    <w:p>
      <w:pPr>
        <w:pStyle w:val="BodyText"/>
        <w:spacing w:line="258" w:lineRule="auto"/>
      </w:pPr>
    </w:p>
    <w:p>
      <w:pPr>
        <w:spacing w:before="78" w:line="220" w:lineRule="auto"/>
        <w:ind w:left="753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position w:val="-5"/>
          <w:sz w:val="24"/>
          <w:szCs w:val="24"/>
        </w:rPr>
        <w:drawing>
          <wp:inline distT="0" distB="0" distL="0" distR="0">
            <wp:extent cx="122986" cy="168859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109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1"/>
          <w:sz w:val="24"/>
          <w:szCs w:val="24"/>
        </w:rPr>
        <w:t>实施性不合格：实际操作没有按照程序文件要求执行；</w:t>
      </w:r>
    </w:p>
    <w:p>
      <w:pPr>
        <w:pStyle w:val="BodyText"/>
        <w:spacing w:line="264" w:lineRule="auto"/>
      </w:pPr>
    </w:p>
    <w:p>
      <w:pPr>
        <w:spacing w:before="79" w:line="227" w:lineRule="auto"/>
        <w:ind w:left="753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position w:val="-4"/>
          <w:sz w:val="24"/>
          <w:szCs w:val="24"/>
        </w:rPr>
        <w:drawing>
          <wp:inline distT="0" distB="0" distL="0" distR="0">
            <wp:extent cx="122986" cy="168859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108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1"/>
          <w:sz w:val="24"/>
          <w:szCs w:val="24"/>
        </w:rPr>
        <w:t>效果性不合格：实施效果没有达到预期目标的要求。</w:t>
      </w:r>
    </w:p>
    <w:p>
      <w:pPr>
        <w:spacing w:line="227" w:lineRule="auto"/>
        <w:rPr>
          <w:rFonts w:ascii="SimSun" w:eastAsia="SimSun" w:hAnsi="SimSun" w:cs="SimSun"/>
          <w:sz w:val="24"/>
          <w:szCs w:val="24"/>
        </w:rPr>
        <w:sectPr>
          <w:footerReference w:type="default" r:id="rId15"/>
          <w:pgSz w:w="11910" w:h="16840"/>
          <w:pgMar w:top="897" w:right="1647" w:bottom="1110" w:left="1786" w:header="0" w:footer="876" w:gutter="0"/>
          <w:cols w:space="720"/>
        </w:sectPr>
      </w:pPr>
    </w:p>
    <w:p>
      <w:pPr>
        <w:spacing w:line="442" w:lineRule="exact"/>
        <w:ind w:firstLine="12"/>
      </w:pPr>
      <w:r>
        <w:rPr>
          <w:position w:val="-8"/>
        </w:rPr>
        <w:drawing>
          <wp:inline distT="0" distB="0" distL="0" distR="0">
            <wp:extent cx="766952" cy="28102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6952" cy="2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93" w:line="222" w:lineRule="auto"/>
        <w:ind w:left="18"/>
        <w:rPr>
          <w:rFonts w:ascii="SimHei" w:eastAsia="SimHei" w:hAnsi="SimHei" w:cs="SimHei"/>
          <w:sz w:val="28"/>
          <w:szCs w:val="28"/>
        </w:rPr>
      </w:pPr>
      <w:r>
        <w:rPr>
          <w:rFonts w:ascii="Calibri" w:eastAsia="Calibri" w:hAnsi="Calibri" w:cs="Calibri"/>
          <w:b/>
          <w:bCs/>
          <w:spacing w:val="-4"/>
          <w:sz w:val="28"/>
          <w:szCs w:val="28"/>
        </w:rPr>
        <w:t>4.4.3</w:t>
      </w:r>
      <w:r>
        <w:rPr>
          <w:rFonts w:ascii="Calibri" w:eastAsia="Calibri" w:hAnsi="Calibri" w:cs="Calibri"/>
          <w:b/>
          <w:bCs/>
          <w:spacing w:val="16"/>
          <w:sz w:val="28"/>
          <w:szCs w:val="28"/>
        </w:rPr>
        <w:t xml:space="preserve">  </w:t>
      </w:r>
      <w:r>
        <w:rPr>
          <w:rFonts w:ascii="SimHei" w:eastAsia="SimHei" w:hAnsi="SimHei" w:cs="SimHei"/>
          <w:b/>
          <w:bCs/>
          <w:spacing w:val="-4"/>
          <w:sz w:val="28"/>
          <w:szCs w:val="28"/>
        </w:rPr>
        <w:t>末次会议</w:t>
      </w:r>
    </w:p>
    <w:p>
      <w:pPr>
        <w:spacing w:before="210" w:line="329" w:lineRule="auto"/>
        <w:ind w:left="922" w:right="16" w:hanging="409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z w:val="24"/>
          <w:szCs w:val="24"/>
        </w:rPr>
        <w:t>n</w:t>
      </w:r>
      <w:r>
        <w:rPr>
          <w:rFonts w:ascii="Wingdings" w:eastAsia="Wingdings" w:hAnsi="Wingdings" w:cs="Wingdings"/>
          <w:spacing w:val="-48"/>
          <w:sz w:val="24"/>
          <w:szCs w:val="24"/>
        </w:rPr>
        <w:t xml:space="preserve"> </w:t>
      </w:r>
      <w:r>
        <w:rPr>
          <w:rFonts w:ascii="SimSun" w:eastAsia="SimSun" w:hAnsi="SimSun" w:cs="SimSun"/>
          <w:sz w:val="24"/>
          <w:szCs w:val="24"/>
        </w:rPr>
        <w:t>现场审核完成后，召开末次会议。原则上末次会议的参加人员应该</w:t>
      </w:r>
      <w:r>
        <w:rPr>
          <w:rFonts w:ascii="SimSun" w:eastAsia="SimSun" w:hAnsi="SimSun" w:cs="SimSun"/>
          <w:spacing w:val="-1"/>
          <w:sz w:val="24"/>
          <w:szCs w:val="24"/>
        </w:rPr>
        <w:t>是所</w:t>
      </w:r>
      <w:r>
        <w:rPr>
          <w:rFonts w:ascii="SimSun" w:eastAsia="SimSun" w:hAnsi="SimSun" w:cs="SimSun"/>
          <w:spacing w:val="-1"/>
          <w:sz w:val="24"/>
          <w:szCs w:val="24"/>
        </w:rPr>
        <w:t>有首次会议的参加人员。末次会议由内审组长主持召开，并指</w:t>
      </w:r>
      <w:r>
        <w:rPr>
          <w:rFonts w:ascii="SimSun" w:eastAsia="SimSun" w:hAnsi="SimSun" w:cs="SimSun"/>
          <w:spacing w:val="-2"/>
          <w:sz w:val="24"/>
          <w:szCs w:val="24"/>
        </w:rPr>
        <w:t>派专人做</w:t>
      </w:r>
      <w:r>
        <w:rPr>
          <w:rFonts w:ascii="SimSun" w:eastAsia="SimSun" w:hAnsi="SimSun" w:cs="SimSun"/>
          <w:spacing w:val="-1"/>
          <w:sz w:val="24"/>
          <w:szCs w:val="24"/>
        </w:rPr>
        <w:t>好《首/末次会议记录》，所有参会人员按照要求签到，并保存《首/末</w:t>
      </w:r>
      <w:r>
        <w:rPr>
          <w:rFonts w:ascii="SimSun" w:eastAsia="SimSun" w:hAnsi="SimSun" w:cs="SimSun"/>
          <w:spacing w:val="-2"/>
          <w:sz w:val="24"/>
          <w:szCs w:val="24"/>
        </w:rPr>
        <w:t>次会议签到表》。</w:t>
      </w:r>
    </w:p>
    <w:p>
      <w:pPr>
        <w:spacing w:before="178" w:line="318" w:lineRule="auto"/>
        <w:ind w:left="922" w:right="24" w:hanging="409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z w:val="24"/>
          <w:szCs w:val="24"/>
        </w:rPr>
        <w:t>n</w:t>
      </w:r>
      <w:r>
        <w:rPr>
          <w:rFonts w:ascii="Wingdings" w:eastAsia="Wingdings" w:hAnsi="Wingdings" w:cs="Wingdings"/>
          <w:spacing w:val="-45"/>
          <w:sz w:val="24"/>
          <w:szCs w:val="24"/>
        </w:rPr>
        <w:t xml:space="preserve"> </w:t>
      </w:r>
      <w:r>
        <w:rPr>
          <w:rFonts w:ascii="SimSun" w:eastAsia="SimSun" w:hAnsi="SimSun" w:cs="SimSun"/>
          <w:sz w:val="24"/>
          <w:szCs w:val="24"/>
        </w:rPr>
        <w:t>末次会议主要内容是审核组对观察结果做汇总分析，宣读不合格报告，</w:t>
      </w:r>
      <w:r>
        <w:rPr>
          <w:rFonts w:ascii="SimSun" w:eastAsia="SimSun" w:hAnsi="SimSun" w:cs="SimSun"/>
          <w:spacing w:val="-1"/>
          <w:sz w:val="24"/>
          <w:szCs w:val="24"/>
        </w:rPr>
        <w:t>指出问题所在，做出该受审部门或过程在整个质量体系的质量</w:t>
      </w:r>
      <w:r>
        <w:rPr>
          <w:rFonts w:ascii="SimSun" w:eastAsia="SimSun" w:hAnsi="SimSun" w:cs="SimSun"/>
          <w:spacing w:val="-2"/>
          <w:sz w:val="24"/>
          <w:szCs w:val="24"/>
        </w:rPr>
        <w:t>活动中是</w:t>
      </w:r>
      <w:r>
        <w:rPr>
          <w:rFonts w:ascii="SimSun" w:eastAsia="SimSun" w:hAnsi="SimSun" w:cs="SimSun"/>
          <w:spacing w:val="-1"/>
          <w:sz w:val="24"/>
          <w:szCs w:val="24"/>
        </w:rPr>
        <w:t>好的、基本上是好的或问题较多、有待改进等结论性意见。</w:t>
      </w:r>
    </w:p>
    <w:p>
      <w:pPr>
        <w:spacing w:before="180" w:line="295" w:lineRule="auto"/>
        <w:ind w:left="921" w:right="52" w:hanging="408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1"/>
          <w:sz w:val="24"/>
          <w:szCs w:val="24"/>
        </w:rPr>
        <w:t>n</w:t>
      </w:r>
      <w:r>
        <w:rPr>
          <w:rFonts w:ascii="Wingdings" w:eastAsia="Wingdings" w:hAnsi="Wingdings" w:cs="Wingdings"/>
          <w:spacing w:val="-42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1"/>
          <w:sz w:val="24"/>
          <w:szCs w:val="24"/>
        </w:rPr>
        <w:t>末次会议的时间根据内审发现问题的多少和严重程度可长可短，但通常</w:t>
      </w:r>
      <w:r>
        <w:rPr>
          <w:rFonts w:ascii="SimSun" w:eastAsia="SimSun" w:hAnsi="SimSun" w:cs="SimSun"/>
          <w:spacing w:val="-1"/>
          <w:sz w:val="24"/>
          <w:szCs w:val="24"/>
        </w:rPr>
        <w:t>在半小时到一小时之间为宜。</w:t>
      </w:r>
    </w:p>
    <w:p>
      <w:pPr>
        <w:pStyle w:val="BodyText"/>
        <w:spacing w:line="329" w:lineRule="auto"/>
      </w:pPr>
    </w:p>
    <w:p>
      <w:pPr>
        <w:pStyle w:val="BodyText"/>
        <w:spacing w:line="330" w:lineRule="auto"/>
      </w:pPr>
    </w:p>
    <w:p>
      <w:pPr>
        <w:spacing w:before="98" w:line="222" w:lineRule="auto"/>
        <w:ind w:left="17"/>
        <w:outlineLvl w:val="1"/>
        <w:rPr>
          <w:rFonts w:ascii="SimHei" w:eastAsia="SimHei" w:hAnsi="SimHei" w:cs="SimHei"/>
          <w:sz w:val="30"/>
          <w:szCs w:val="30"/>
        </w:rPr>
      </w:pPr>
      <w:bookmarkStart w:id="11" w:name="bookmark12"/>
      <w:bookmarkEnd w:id="11"/>
      <w:r>
        <w:rPr>
          <w:rFonts w:ascii="SimHei" w:eastAsia="SimHei" w:hAnsi="SimHei" w:cs="SimHei"/>
          <w:b/>
          <w:bCs/>
          <w:spacing w:val="-6"/>
          <w:sz w:val="30"/>
          <w:szCs w:val="30"/>
        </w:rPr>
        <w:t>4.5</w:t>
      </w:r>
      <w:r>
        <w:rPr>
          <w:rFonts w:ascii="SimHei" w:eastAsia="SimHei" w:hAnsi="SimHei" w:cs="SimHei"/>
          <w:spacing w:val="35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6"/>
          <w:sz w:val="30"/>
          <w:szCs w:val="30"/>
        </w:rPr>
        <w:t>内审的后续工作</w:t>
      </w:r>
    </w:p>
    <w:p>
      <w:pPr>
        <w:spacing w:before="284" w:line="222" w:lineRule="auto"/>
        <w:ind w:left="18"/>
        <w:rPr>
          <w:rFonts w:ascii="SimHei" w:eastAsia="SimHei" w:hAnsi="SimHei" w:cs="SimHei"/>
          <w:sz w:val="28"/>
          <w:szCs w:val="28"/>
        </w:rPr>
      </w:pP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>4.5.1</w:t>
      </w:r>
      <w:r>
        <w:rPr>
          <w:rFonts w:ascii="Calibri" w:eastAsia="Calibri" w:hAnsi="Calibri" w:cs="Calibri"/>
          <w:b/>
          <w:bCs/>
          <w:spacing w:val="13"/>
          <w:sz w:val="28"/>
          <w:szCs w:val="28"/>
        </w:rPr>
        <w:t xml:space="preserve">  </w:t>
      </w:r>
      <w:r>
        <w:rPr>
          <w:rFonts w:ascii="SimHei" w:eastAsia="SimHei" w:hAnsi="SimHei" w:cs="SimHei"/>
          <w:b/>
          <w:bCs/>
          <w:spacing w:val="-3"/>
          <w:sz w:val="28"/>
          <w:szCs w:val="28"/>
        </w:rPr>
        <w:t>完成内审报告</w:t>
      </w:r>
    </w:p>
    <w:p>
      <w:pPr>
        <w:spacing w:before="213" w:line="318" w:lineRule="auto"/>
        <w:ind w:left="925" w:hanging="412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1"/>
          <w:sz w:val="24"/>
          <w:szCs w:val="24"/>
        </w:rPr>
        <w:t>n</w:t>
      </w:r>
      <w:r>
        <w:rPr>
          <w:rFonts w:ascii="Wingdings" w:eastAsia="Wingdings" w:hAnsi="Wingdings" w:cs="Wingdings"/>
          <w:spacing w:val="-49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1"/>
          <w:sz w:val="24"/>
          <w:szCs w:val="24"/>
        </w:rPr>
        <w:t>执行了内部现场审核后，内审组长根据内审情况在一周时间内提交《内</w:t>
      </w:r>
      <w:r>
        <w:rPr>
          <w:rFonts w:ascii="SimSun" w:eastAsia="SimSun" w:hAnsi="SimSun" w:cs="SimSun"/>
          <w:spacing w:val="-16"/>
          <w:sz w:val="24"/>
          <w:szCs w:val="24"/>
        </w:rPr>
        <w:t>审报告》</w:t>
      </w:r>
      <w:r>
        <w:rPr>
          <w:rFonts w:ascii="SimSun" w:eastAsia="SimSun" w:hAnsi="SimSun" w:cs="SimSun"/>
          <w:spacing w:val="-15"/>
          <w:sz w:val="24"/>
          <w:szCs w:val="24"/>
        </w:rPr>
        <w:t>，对本次内审做全面总结，对不合格报告的关闭期限做出规定。</w:t>
      </w:r>
      <w:r>
        <w:rPr>
          <w:rFonts w:ascii="SimSun" w:eastAsia="SimSun" w:hAnsi="SimSun" w:cs="SimSun"/>
          <w:spacing w:val="-11"/>
          <w:sz w:val="24"/>
          <w:szCs w:val="24"/>
        </w:rPr>
        <w:t>经</w:t>
      </w:r>
      <w:r>
        <w:rPr>
          <w:rFonts w:ascii="SimSun" w:eastAsia="SimSun" w:hAnsi="SimSun" w:cs="SimSun"/>
          <w:spacing w:val="-1"/>
          <w:sz w:val="24"/>
          <w:szCs w:val="24"/>
        </w:rPr>
        <w:t>分管领导批准后下发至各部门。</w:t>
      </w:r>
    </w:p>
    <w:p>
      <w:pPr>
        <w:spacing w:before="180" w:line="317" w:lineRule="auto"/>
        <w:ind w:left="921" w:right="24" w:hanging="408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z w:val="24"/>
          <w:szCs w:val="24"/>
        </w:rPr>
        <w:t>n</w:t>
      </w:r>
      <w:r>
        <w:rPr>
          <w:rFonts w:ascii="Wingdings" w:eastAsia="Wingdings" w:hAnsi="Wingdings" w:cs="Wingdings"/>
          <w:spacing w:val="-50"/>
          <w:sz w:val="24"/>
          <w:szCs w:val="24"/>
        </w:rPr>
        <w:t xml:space="preserve"> </w:t>
      </w:r>
      <w:r>
        <w:rPr>
          <w:rFonts w:ascii="SimSun" w:eastAsia="SimSun" w:hAnsi="SimSun" w:cs="SimSun"/>
          <w:sz w:val="24"/>
          <w:szCs w:val="24"/>
        </w:rPr>
        <w:t>在每年的内审之后，负责体系建设和维护的部门应该对本年度的内审工</w:t>
      </w:r>
      <w:r>
        <w:rPr>
          <w:rFonts w:ascii="SimSun" w:eastAsia="SimSun" w:hAnsi="SimSun" w:cs="SimSun"/>
          <w:spacing w:val="-1"/>
          <w:sz w:val="24"/>
          <w:szCs w:val="24"/>
        </w:rPr>
        <w:t>作做一个全面总结，主要总结体系运行良好的方面、不合格的分</w:t>
      </w:r>
      <w:r>
        <w:rPr>
          <w:rFonts w:ascii="SimSun" w:eastAsia="SimSun" w:hAnsi="SimSun" w:cs="SimSun"/>
          <w:spacing w:val="-2"/>
          <w:sz w:val="24"/>
          <w:szCs w:val="24"/>
        </w:rPr>
        <w:t>布。年</w:t>
      </w:r>
      <w:r>
        <w:rPr>
          <w:rFonts w:ascii="SimSun" w:eastAsia="SimSun" w:hAnsi="SimSun" w:cs="SimSun"/>
          <w:spacing w:val="-1"/>
          <w:sz w:val="24"/>
          <w:szCs w:val="24"/>
        </w:rPr>
        <w:t>度内审总结报告作为管理评审的输入提交管理评审大会。</w:t>
      </w:r>
    </w:p>
    <w:p>
      <w:pPr>
        <w:spacing w:before="325" w:line="224" w:lineRule="auto"/>
        <w:ind w:left="18"/>
        <w:rPr>
          <w:rFonts w:ascii="SimHei" w:eastAsia="SimHei" w:hAnsi="SimHei" w:cs="SimHei"/>
          <w:sz w:val="28"/>
          <w:szCs w:val="28"/>
        </w:rPr>
      </w:pPr>
      <w:r>
        <w:rPr>
          <w:rFonts w:ascii="Calibri" w:eastAsia="Calibri" w:hAnsi="Calibri" w:cs="Calibri"/>
          <w:b/>
          <w:bCs/>
          <w:spacing w:val="-3"/>
          <w:sz w:val="28"/>
          <w:szCs w:val="28"/>
        </w:rPr>
        <w:t>4.5.2</w:t>
      </w:r>
      <w:r>
        <w:rPr>
          <w:rFonts w:ascii="Calibri" w:eastAsia="Calibri" w:hAnsi="Calibri" w:cs="Calibri"/>
          <w:b/>
          <w:bCs/>
          <w:spacing w:val="14"/>
          <w:sz w:val="28"/>
          <w:szCs w:val="28"/>
        </w:rPr>
        <w:t xml:space="preserve">  </w:t>
      </w:r>
      <w:r>
        <w:rPr>
          <w:rFonts w:ascii="SimHei" w:eastAsia="SimHei" w:hAnsi="SimHei" w:cs="SimHei"/>
          <w:b/>
          <w:bCs/>
          <w:spacing w:val="-3"/>
          <w:sz w:val="28"/>
          <w:szCs w:val="28"/>
        </w:rPr>
        <w:t>不合格报告的处理</w:t>
      </w:r>
    </w:p>
    <w:p>
      <w:pPr>
        <w:spacing w:before="222" w:line="366" w:lineRule="auto"/>
        <w:ind w:left="42" w:right="132" w:firstLine="464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6"/>
          <w:sz w:val="24"/>
          <w:szCs w:val="24"/>
        </w:rPr>
        <w:t>不合格的责任部门负责制定纠正及纠正措施，内审员负</w:t>
      </w:r>
      <w:r>
        <w:rPr>
          <w:rFonts w:ascii="SimSun" w:eastAsia="SimSun" w:hAnsi="SimSun" w:cs="SimSun"/>
          <w:spacing w:val="-7"/>
          <w:sz w:val="24"/>
          <w:szCs w:val="24"/>
        </w:rPr>
        <w:t>责对纠正及纠正措施</w:t>
      </w:r>
      <w:r>
        <w:rPr>
          <w:rFonts w:ascii="SimSun" w:eastAsia="SimSun" w:hAnsi="SimSun" w:cs="SimSun"/>
          <w:spacing w:val="-3"/>
          <w:sz w:val="24"/>
          <w:szCs w:val="24"/>
        </w:rPr>
        <w:t>的实施情况进行跟踪验证。</w:t>
      </w:r>
    </w:p>
    <w:p>
      <w:pPr>
        <w:spacing w:before="140" w:line="239" w:lineRule="auto"/>
        <w:ind w:left="5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4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4"/>
          <w:sz w:val="24"/>
          <w:szCs w:val="24"/>
        </w:rPr>
        <w:t>内审的结果应予以保存并作为管理评审的输入。</w:t>
      </w:r>
    </w:p>
    <w:p>
      <w:pPr>
        <w:spacing w:before="162" w:line="239" w:lineRule="auto"/>
        <w:ind w:left="5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>n</w:t>
      </w:r>
      <w:r>
        <w:rPr>
          <w:rFonts w:ascii="Wingdings" w:eastAsia="Wingdings" w:hAnsi="Wingdings" w:cs="Wingdings"/>
          <w:spacing w:val="-33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2"/>
          <w:sz w:val="24"/>
          <w:szCs w:val="24"/>
        </w:rPr>
        <w:t>本次内审中发现的问题应在下一次内审时重新审核。</w:t>
      </w:r>
    </w:p>
    <w:p>
      <w:pPr>
        <w:pStyle w:val="BodyText"/>
        <w:spacing w:line="322" w:lineRule="auto"/>
      </w:pPr>
    </w:p>
    <w:p>
      <w:pPr>
        <w:pStyle w:val="BodyText"/>
        <w:spacing w:line="323" w:lineRule="auto"/>
      </w:pPr>
    </w:p>
    <w:p>
      <w:pPr>
        <w:spacing w:before="98" w:line="222" w:lineRule="auto"/>
        <w:ind w:left="17"/>
        <w:outlineLvl w:val="1"/>
        <w:rPr>
          <w:rFonts w:ascii="SimHei" w:eastAsia="SimHei" w:hAnsi="SimHei" w:cs="SimHei"/>
          <w:sz w:val="30"/>
          <w:szCs w:val="30"/>
        </w:rPr>
      </w:pPr>
      <w:bookmarkStart w:id="12" w:name="bookmark13"/>
      <w:bookmarkEnd w:id="12"/>
      <w:r>
        <w:rPr>
          <w:rFonts w:ascii="SimHei" w:eastAsia="SimHei" w:hAnsi="SimHei" w:cs="SimHei"/>
          <w:b/>
          <w:bCs/>
          <w:spacing w:val="-7"/>
          <w:sz w:val="30"/>
          <w:szCs w:val="30"/>
        </w:rPr>
        <w:t>4.6</w:t>
      </w:r>
      <w:r>
        <w:rPr>
          <w:rFonts w:ascii="SimHei" w:eastAsia="SimHei" w:hAnsi="SimHei" w:cs="SimHei"/>
          <w:spacing w:val="35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7"/>
          <w:sz w:val="30"/>
          <w:szCs w:val="30"/>
        </w:rPr>
        <w:t>内审的频次</w:t>
      </w:r>
    </w:p>
    <w:p>
      <w:pPr>
        <w:spacing w:before="279" w:line="219" w:lineRule="auto"/>
        <w:ind w:left="531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"/>
          <w:sz w:val="24"/>
          <w:szCs w:val="24"/>
        </w:rPr>
        <w:t xml:space="preserve">内审每年至少进行一次，以保证 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ITSS </w:t>
      </w:r>
      <w:r>
        <w:rPr>
          <w:rFonts w:ascii="SimSun" w:eastAsia="SimSun" w:hAnsi="SimSun" w:cs="SimSun"/>
          <w:spacing w:val="-1"/>
          <w:sz w:val="24"/>
          <w:szCs w:val="24"/>
        </w:rPr>
        <w:t>运维能力管理体系的</w:t>
      </w:r>
      <w:r>
        <w:rPr>
          <w:rFonts w:ascii="SimSun" w:eastAsia="SimSun" w:hAnsi="SimSun" w:cs="SimSun"/>
          <w:spacing w:val="-2"/>
          <w:sz w:val="24"/>
          <w:szCs w:val="24"/>
        </w:rPr>
        <w:t>持续有效性。</w:t>
      </w:r>
    </w:p>
    <w:p>
      <w:pPr>
        <w:spacing w:line="219" w:lineRule="auto"/>
        <w:rPr>
          <w:rFonts w:ascii="SimSun" w:eastAsia="SimSun" w:hAnsi="SimSun" w:cs="SimSun"/>
          <w:sz w:val="24"/>
          <w:szCs w:val="24"/>
        </w:rPr>
        <w:sectPr>
          <w:footerReference w:type="default" r:id="rId16"/>
          <w:pgSz w:w="11910" w:h="16840"/>
          <w:pgMar w:top="897" w:right="1770" w:bottom="1110" w:left="1786" w:header="0" w:footer="876" w:gutter="0"/>
          <w:cols w:space="720"/>
        </w:sectPr>
      </w:pPr>
    </w:p>
    <w:p>
      <w:pPr>
        <w:spacing w:line="442" w:lineRule="exact"/>
        <w:ind w:firstLine="12"/>
      </w:pPr>
      <w:r>
        <w:rPr>
          <w:position w:val="-8"/>
        </w:rPr>
        <w:drawing>
          <wp:inline distT="0" distB="0" distL="0" distR="0">
            <wp:extent cx="766952" cy="28102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6952" cy="2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58" w:line="227" w:lineRule="auto"/>
        <w:ind w:left="18"/>
        <w:outlineLvl w:val="0"/>
        <w:rPr>
          <w:rFonts w:ascii="SimHei" w:eastAsia="SimHei" w:hAnsi="SimHei" w:cs="SimHei"/>
          <w:sz w:val="31"/>
          <w:szCs w:val="31"/>
        </w:rPr>
      </w:pPr>
      <w:bookmarkStart w:id="13" w:name="bookmark14"/>
      <w:bookmarkEnd w:id="13"/>
      <w:r>
        <w:rPr>
          <w:rFonts w:ascii="SimHei" w:eastAsia="SimHei" w:hAnsi="SimHei" w:cs="SimHei"/>
          <w:b/>
          <w:bCs/>
          <w:spacing w:val="2"/>
          <w:sz w:val="31"/>
          <w:szCs w:val="31"/>
        </w:rPr>
        <w:t>5</w:t>
      </w:r>
      <w:r>
        <w:rPr>
          <w:rFonts w:ascii="SimHei" w:eastAsia="SimHei" w:hAnsi="SimHei" w:cs="SimHei"/>
          <w:spacing w:val="23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2"/>
          <w:sz w:val="31"/>
          <w:szCs w:val="31"/>
        </w:rPr>
        <w:t>输出记录</w:t>
      </w:r>
    </w:p>
    <w:p>
      <w:pPr>
        <w:pStyle w:val="BodyText"/>
        <w:spacing w:line="265" w:lineRule="auto"/>
      </w:pPr>
    </w:p>
    <w:p>
      <w:pPr>
        <w:pStyle w:val="BodyText"/>
        <w:spacing w:line="265" w:lineRule="auto"/>
      </w:pPr>
    </w:p>
    <w:p>
      <w:pPr>
        <w:spacing w:before="78" w:line="486" w:lineRule="auto"/>
        <w:ind w:left="508" w:right="5937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4"/>
          <w:sz w:val="24"/>
          <w:szCs w:val="24"/>
        </w:rPr>
        <w:t>《内审实施计划》</w:t>
      </w:r>
      <w:r>
        <w:rPr>
          <w:rFonts w:ascii="SimSun" w:eastAsia="SimSun" w:hAnsi="SimSun" w:cs="SimSun"/>
          <w:spacing w:val="1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3"/>
          <w:sz w:val="24"/>
          <w:szCs w:val="24"/>
        </w:rPr>
        <w:t>《内审检查表》</w:t>
      </w:r>
    </w:p>
    <w:p>
      <w:pPr>
        <w:spacing w:before="1" w:line="487" w:lineRule="auto"/>
        <w:ind w:left="508" w:right="5577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3"/>
          <w:sz w:val="24"/>
          <w:szCs w:val="24"/>
        </w:rPr>
        <w:t>《内审不合格报告》</w:t>
      </w:r>
      <w:r>
        <w:rPr>
          <w:rFonts w:ascii="SimSun" w:eastAsia="SimSun" w:hAnsi="SimSun" w:cs="SimSun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3"/>
          <w:sz w:val="24"/>
          <w:szCs w:val="24"/>
        </w:rPr>
        <w:t>《首/末次会议记录》</w:t>
      </w:r>
      <w:r>
        <w:rPr>
          <w:rFonts w:ascii="SimSun" w:eastAsia="SimSun" w:hAnsi="SimSun" w:cs="SimSun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3"/>
          <w:sz w:val="24"/>
          <w:szCs w:val="24"/>
        </w:rPr>
        <w:t>《内审报告》</w:t>
      </w:r>
    </w:p>
    <w:sectPr>
      <w:footerReference w:type="default" r:id="rId17"/>
      <w:pgSz w:w="11910" w:h="16840"/>
      <w:pgMar w:top="897" w:right="1786" w:bottom="1110" w:left="1786" w:header="0" w:footer="87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30" w:lineRule="auto"/>
      <w:ind w:left="4202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30" w:lineRule="auto"/>
      <w:ind w:left="4191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9" w:lineRule="auto"/>
      <w:ind w:left="4192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30" w:lineRule="auto"/>
      <w:ind w:left="4188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9" w:lineRule="auto"/>
      <w:ind w:left="4192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9" w:lineRule="auto"/>
      <w:ind w:left="4190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9" w:lineRule="auto"/>
      <w:ind w:left="4193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9" w:lineRule="auto"/>
      <w:ind w:left="4190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9" w:lineRule="auto"/>
      <w:ind w:left="4190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9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png" /><Relationship Id="rId11" Type="http://schemas.openxmlformats.org/officeDocument/2006/relationships/footer" Target="footer5.xml" /><Relationship Id="rId12" Type="http://schemas.openxmlformats.org/officeDocument/2006/relationships/footer" Target="footer6.xml" /><Relationship Id="rId13" Type="http://schemas.openxmlformats.org/officeDocument/2006/relationships/image" Target="media/image4.png" /><Relationship Id="rId14" Type="http://schemas.openxmlformats.org/officeDocument/2006/relationships/image" Target="media/image5.png" /><Relationship Id="rId15" Type="http://schemas.openxmlformats.org/officeDocument/2006/relationships/footer" Target="footer7.xml" /><Relationship Id="rId16" Type="http://schemas.openxmlformats.org/officeDocument/2006/relationships/footer" Target="footer8.xml" /><Relationship Id="rId17" Type="http://schemas.openxmlformats.org/officeDocument/2006/relationships/footer" Target="footer9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2.png" /><Relationship Id="rId8" Type="http://schemas.openxmlformats.org/officeDocument/2006/relationships/footer" Target="footer3.xml" /><Relationship Id="rId9" Type="http://schemas.openxmlformats.org/officeDocument/2006/relationships/footer" Target="footer4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王劼</dc:creator>
  <cp:revision>0</cp:revision>
  <dcterms:created xsi:type="dcterms:W3CDTF">2022-11-30T10:43:11Z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2025-09-29T02:59:14Z</vt:filetime>
  </property>
  <property fmtid="{D5CDD505-2E9C-101B-9397-08002B2CF9AE}" pid="3" name="CRO">
    <vt:lpwstr>wqlLaW5nc29mdCBQREYgdG8gV1BTIDExNQ</vt:lpwstr>
  </property>
</Properties>
</file>