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spacing w:before="139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39" w:line="225" w:lineRule="auto"/>
        <w:ind w:left="2868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3"/>
          <w:sz w:val="43"/>
          <w:szCs w:val="43"/>
        </w:rPr>
        <w:t>配置管理流程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288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69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编制时间：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</w:rPr>
        <w:t>2025</w:t>
      </w:r>
      <w:r>
        <w:rPr>
          <w:rFonts w:ascii="Calibri" w:eastAsia="Calibri" w:hAnsi="Calibri" w:cs="Calibri"/>
          <w:b/>
          <w:bCs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年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</w:rPr>
        <w:t>01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月6日</w:t>
      </w:r>
    </w:p>
    <w:p>
      <w:pPr>
        <w:spacing w:before="270" w:line="222" w:lineRule="auto"/>
        <w:ind w:left="2882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CYYH-ITSS-15-05</w:t>
      </w:r>
    </w:p>
    <w:p>
      <w:pPr>
        <w:spacing w:before="270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9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4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  <w:u w:val="single" w:color="auto"/>
        </w:rPr>
        <w:t xml:space="preserve">  2025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  <w:u w:val="single" w:color="auto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年</w:t>
      </w:r>
      <w:r>
        <w:rPr>
          <w:rFonts w:ascii="SimHei" w:eastAsia="SimHei" w:hAnsi="SimHei" w:cs="SimHei"/>
          <w:spacing w:val="13"/>
          <w:sz w:val="30"/>
          <w:szCs w:val="30"/>
          <w:u w:val="single" w:color="auto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  <w:u w:val="single" w:color="auto"/>
        </w:rPr>
        <w:t>01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</w:rPr>
        <w:t xml:space="preserve">8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 w:line="222" w:lineRule="auto"/>
        <w:ind w:left="328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7" w:right="1457" w:bottom="1196" w:left="1779" w:header="0" w:footer="982" w:gutter="0"/>
          <w:cols w:space="720"/>
        </w:sectPr>
      </w:pPr>
    </w:p>
    <w:p>
      <w:pPr>
        <w:spacing w:line="392" w:lineRule="exact"/>
        <w:ind w:firstLine="91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2112052473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86" w:line="221" w:lineRule="auto"/>
            <w:ind w:left="4083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542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文档简介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流程目标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流程策略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4.1 配置项规划和识别策略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4.2 配置项控制和跟踪策略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4.3 配置项审计策略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6" w:line="184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 流程角色和职责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6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5.1 配置经理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5.2 配置管理员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185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流程描述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7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流程指标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219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8 流程持续改进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877" w:right="1678" w:bottom="1196" w:left="1688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99" w:line="227" w:lineRule="auto"/>
        <w:ind w:left="48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1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文档简介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本文档定义了配置管理流程，主要内容包括：</w:t>
      </w:r>
    </w:p>
    <w:p>
      <w:pPr>
        <w:pStyle w:val="BodyText"/>
        <w:spacing w:line="258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流程目标，描述配置管理流程所要达到的目标；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流程描述，包括流程图、活动描述及输入输出；</w:t>
      </w:r>
    </w:p>
    <w:p>
      <w:pPr>
        <w:spacing w:before="159" w:line="295" w:lineRule="auto"/>
        <w:ind w:left="930" w:right="1747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流程角色和职责，描述流程中主要的角色</w:t>
      </w:r>
      <w:r>
        <w:rPr>
          <w:rFonts w:ascii="SimSun" w:eastAsia="SimSun" w:hAnsi="SimSun" w:cs="SimSun"/>
          <w:spacing w:val="-3"/>
          <w:sz w:val="24"/>
          <w:szCs w:val="24"/>
        </w:rPr>
        <w:t>，以及角色所</w:t>
      </w:r>
      <w:r>
        <w:rPr>
          <w:rFonts w:ascii="SimSun" w:eastAsia="SimSun" w:hAnsi="SimSun" w:cs="SimSun"/>
          <w:spacing w:val="-2"/>
          <w:sz w:val="24"/>
          <w:szCs w:val="24"/>
        </w:rPr>
        <w:t>担负的职责和需具备的技能要求；</w:t>
      </w:r>
    </w:p>
    <w:p>
      <w:pPr>
        <w:spacing w:before="178" w:line="295" w:lineRule="auto"/>
        <w:ind w:left="934" w:right="1747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流程指标，定义了衡量流程管理绩效的指</w:t>
      </w:r>
      <w:r>
        <w:rPr>
          <w:rFonts w:ascii="SimSun" w:eastAsia="SimSun" w:hAnsi="SimSun" w:cs="SimSun"/>
          <w:spacing w:val="-3"/>
          <w:sz w:val="24"/>
          <w:szCs w:val="24"/>
        </w:rPr>
        <w:t>标，主要包括</w:t>
      </w:r>
      <w:r>
        <w:rPr>
          <w:rFonts w:ascii="SimSun" w:eastAsia="SimSun" w:hAnsi="SimSun" w:cs="SimSun"/>
          <w:spacing w:val="-2"/>
          <w:sz w:val="24"/>
          <w:szCs w:val="24"/>
        </w:rPr>
        <w:t>效率与效能两方面的指标；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流程持续改进，定义流程回顾和改进方法。</w:t>
      </w: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spacing w:before="102" w:line="228" w:lineRule="auto"/>
        <w:ind w:left="29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z w:val="31"/>
          <w:szCs w:val="31"/>
        </w:rPr>
        <w:t>2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79" w:line="366" w:lineRule="auto"/>
        <w:ind w:left="30" w:right="1843" w:firstLine="47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配置管理流程适用的范围主要是运维服务，服务模式包括</w:t>
      </w:r>
      <w:r>
        <w:rPr>
          <w:rFonts w:ascii="SimSun" w:eastAsia="SimSun" w:hAnsi="SimSun" w:cs="SimSun"/>
          <w:spacing w:val="-1"/>
          <w:sz w:val="24"/>
          <w:szCs w:val="24"/>
        </w:rPr>
        <w:t>驻场式及非驻场式。业务线条包括：</w:t>
      </w:r>
    </w:p>
    <w:p>
      <w:pPr>
        <w:spacing w:before="13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硬件运维服务业务线；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软件运维服务业务线。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2" w:line="226" w:lineRule="auto"/>
        <w:ind w:left="32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z w:val="31"/>
          <w:szCs w:val="31"/>
        </w:rPr>
        <w:t>3</w:t>
      </w:r>
      <w:r>
        <w:rPr>
          <w:rFonts w:ascii="SimHei" w:eastAsia="SimHei" w:hAnsi="SimHei" w:cs="SimHei"/>
          <w:spacing w:val="26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流程目标</w:t>
      </w: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79" w:line="364" w:lineRule="auto"/>
        <w:ind w:left="31" w:right="1843" w:firstLine="478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配置管理流程的总体目标是提供一个统一的流程来管理公</w:t>
      </w:r>
      <w:r>
        <w:rPr>
          <w:rFonts w:ascii="SimSun" w:eastAsia="SimSun" w:hAnsi="SimSun" w:cs="SimSun"/>
          <w:spacing w:val="-1"/>
          <w:sz w:val="24"/>
          <w:szCs w:val="24"/>
        </w:rPr>
        <w:t>司内部及各个项目合同范围内的运维服务项目环境中的所有组</w:t>
      </w:r>
      <w:r>
        <w:rPr>
          <w:rFonts w:ascii="SimSun" w:eastAsia="SimSun" w:hAnsi="SimSun" w:cs="SimSun"/>
          <w:spacing w:val="-2"/>
          <w:sz w:val="24"/>
          <w:szCs w:val="24"/>
        </w:rPr>
        <w:t>成部份，以确保：</w:t>
      </w:r>
    </w:p>
    <w:p>
      <w:pPr>
        <w:spacing w:before="14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所有配置项(CI) 能够被识别和记录；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配置项当前和历史状态得到汇报；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维护配置项记录的完整性；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确保项目资产的有效控制和管理。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23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4</w:t>
      </w:r>
      <w:r>
        <w:rPr>
          <w:rFonts w:ascii="SimHei" w:eastAsia="SimHei" w:hAnsi="SimHei" w:cs="SimHei"/>
          <w:spacing w:val="6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流程策略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7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14"/>
      <w:bookmarkEnd w:id="5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4.1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配置项规划和识别策略</w:t>
      </w:r>
    </w:p>
    <w:p>
      <w:pPr>
        <w:pStyle w:val="BodyText"/>
        <w:spacing w:line="404" w:lineRule="auto"/>
      </w:pPr>
    </w:p>
    <w:p>
      <w:pPr>
        <w:spacing w:before="78" w:line="364" w:lineRule="auto"/>
        <w:ind w:left="32" w:right="81" w:firstLine="477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配置管理和变更管理必须一起进行规划，确保配置管理范围和变更管理范围</w:t>
      </w:r>
      <w:r>
        <w:rPr>
          <w:rFonts w:ascii="SimSun" w:eastAsia="SimSun" w:hAnsi="SimSun" w:cs="SimSun"/>
          <w:spacing w:val="-9"/>
          <w:sz w:val="24"/>
          <w:szCs w:val="24"/>
        </w:rPr>
        <w:t>的一致性。配置管理必须为变更管理提供信息，包括对服</w:t>
      </w:r>
      <w:r>
        <w:rPr>
          <w:rFonts w:ascii="SimSun" w:eastAsia="SimSun" w:hAnsi="SimSun" w:cs="SimSun"/>
          <w:spacing w:val="-10"/>
          <w:sz w:val="24"/>
          <w:szCs w:val="24"/>
        </w:rPr>
        <w:t>务和基础设施配置项的变</w:t>
      </w:r>
      <w:r>
        <w:rPr>
          <w:rFonts w:ascii="SimSun" w:eastAsia="SimSun" w:hAnsi="SimSun" w:cs="SimSun"/>
          <w:spacing w:val="-3"/>
          <w:sz w:val="24"/>
          <w:szCs w:val="24"/>
        </w:rPr>
        <w:t>更请求的影响。配置项的变更必须进行记录，并与配置项进行关联，以便跟踪和</w:t>
      </w:r>
      <w:r>
        <w:rPr>
          <w:rFonts w:ascii="SimSun" w:eastAsia="SimSun" w:hAnsi="SimSun" w:cs="SimSun"/>
          <w:spacing w:val="-5"/>
          <w:sz w:val="24"/>
          <w:szCs w:val="24"/>
        </w:rPr>
        <w:t>审计。</w:t>
      </w:r>
    </w:p>
    <w:p>
      <w:pPr>
        <w:spacing w:before="153" w:line="364" w:lineRule="auto"/>
        <w:ind w:left="28" w:right="127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配置项是指那些为内外部客户提供服务而需要管理的所有项目</w:t>
      </w:r>
      <w:r>
        <w:rPr>
          <w:rFonts w:ascii="SimSun" w:eastAsia="SimSun" w:hAnsi="SimSun" w:cs="SimSun"/>
          <w:spacing w:val="-5"/>
          <w:sz w:val="24"/>
          <w:szCs w:val="24"/>
        </w:rPr>
        <w:t>组件，包括硬</w:t>
      </w:r>
      <w:r>
        <w:rPr>
          <w:rFonts w:ascii="SimSun" w:eastAsia="SimSun" w:hAnsi="SimSun" w:cs="SimSun"/>
          <w:spacing w:val="-18"/>
          <w:sz w:val="24"/>
          <w:szCs w:val="24"/>
        </w:rPr>
        <w:t>件、软件和文档等，覆盖公司内部和合同维护范围内的项目基础设施和应用服务。具</w:t>
      </w:r>
      <w:r>
        <w:rPr>
          <w:rFonts w:ascii="SimSun" w:eastAsia="SimSun" w:hAnsi="SimSun" w:cs="SimSun"/>
          <w:sz w:val="24"/>
          <w:szCs w:val="24"/>
        </w:rPr>
        <w:t>体哪些项目组件需要识别作为配置项进行管理，主要</w:t>
      </w:r>
      <w:r>
        <w:rPr>
          <w:rFonts w:ascii="SimSun" w:eastAsia="SimSun" w:hAnsi="SimSun" w:cs="SimSun"/>
          <w:spacing w:val="-1"/>
          <w:sz w:val="24"/>
          <w:szCs w:val="24"/>
        </w:rPr>
        <w:t>有以下一些判断依据：</w:t>
      </w:r>
    </w:p>
    <w:p>
      <w:pPr>
        <w:spacing w:before="14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该配置项是否能为提供 IT 服务贡献力量；</w:t>
      </w:r>
    </w:p>
    <w:p>
      <w:pPr>
        <w:spacing w:before="162" w:line="295" w:lineRule="auto"/>
        <w:ind w:left="934" w:right="151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记录该配置项能否为其他流程，如变更、发布和问题管理流程等提供有</w:t>
      </w:r>
      <w:r>
        <w:rPr>
          <w:rFonts w:ascii="SimSun" w:eastAsia="SimSun" w:hAnsi="SimSun" w:cs="SimSun"/>
          <w:spacing w:val="-4"/>
          <w:sz w:val="24"/>
          <w:szCs w:val="24"/>
        </w:rPr>
        <w:t>效帮助；</w:t>
      </w:r>
    </w:p>
    <w:p>
      <w:pPr>
        <w:spacing w:before="176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同时还需要考虑为了维护该配置项而所需投入的</w:t>
      </w:r>
      <w:r>
        <w:rPr>
          <w:rFonts w:ascii="SimSun" w:eastAsia="SimSun" w:hAnsi="SimSun" w:cs="SimSun"/>
          <w:spacing w:val="-4"/>
          <w:sz w:val="24"/>
          <w:szCs w:val="24"/>
        </w:rPr>
        <w:t>人力。</w:t>
      </w:r>
    </w:p>
    <w:p>
      <w:pPr>
        <w:pStyle w:val="BodyText"/>
        <w:spacing w:line="386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配置项控制和跟踪策略</w:t>
      </w:r>
    </w:p>
    <w:p>
      <w:pPr>
        <w:pStyle w:val="BodyText"/>
        <w:spacing w:line="405" w:lineRule="auto"/>
      </w:pPr>
    </w:p>
    <w:p>
      <w:pPr>
        <w:spacing w:before="79" w:line="364" w:lineRule="auto"/>
        <w:ind w:left="40" w:firstLine="46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配置项控制机制，所有配置项的新增、修改或删除</w:t>
      </w:r>
      <w:r>
        <w:rPr>
          <w:rFonts w:ascii="SimSun" w:eastAsia="SimSun" w:hAnsi="SimSun" w:cs="SimSun"/>
          <w:spacing w:val="-1"/>
          <w:sz w:val="24"/>
          <w:szCs w:val="24"/>
        </w:rPr>
        <w:t>必须有相关的经过审批的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RFC </w:t>
      </w:r>
      <w:r>
        <w:rPr>
          <w:rFonts w:ascii="SimSun" w:eastAsia="SimSun" w:hAnsi="SimSun" w:cs="SimSun"/>
          <w:spacing w:val="-1"/>
          <w:sz w:val="24"/>
          <w:szCs w:val="24"/>
        </w:rPr>
        <w:t>文档作为证据，否则不可以对配置管理数据库作任何动作。</w:t>
      </w:r>
    </w:p>
    <w:p>
      <w:pPr>
        <w:spacing w:before="158" w:line="364" w:lineRule="auto"/>
        <w:ind w:left="30" w:right="79" w:firstLine="479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配置项跟踪机制，配置管理数据库应能够记录配置项的历史信息，包括发生</w:t>
      </w:r>
      <w:r>
        <w:rPr>
          <w:rFonts w:ascii="SimSun" w:eastAsia="SimSun" w:hAnsi="SimSun" w:cs="SimSun"/>
          <w:spacing w:val="-10"/>
          <w:sz w:val="24"/>
          <w:szCs w:val="24"/>
        </w:rPr>
        <w:t>了哪些变更，由谁进行的修改，修改了什么内容，还包括该配置项曾经发生的事件</w:t>
      </w:r>
      <w:r>
        <w:rPr>
          <w:rFonts w:ascii="SimSun" w:eastAsia="SimSun" w:hAnsi="SimSun" w:cs="SimSun"/>
          <w:spacing w:val="-3"/>
          <w:sz w:val="24"/>
          <w:szCs w:val="24"/>
        </w:rPr>
        <w:t>和问题等。</w:t>
      </w:r>
    </w:p>
    <w:p>
      <w:pPr>
        <w:spacing w:before="156" w:line="364" w:lineRule="auto"/>
        <w:ind w:left="30" w:right="81" w:firstLine="479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配置管理能够提炼出相关信息，帮助变更管理识别变更可能带来的影响，尤</w:t>
      </w:r>
      <w:r>
        <w:rPr>
          <w:rFonts w:ascii="SimSun" w:eastAsia="SimSun" w:hAnsi="SimSun" w:cs="SimSun"/>
          <w:spacing w:val="-3"/>
          <w:sz w:val="24"/>
          <w:szCs w:val="24"/>
        </w:rPr>
        <w:t>其是对其他配置项的影响。同时实际配置项的变更结束后，必须通知配置管理相</w:t>
      </w:r>
      <w:r>
        <w:rPr>
          <w:rFonts w:ascii="SimSun" w:eastAsia="SimSun" w:hAnsi="SimSun" w:cs="SimSun"/>
          <w:spacing w:val="-3"/>
          <w:sz w:val="24"/>
          <w:szCs w:val="24"/>
        </w:rPr>
        <w:t>关人员修改该配置项，并能够在配置管理数据库中记录这一变更日志，供追踪和</w:t>
      </w:r>
      <w:r>
        <w:rPr>
          <w:rFonts w:ascii="SimSun" w:eastAsia="SimSun" w:hAnsi="SimSun" w:cs="SimSun"/>
          <w:spacing w:val="-4"/>
          <w:sz w:val="24"/>
          <w:szCs w:val="24"/>
        </w:rPr>
        <w:t>审计。</w:t>
      </w:r>
    </w:p>
    <w:p>
      <w:pPr>
        <w:spacing w:line="364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7" w:right="1710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5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7"/>
      <w:bookmarkEnd w:id="7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4.3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配置项审计策略</w:t>
      </w:r>
    </w:p>
    <w:p>
      <w:pPr>
        <w:pStyle w:val="BodyText"/>
        <w:spacing w:line="400" w:lineRule="auto"/>
      </w:pPr>
    </w:p>
    <w:p>
      <w:pPr>
        <w:spacing w:before="78" w:line="365" w:lineRule="auto"/>
        <w:ind w:left="27" w:right="136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配置管理流程必须在固定周期内对项目环境进行审核、跟踪监测，以保证配</w:t>
      </w:r>
      <w:r>
        <w:rPr>
          <w:rFonts w:ascii="SimSun" w:eastAsia="SimSun" w:hAnsi="SimSun" w:cs="SimSun"/>
          <w:spacing w:val="-3"/>
          <w:sz w:val="24"/>
          <w:szCs w:val="24"/>
        </w:rPr>
        <w:t>置管理数据库的信息收集准确、完整，并与实际项目环境一致。该工作由配置经</w:t>
      </w:r>
      <w:r>
        <w:rPr>
          <w:rFonts w:ascii="SimSun" w:eastAsia="SimSun" w:hAnsi="SimSun" w:cs="SimSun"/>
          <w:spacing w:val="-1"/>
          <w:sz w:val="24"/>
          <w:szCs w:val="24"/>
        </w:rPr>
        <w:t>理发起，由配置管理员负责执行层面的具体操作。</w:t>
      </w:r>
    </w:p>
    <w:p>
      <w:pPr>
        <w:spacing w:before="147" w:line="364" w:lineRule="auto"/>
        <w:ind w:left="17" w:firstLine="49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应在发布到实际运行环境之前建立配置项的基线，定期根据变更</w:t>
      </w:r>
      <w:r>
        <w:rPr>
          <w:rFonts w:ascii="SimSun" w:eastAsia="SimSun" w:hAnsi="SimSun" w:cs="SimSun"/>
          <w:spacing w:val="-7"/>
          <w:sz w:val="24"/>
          <w:szCs w:val="24"/>
        </w:rPr>
        <w:t>的执行情况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对变更引发的配置项的修改情况进行检查。在审计前，将所有需要审计的 </w:t>
      </w:r>
      <w:r>
        <w:rPr>
          <w:rFonts w:ascii="Calibri" w:eastAsia="Calibri" w:hAnsi="Calibri" w:cs="Calibri"/>
          <w:spacing w:val="-3"/>
          <w:sz w:val="24"/>
          <w:szCs w:val="24"/>
        </w:rPr>
        <w:t>CI</w:t>
      </w:r>
      <w:r>
        <w:rPr>
          <w:rFonts w:ascii="Calibri" w:eastAsia="Calibri" w:hAnsi="Calibri" w:cs="Calibri"/>
          <w:spacing w:val="41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的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审计状态设置为“未审计</w:t>
      </w:r>
      <w:r>
        <w:rPr>
          <w:rFonts w:ascii="SimSun" w:eastAsia="SimSun" w:hAnsi="SimSun" w:cs="SimSun"/>
          <w:spacing w:val="-7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 xml:space="preserve">”，根据审计的结果，将 </w:t>
      </w:r>
      <w:r>
        <w:rPr>
          <w:rFonts w:ascii="Calibri" w:eastAsia="Calibri" w:hAnsi="Calibri" w:cs="Calibri"/>
          <w:spacing w:val="-4"/>
          <w:sz w:val="24"/>
          <w:szCs w:val="24"/>
        </w:rPr>
        <w:t>CI</w:t>
      </w:r>
      <w:r>
        <w:rPr>
          <w:rFonts w:ascii="Calibri" w:eastAsia="Calibri" w:hAnsi="Calibri" w:cs="Calibri"/>
          <w:spacing w:val="29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的审计状态相应地改变为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“</w:t>
      </w:r>
      <w:r>
        <w:rPr>
          <w:rFonts w:ascii="SimSun" w:eastAsia="SimSun" w:hAnsi="SimSun" w:cs="SimSun"/>
          <w:spacing w:val="-8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已审计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”、“不匹配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”或者“丢失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”，同时记录更新审计时间；对“不匹</w:t>
      </w:r>
      <w:r>
        <w:rPr>
          <w:rFonts w:ascii="SimSun" w:eastAsia="SimSun" w:hAnsi="SimSun" w:cs="SimSun"/>
          <w:spacing w:val="-4"/>
          <w:sz w:val="24"/>
          <w:szCs w:val="24"/>
        </w:rPr>
        <w:t>配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”</w:t>
      </w:r>
      <w:r>
        <w:rPr>
          <w:rFonts w:ascii="SimSun" w:eastAsia="SimSun" w:hAnsi="SimSun" w:cs="SimSun"/>
          <w:spacing w:val="-4"/>
          <w:sz w:val="24"/>
          <w:szCs w:val="24"/>
        </w:rPr>
        <w:t>或者“丢失</w:t>
      </w:r>
      <w:r>
        <w:rPr>
          <w:rFonts w:ascii="SimSun" w:eastAsia="SimSun" w:hAnsi="SimSun" w:cs="SimSun"/>
          <w:spacing w:val="-8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 xml:space="preserve">”的审核状态的 </w:t>
      </w:r>
      <w:r>
        <w:rPr>
          <w:rFonts w:ascii="Calibri" w:eastAsia="Calibri" w:hAnsi="Calibri" w:cs="Calibri"/>
          <w:spacing w:val="-4"/>
          <w:sz w:val="24"/>
          <w:szCs w:val="24"/>
        </w:rPr>
        <w:t xml:space="preserve">CI </w:t>
      </w:r>
      <w:r>
        <w:rPr>
          <w:rFonts w:ascii="SimSun" w:eastAsia="SimSun" w:hAnsi="SimSun" w:cs="SimSun"/>
          <w:spacing w:val="-4"/>
          <w:sz w:val="24"/>
          <w:szCs w:val="24"/>
        </w:rPr>
        <w:t>进行纠正后，相应的将其审计状态修改为“</w:t>
      </w:r>
      <w:r>
        <w:rPr>
          <w:rFonts w:ascii="SimSun" w:eastAsia="SimSun" w:hAnsi="SimSun" w:cs="SimSun"/>
          <w:spacing w:val="-8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已审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计</w:t>
      </w:r>
      <w:r>
        <w:rPr>
          <w:rFonts w:ascii="SimSun" w:eastAsia="SimSun" w:hAnsi="SimSun" w:cs="SimSun"/>
          <w:spacing w:val="-7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”，至此一个审计周期结束。应该在在审计工作结束后，</w:t>
      </w:r>
      <w:r>
        <w:rPr>
          <w:rFonts w:ascii="Calibri" w:eastAsia="Calibri" w:hAnsi="Calibri" w:cs="Calibri"/>
          <w:spacing w:val="-6"/>
          <w:sz w:val="24"/>
          <w:szCs w:val="24"/>
        </w:rPr>
        <w:t>CI</w:t>
      </w:r>
      <w:r>
        <w:rPr>
          <w:rFonts w:ascii="Calibri" w:eastAsia="Calibri" w:hAnsi="Calibri" w:cs="Calibri"/>
          <w:spacing w:val="-1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信息纠正之前运行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一次报表，统计相关流程衡量指标。</w:t>
      </w:r>
    </w:p>
    <w:p>
      <w:pPr>
        <w:pStyle w:val="BodyText"/>
        <w:spacing w:line="343" w:lineRule="auto"/>
      </w:pPr>
    </w:p>
    <w:p>
      <w:pPr>
        <w:spacing w:before="101" w:line="226" w:lineRule="auto"/>
        <w:ind w:left="25"/>
        <w:outlineLvl w:val="0"/>
        <w:rPr>
          <w:rFonts w:ascii="SimHei" w:eastAsia="SimHei" w:hAnsi="SimHei" w:cs="SimHei"/>
          <w:sz w:val="31"/>
          <w:szCs w:val="31"/>
        </w:rPr>
      </w:pPr>
      <w:bookmarkStart w:id="8" w:name="bookmark8"/>
      <w:bookmarkEnd w:id="8"/>
      <w:r>
        <w:rPr>
          <w:rFonts w:ascii="SimHei" w:eastAsia="SimHei" w:hAnsi="SimHei" w:cs="SimHei"/>
          <w:b/>
          <w:bCs/>
          <w:spacing w:val="3"/>
          <w:sz w:val="31"/>
          <w:szCs w:val="31"/>
        </w:rPr>
        <w:t>5</w:t>
      </w:r>
      <w:r>
        <w:rPr>
          <w:rFonts w:ascii="SimHei" w:eastAsia="SimHei" w:hAnsi="SimHei" w:cs="SimHei"/>
          <w:spacing w:val="3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流程角色和职责</w:t>
      </w:r>
    </w:p>
    <w:p>
      <w:pPr>
        <w:pStyle w:val="BodyText"/>
        <w:spacing w:line="280" w:lineRule="auto"/>
      </w:pPr>
    </w:p>
    <w:p>
      <w:pPr>
        <w:pStyle w:val="BodyText"/>
        <w:spacing w:line="280" w:lineRule="auto"/>
      </w:pPr>
    </w:p>
    <w:p>
      <w:pPr>
        <w:spacing w:before="98" w:line="224" w:lineRule="auto"/>
        <w:ind w:left="24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9"/>
      <w:bookmarkEnd w:id="9"/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5.1</w:t>
      </w:r>
      <w:r>
        <w:rPr>
          <w:rFonts w:ascii="SimHei" w:eastAsia="SimHei" w:hAnsi="SimHei" w:cs="SimHei"/>
          <w:spacing w:val="1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配置经理</w:t>
      </w:r>
    </w:p>
    <w:p>
      <w:pPr>
        <w:pStyle w:val="BodyText"/>
        <w:spacing w:line="388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定义并维护配置管理流程文件及所需要的记录模板；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管理配置管理流程的实施；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确保配置管理流程目标的实现；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识别配置管理过程中存在的问题并提出改进措施；</w:t>
      </w:r>
    </w:p>
    <w:p>
      <w:pPr>
        <w:spacing w:before="159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对配置报告进行核对和审核。</w:t>
      </w:r>
    </w:p>
    <w:p>
      <w:pPr>
        <w:pStyle w:val="BodyText"/>
        <w:spacing w:line="385" w:lineRule="auto"/>
      </w:pPr>
    </w:p>
    <w:p>
      <w:pPr>
        <w:spacing w:before="99" w:line="221" w:lineRule="auto"/>
        <w:ind w:left="24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0"/>
      <w:bookmarkEnd w:id="10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配置管理员</w:t>
      </w:r>
    </w:p>
    <w:p>
      <w:pPr>
        <w:pStyle w:val="BodyText"/>
        <w:spacing w:line="397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核对并修改客户、信息、硬件、产品等的配置项信息；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协助建立配置管理数据库；</w:t>
      </w:r>
    </w:p>
    <w:p>
      <w:pPr>
        <w:spacing w:before="160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配合配置经理开展 CMDB 审计工作；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9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9"/>
          <w:sz w:val="24"/>
          <w:szCs w:val="24"/>
        </w:rPr>
        <w:t>与配置项责任人一起对 CMDB</w:t>
      </w:r>
      <w:r>
        <w:rPr>
          <w:rFonts w:ascii="SimSun" w:eastAsia="SimSun" w:hAnsi="SimSun" w:cs="SimSun"/>
          <w:spacing w:val="2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9"/>
          <w:sz w:val="24"/>
          <w:szCs w:val="24"/>
        </w:rPr>
        <w:t>中的记录进行对比审计。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0"/>
          <w:pgSz w:w="11910" w:h="16840"/>
          <w:pgMar w:top="877" w:right="1655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31"/>
        <w:outlineLvl w:val="0"/>
        <w:rPr>
          <w:rFonts w:ascii="SimHei" w:eastAsia="SimHei" w:hAnsi="SimHei" w:cs="SimHei"/>
          <w:sz w:val="31"/>
          <w:szCs w:val="31"/>
        </w:rPr>
      </w:pPr>
      <w:bookmarkStart w:id="11" w:name="bookmark11"/>
      <w:bookmarkEnd w:id="11"/>
      <w:r>
        <w:rPr>
          <w:rFonts w:ascii="SimHei" w:eastAsia="SimHei" w:hAnsi="SimHei" w:cs="SimHei"/>
          <w:b/>
          <w:bCs/>
          <w:sz w:val="31"/>
          <w:szCs w:val="31"/>
        </w:rPr>
        <w:t>6</w:t>
      </w:r>
      <w:r>
        <w:rPr>
          <w:rFonts w:ascii="SimHei" w:eastAsia="SimHei" w:hAnsi="SimHei" w:cs="SimHei"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流程描述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3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6.1</w:t>
      </w:r>
      <w:r>
        <w:rPr>
          <w:rFonts w:ascii="SimHei" w:eastAsia="SimHei" w:hAnsi="SimHei" w:cs="SimHei"/>
          <w:spacing w:val="18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流程图</w:t>
      </w:r>
    </w:p>
    <w:p>
      <w:pPr>
        <w:pStyle w:val="BodyText"/>
        <w:spacing w:line="267" w:lineRule="auto"/>
      </w:pPr>
    </w:p>
    <w:p>
      <w:pPr>
        <w:pStyle w:val="BodyText"/>
        <w:spacing w:line="267" w:lineRule="auto"/>
      </w:pPr>
    </w:p>
    <w:p>
      <w:pPr>
        <w:spacing w:before="82" w:line="226" w:lineRule="auto"/>
        <w:ind w:left="63"/>
        <w:rPr>
          <w:rFonts w:ascii="NSimSun" w:eastAsia="NSimSun" w:hAnsi="NSimSun" w:cs="NSimSun"/>
          <w:sz w:val="25"/>
          <w:szCs w:val="25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14962</wp:posOffset>
            </wp:positionH>
            <wp:positionV relativeFrom="paragraph">
              <wp:posOffset>-2414</wp:posOffset>
            </wp:positionV>
            <wp:extent cx="5250815" cy="3153409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0815" cy="3153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NSimSun" w:eastAsia="NSimSun" w:hAnsi="NSimSun" w:cs="NSimSun"/>
          <w:spacing w:val="8"/>
          <w:sz w:val="25"/>
          <w:szCs w:val="25"/>
        </w:rPr>
        <w:t>配置管理流程概览</w:t>
      </w:r>
    </w:p>
    <w:p>
      <w:pPr>
        <w:pStyle w:val="BodyText"/>
        <w:spacing w:line="347" w:lineRule="auto"/>
      </w:pPr>
    </w:p>
    <w:p>
      <w:pPr>
        <w:pStyle w:val="BodyText"/>
        <w:spacing w:line="347" w:lineRule="auto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height:14.9pt;margin-left:-79.13pt;margin-top:94.84pt;position:absolute;rotation:270;width:180.7pt;z-index:251660288">
            <v:textbox inset="0,0,0,0">
              <w:txbxContent>
                <w:p>
                  <w:pPr>
                    <w:spacing w:before="53" w:line="230" w:lineRule="auto"/>
                    <w:ind w:left="20"/>
                    <w:rPr>
                      <w:rFonts w:ascii="NSimSun" w:eastAsia="NSimSun" w:hAnsi="NSimSun" w:cs="NSimSun"/>
                      <w:sz w:val="18"/>
                      <w:szCs w:val="18"/>
                    </w:rPr>
                  </w:pPr>
                  <w:r>
                    <w:rPr>
                      <w:rFonts w:ascii="NSimSun" w:eastAsia="NSimSun" w:hAnsi="NSimSun" w:cs="NSimSun"/>
                      <w:spacing w:val="16"/>
                      <w:sz w:val="18"/>
                      <w:szCs w:val="18"/>
                    </w:rPr>
                    <w:t>其他流程</w:t>
                  </w:r>
                  <w:r>
                    <w:rPr>
                      <w:rFonts w:ascii="NSimSun" w:eastAsia="NSimSun" w:hAnsi="NSimSun" w:cs="NSimSun"/>
                      <w:spacing w:val="5"/>
                      <w:sz w:val="18"/>
                      <w:szCs w:val="18"/>
                    </w:rPr>
                    <w:t xml:space="preserve">       </w:t>
                  </w:r>
                  <w:r>
                    <w:rPr>
                      <w:rFonts w:ascii="NSimSun" w:eastAsia="NSimSun" w:hAnsi="NSimSun" w:cs="NSimSun"/>
                      <w:spacing w:val="16"/>
                      <w:sz w:val="18"/>
                      <w:szCs w:val="18"/>
                    </w:rPr>
                    <w:t>配置管理员</w:t>
                  </w:r>
                  <w:r>
                    <w:rPr>
                      <w:rFonts w:ascii="NSimSun" w:eastAsia="NSimSun" w:hAnsi="NSimSun" w:cs="NSimSun"/>
                      <w:spacing w:val="29"/>
                      <w:sz w:val="18"/>
                      <w:szCs w:val="18"/>
                    </w:rPr>
                    <w:t xml:space="preserve">   </w:t>
                  </w:r>
                  <w:r>
                    <w:rPr>
                      <w:rFonts w:ascii="NSimSun" w:eastAsia="NSimSun" w:hAnsi="NSimSun" w:cs="NSimSun"/>
                      <w:spacing w:val="16"/>
                      <w:sz w:val="18"/>
                      <w:szCs w:val="18"/>
                    </w:rPr>
                    <w:t>配置经理</w:t>
                  </w:r>
                </w:p>
              </w:txbxContent>
            </v:textbox>
          </v:shape>
        </w:pict>
      </w:r>
    </w:p>
    <w:p>
      <w:pPr>
        <w:pStyle w:val="BodyText"/>
        <w:spacing w:before="29" w:line="214" w:lineRule="auto"/>
        <w:ind w:left="7122"/>
        <w:rPr>
          <w:sz w:val="10"/>
          <w:szCs w:val="10"/>
        </w:rPr>
      </w:pPr>
      <w:r>
        <w:rPr>
          <w:spacing w:val="5"/>
          <w:sz w:val="10"/>
          <w:szCs w:val="10"/>
        </w:rPr>
        <w:t>CMDB</w:t>
      </w:r>
    </w:p>
    <w:p>
      <w:pPr>
        <w:pStyle w:val="BodyText"/>
        <w:spacing w:before="188" w:line="214" w:lineRule="auto"/>
        <w:ind w:left="2288"/>
        <w:rPr>
          <w:sz w:val="10"/>
          <w:szCs w:val="10"/>
        </w:rPr>
      </w:pPr>
      <w:r>
        <w:pict>
          <v:shape id="_x0000_s1026" type="#_x0000_t202" style="height:29.2pt;margin-left:38.57pt;margin-top:5.39pt;position:absolute;width:39.2pt;z-index:251662336">
            <v:textbox inset="0,0,0,0">
              <w:txbxContent>
                <w:p>
                  <w:pPr>
                    <w:pStyle w:val="BodyText"/>
                    <w:spacing w:before="20" w:line="208" w:lineRule="auto"/>
                    <w:ind w:left="230"/>
                    <w:rPr>
                      <w:sz w:val="14"/>
                      <w:szCs w:val="14"/>
                    </w:rPr>
                  </w:pPr>
                  <w:r>
                    <w:rPr>
                      <w:spacing w:val="7"/>
                      <w:sz w:val="14"/>
                      <w:szCs w:val="14"/>
                    </w:rPr>
                    <w:t>CM1</w:t>
                  </w:r>
                </w:p>
                <w:p>
                  <w:pPr>
                    <w:spacing w:before="29" w:line="231" w:lineRule="auto"/>
                    <w:ind w:left="20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rFonts w:ascii="NSimSun" w:eastAsia="NSimSun" w:hAnsi="NSimSun" w:cs="NSimSun"/>
                      <w:spacing w:val="8"/>
                      <w:sz w:val="14"/>
                      <w:szCs w:val="14"/>
                    </w:rPr>
                    <w:t>配置管理规</w:t>
                  </w:r>
                </w:p>
                <w:p>
                  <w:pPr>
                    <w:spacing w:before="21" w:line="233" w:lineRule="auto"/>
                    <w:ind w:left="314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rFonts w:ascii="NSimSun" w:eastAsia="NSimSun" w:hAnsi="NSimSun" w:cs="NSimSun"/>
                      <w:spacing w:val="6"/>
                      <w:sz w:val="14"/>
                      <w:szCs w:val="14"/>
                    </w:rPr>
                    <w:t>划</w:t>
                  </w:r>
                </w:p>
              </w:txbxContent>
            </v:textbox>
          </v:shape>
        </w:pict>
      </w:r>
      <w:r>
        <w:pict>
          <v:shape id="_x0000_s1027" type="#_x0000_t202" style="height:67.45pt;margin-left:184.96pt;margin-top:8.21pt;position:absolute;width:34.5pt;z-index:251659264">
            <v:textbox inset="0,0,0,0">
              <w:txbxContent>
                <w:p>
                  <w:pPr>
                    <w:pStyle w:val="BodyText"/>
                    <w:spacing w:before="20" w:line="236" w:lineRule="auto"/>
                    <w:ind w:left="70" w:right="20" w:hanging="50"/>
                    <w:rPr>
                      <w:rFonts w:ascii="NSimSun" w:eastAsia="NSimSun" w:hAnsi="NSimSun" w:cs="NSimSun"/>
                      <w:sz w:val="10"/>
                      <w:szCs w:val="10"/>
                    </w:rPr>
                  </w:pPr>
                  <w:r>
                    <w:rPr>
                      <w:sz w:val="10"/>
                      <w:szCs w:val="10"/>
                    </w:rPr>
                    <w:t>CMDB</w:t>
                  </w:r>
                  <w:r>
                    <w:rPr>
                      <w:rFonts w:ascii="NSimSun" w:eastAsia="NSimSun" w:hAnsi="NSimSun" w:cs="NSimSun"/>
                      <w:spacing w:val="18"/>
                      <w:sz w:val="10"/>
                      <w:szCs w:val="10"/>
                    </w:rPr>
                    <w:t>模型或</w:t>
                  </w:r>
                  <w:r>
                    <w:rPr>
                      <w:rFonts w:ascii="NSimSun" w:eastAsia="NSimSun" w:hAnsi="NSimSun" w:cs="NSimSun"/>
                      <w:spacing w:val="8"/>
                      <w:sz w:val="10"/>
                      <w:szCs w:val="10"/>
                    </w:rPr>
                    <w:t>数据的更新</w:t>
                  </w:r>
                </w:p>
                <w:p>
                  <w:pPr>
                    <w:pStyle w:val="BodyText"/>
                    <w:spacing w:line="421" w:lineRule="auto"/>
                  </w:pPr>
                </w:p>
                <w:p>
                  <w:pPr>
                    <w:pStyle w:val="BodyText"/>
                    <w:spacing w:before="40" w:line="276" w:lineRule="auto"/>
                    <w:ind w:left="20" w:right="81" w:firstLine="123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spacing w:val="7"/>
                      <w:sz w:val="14"/>
                      <w:szCs w:val="14"/>
                    </w:rPr>
                    <w:t>CM3</w:t>
                  </w:r>
                  <w:r>
                    <w:rPr>
                      <w:sz w:val="14"/>
                      <w:szCs w:val="14"/>
                    </w:rPr>
                    <w:t xml:space="preserve">  </w:t>
                  </w:r>
                  <w:r>
                    <w:rPr>
                      <w:sz w:val="14"/>
                      <w:szCs w:val="14"/>
                    </w:rPr>
                    <w:t>CMDB</w:t>
                  </w:r>
                  <w:r>
                    <w:rPr>
                      <w:rFonts w:ascii="NSimSun" w:eastAsia="NSimSun" w:hAnsi="NSimSun" w:cs="NSimSun"/>
                      <w:spacing w:val="34"/>
                      <w:sz w:val="14"/>
                      <w:szCs w:val="14"/>
                    </w:rPr>
                    <w:t>控</w:t>
                  </w:r>
                  <w:r>
                    <w:rPr>
                      <w:rFonts w:ascii="NSimSun" w:eastAsia="NSimSun" w:hAnsi="NSimSun" w:cs="NSimSun"/>
                      <w:spacing w:val="4"/>
                      <w:sz w:val="14"/>
                      <w:szCs w:val="14"/>
                    </w:rPr>
                    <w:t>制与维护</w:t>
                  </w:r>
                </w:p>
              </w:txbxContent>
            </v:textbox>
          </v:shape>
        </w:pict>
      </w:r>
      <w:r>
        <w:pict>
          <v:shape id="_x0000_s1028" type="#_x0000_t202" style="height:14.8pt;margin-left:268.36pt;margin-top:9.41pt;position:absolute;width:23.45pt;z-index:251666432">
            <v:textbox inset="0,0,0,0">
              <w:txbxContent>
                <w:p>
                  <w:pPr>
                    <w:pStyle w:val="BodyText"/>
                    <w:spacing w:before="20" w:line="236" w:lineRule="auto"/>
                    <w:ind w:left="68" w:right="20" w:hanging="48"/>
                    <w:rPr>
                      <w:rFonts w:ascii="NSimSun" w:eastAsia="NSimSun" w:hAnsi="NSimSun" w:cs="NSimSun"/>
                      <w:sz w:val="10"/>
                      <w:szCs w:val="10"/>
                    </w:rPr>
                  </w:pPr>
                  <w:r>
                    <w:rPr>
                      <w:spacing w:val="6"/>
                      <w:sz w:val="10"/>
                      <w:szCs w:val="10"/>
                    </w:rPr>
                    <w:t>CMDB</w:t>
                  </w:r>
                  <w:r>
                    <w:rPr>
                      <w:rFonts w:ascii="NSimSun" w:eastAsia="NSimSun" w:hAnsi="NSimSun" w:cs="NSimSun"/>
                      <w:spacing w:val="6"/>
                      <w:sz w:val="10"/>
                      <w:szCs w:val="10"/>
                    </w:rPr>
                    <w:t>数</w:t>
                  </w:r>
                  <w:r>
                    <w:rPr>
                      <w:rFonts w:ascii="NSimSun" w:eastAsia="NSimSun" w:hAnsi="NSimSun" w:cs="NSimSun"/>
                      <w:spacing w:val="8"/>
                      <w:sz w:val="10"/>
                      <w:szCs w:val="10"/>
                    </w:rPr>
                    <w:t>据审计</w:t>
                  </w:r>
                </w:p>
              </w:txbxContent>
            </v:textbox>
          </v:shape>
        </w:pict>
      </w:r>
      <w:r>
        <w:rPr>
          <w:spacing w:val="5"/>
          <w:sz w:val="10"/>
          <w:szCs w:val="10"/>
        </w:rPr>
        <w:t>CMDB</w:t>
      </w:r>
    </w:p>
    <w:p>
      <w:pPr>
        <w:spacing w:before="16" w:line="239" w:lineRule="auto"/>
        <w:ind w:left="2284"/>
        <w:rPr>
          <w:rFonts w:ascii="NSimSun" w:eastAsia="NSimSun" w:hAnsi="NSimSun" w:cs="NSimSun"/>
          <w:sz w:val="10"/>
          <w:szCs w:val="10"/>
        </w:rPr>
      </w:pPr>
      <w:r>
        <w:rPr>
          <w:rFonts w:ascii="NSimSun" w:eastAsia="NSimSun" w:hAnsi="NSimSun" w:cs="NSimSun"/>
          <w:spacing w:val="2"/>
          <w:sz w:val="10"/>
          <w:szCs w:val="10"/>
        </w:rPr>
        <w:t>初始化</w:t>
      </w:r>
    </w:p>
    <w:p>
      <w:pPr>
        <w:pStyle w:val="BodyText"/>
        <w:spacing w:line="474" w:lineRule="auto"/>
      </w:pPr>
    </w:p>
    <w:p>
      <w:pPr>
        <w:pStyle w:val="BodyText"/>
        <w:spacing w:before="41" w:line="208" w:lineRule="auto"/>
        <w:ind w:left="2288"/>
        <w:rPr>
          <w:sz w:val="14"/>
          <w:szCs w:val="14"/>
        </w:rPr>
      </w:pPr>
      <w:r>
        <w:pict>
          <v:shape id="_x0000_s1029" type="#_x0000_t202" style="height:29.25pt;margin-left:262.73pt;margin-top:0.78pt;position:absolute;width:31.5pt;z-index:251663360">
            <v:textbox inset="0,0,0,0">
              <w:txbxContent>
                <w:p>
                  <w:pPr>
                    <w:pStyle w:val="BodyText"/>
                    <w:spacing w:before="20" w:line="208" w:lineRule="auto"/>
                    <w:ind w:left="146"/>
                    <w:rPr>
                      <w:sz w:val="14"/>
                      <w:szCs w:val="14"/>
                    </w:rPr>
                  </w:pPr>
                  <w:r>
                    <w:rPr>
                      <w:spacing w:val="7"/>
                      <w:sz w:val="14"/>
                      <w:szCs w:val="14"/>
                    </w:rPr>
                    <w:t>CM4</w:t>
                  </w:r>
                </w:p>
                <w:p>
                  <w:pPr>
                    <w:pStyle w:val="BodyText"/>
                    <w:spacing w:before="39" w:line="251" w:lineRule="auto"/>
                    <w:ind w:left="20" w:right="20" w:firstLine="6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CMDB</w:t>
                  </w:r>
                  <w:r>
                    <w:rPr>
                      <w:rFonts w:ascii="NSimSun" w:eastAsia="NSimSun" w:hAnsi="NSimSun" w:cs="NSimSun"/>
                      <w:spacing w:val="30"/>
                      <w:sz w:val="14"/>
                      <w:szCs w:val="14"/>
                    </w:rPr>
                    <w:t>审</w:t>
                  </w:r>
                  <w:r>
                    <w:rPr>
                      <w:rFonts w:ascii="NSimSun" w:eastAsia="NSimSun" w:hAnsi="NSimSun" w:cs="NSimSun"/>
                      <w:spacing w:val="4"/>
                      <w:sz w:val="14"/>
                      <w:szCs w:val="14"/>
                    </w:rPr>
                    <w:t>计与回顾</w:t>
                  </w:r>
                </w:p>
              </w:txbxContent>
            </v:textbox>
          </v:shape>
        </w:pict>
      </w:r>
      <w:r>
        <w:rPr>
          <w:spacing w:val="7"/>
          <w:sz w:val="14"/>
          <w:szCs w:val="14"/>
        </w:rPr>
        <w:t>CM2</w:t>
      </w:r>
    </w:p>
    <w:p>
      <w:pPr>
        <w:spacing w:before="29" w:line="261" w:lineRule="auto"/>
        <w:ind w:left="2153" w:right="5599" w:hanging="1"/>
        <w:rPr>
          <w:rFonts w:ascii="NSimSun" w:eastAsia="NSimSun" w:hAnsi="NSimSun" w:cs="NSimSun"/>
          <w:sz w:val="14"/>
          <w:szCs w:val="14"/>
        </w:rPr>
      </w:pPr>
      <w:r>
        <w:pict>
          <v:shape id="_x0000_s1030" type="#_x0000_t202" style="height:31.45pt;margin-left:340.91pt;margin-top:6.82pt;position:absolute;width:46.45pt;z-index:251661312">
            <v:textbox inset="0,0,0,0">
              <w:txbxContent>
                <w:p>
                  <w:pPr>
                    <w:pStyle w:val="BodyText"/>
                    <w:spacing w:before="20" w:line="203" w:lineRule="exact"/>
                    <w:ind w:left="301"/>
                    <w:rPr>
                      <w:sz w:val="14"/>
                      <w:szCs w:val="14"/>
                    </w:rPr>
                  </w:pPr>
                  <w:r>
                    <w:rPr>
                      <w:spacing w:val="7"/>
                      <w:position w:val="1"/>
                      <w:sz w:val="14"/>
                      <w:szCs w:val="14"/>
                    </w:rPr>
                    <w:t>CM5</w:t>
                  </w:r>
                </w:p>
                <w:p>
                  <w:pPr>
                    <w:spacing w:before="13" w:line="232" w:lineRule="auto"/>
                    <w:ind w:left="20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rFonts w:ascii="NSimSun" w:eastAsia="NSimSun" w:hAnsi="NSimSun" w:cs="NSimSun"/>
                      <w:spacing w:val="8"/>
                      <w:sz w:val="14"/>
                      <w:szCs w:val="14"/>
                    </w:rPr>
                    <w:t>定期生成配置</w:t>
                  </w:r>
                </w:p>
                <w:p>
                  <w:pPr>
                    <w:spacing w:before="21" w:line="231" w:lineRule="auto"/>
                    <w:ind w:left="154"/>
                    <w:rPr>
                      <w:rFonts w:ascii="NSimSun" w:eastAsia="NSimSun" w:hAnsi="NSimSun" w:cs="NSimSun"/>
                      <w:sz w:val="14"/>
                      <w:szCs w:val="14"/>
                    </w:rPr>
                  </w:pPr>
                  <w:r>
                    <w:rPr>
                      <w:rFonts w:ascii="NSimSun" w:eastAsia="NSimSun" w:hAnsi="NSimSun" w:cs="NSimSun"/>
                      <w:spacing w:val="13"/>
                      <w:sz w:val="14"/>
                      <w:szCs w:val="14"/>
                    </w:rPr>
                    <w:t>管理报表</w:t>
                  </w:r>
                </w:p>
              </w:txbxContent>
            </v:textbox>
          </v:shape>
        </w:pict>
      </w:r>
      <w:r>
        <w:rPr>
          <w:rFonts w:ascii="NSimSun" w:eastAsia="NSimSun" w:hAnsi="NSimSun" w:cs="NSimSun"/>
          <w:spacing w:val="7"/>
          <w:sz w:val="14"/>
          <w:szCs w:val="14"/>
        </w:rPr>
        <w:t>配置项定</w:t>
      </w:r>
      <w:r>
        <w:rPr>
          <w:rFonts w:ascii="NSimSun" w:eastAsia="NSimSun" w:hAnsi="NSimSun" w:cs="NSimSun"/>
          <w:spacing w:val="7"/>
          <w:sz w:val="14"/>
          <w:szCs w:val="14"/>
        </w:rPr>
        <w:t>义与识别</w:t>
      </w:r>
    </w:p>
    <w:p>
      <w:pPr>
        <w:pStyle w:val="BodyText"/>
        <w:spacing w:line="291" w:lineRule="auto"/>
      </w:pPr>
    </w:p>
    <w:p>
      <w:pPr>
        <w:pStyle w:val="BodyText"/>
        <w:spacing w:line="291" w:lineRule="auto"/>
      </w:pPr>
    </w:p>
    <w:p>
      <w:pPr>
        <w:pStyle w:val="BodyText"/>
        <w:spacing w:line="292" w:lineRule="auto"/>
      </w:pPr>
    </w:p>
    <w:p>
      <w:pPr>
        <w:spacing w:before="33" w:line="222" w:lineRule="auto"/>
        <w:ind w:left="2947"/>
        <w:rPr>
          <w:rFonts w:ascii="NSimSun" w:eastAsia="NSimSun" w:hAnsi="NSimSun" w:cs="NSimSun"/>
          <w:sz w:val="10"/>
          <w:szCs w:val="10"/>
        </w:rPr>
      </w:pPr>
      <w:r>
        <w:pict>
          <v:shape id="_x0000_s1031" type="#_x0000_t202" style="height:15.95pt;margin-left:187.52pt;margin-top:2.4pt;position:absolute;width:23.95pt;z-index:251665408">
            <v:textbox inset="0,0,0,0">
              <w:txbxContent>
                <w:p>
                  <w:pPr>
                    <w:pStyle w:val="BodyText"/>
                    <w:spacing w:before="19" w:line="257" w:lineRule="auto"/>
                    <w:ind w:left="35" w:right="20" w:hanging="16"/>
                    <w:rPr>
                      <w:rFonts w:ascii="NSimSun" w:eastAsia="NSimSun" w:hAnsi="NSimSun" w:cs="NSimSun"/>
                      <w:sz w:val="10"/>
                      <w:szCs w:val="10"/>
                    </w:rPr>
                  </w:pPr>
                  <w:r>
                    <w:rPr>
                      <w:rFonts w:ascii="NSimSun" w:eastAsia="NSimSun" w:hAnsi="NSimSun" w:cs="NSimSun"/>
                      <w:spacing w:val="2"/>
                      <w:sz w:val="10"/>
                      <w:szCs w:val="10"/>
                    </w:rPr>
                    <w:t>变更</w:t>
                  </w:r>
                  <w:r>
                    <w:rPr>
                      <w:spacing w:val="2"/>
                      <w:sz w:val="10"/>
                      <w:szCs w:val="10"/>
                    </w:rPr>
                    <w:t>/</w:t>
                  </w:r>
                  <w:r>
                    <w:rPr>
                      <w:rFonts w:ascii="NSimSun" w:eastAsia="NSimSun" w:hAnsi="NSimSun" w:cs="NSimSun"/>
                      <w:spacing w:val="2"/>
                      <w:sz w:val="10"/>
                      <w:szCs w:val="10"/>
                    </w:rPr>
                    <w:t>发布</w:t>
                  </w:r>
                  <w:r>
                    <w:rPr>
                      <w:rFonts w:ascii="NSimSun" w:eastAsia="NSimSun" w:hAnsi="NSimSun" w:cs="NSimSun"/>
                      <w:spacing w:val="1"/>
                      <w:sz w:val="10"/>
                      <w:szCs w:val="10"/>
                    </w:rPr>
                    <w:t>管理流程</w:t>
                  </w:r>
                </w:p>
              </w:txbxContent>
            </v:textbox>
          </v:shape>
        </w:pict>
      </w:r>
      <w:r>
        <w:rPr>
          <w:rFonts w:ascii="NSimSun" w:eastAsia="NSimSun" w:hAnsi="NSimSun" w:cs="NSimSun"/>
          <w:spacing w:val="-8"/>
          <w:sz w:val="10"/>
          <w:szCs w:val="10"/>
        </w:rPr>
        <w:t>其他</w:t>
      </w:r>
    </w:p>
    <w:p>
      <w:pPr>
        <w:pStyle w:val="BodyText"/>
        <w:spacing w:before="5" w:line="218" w:lineRule="auto"/>
        <w:ind w:left="2898" w:right="5100" w:hanging="46"/>
        <w:rPr>
          <w:rFonts w:ascii="NSimSun" w:eastAsia="NSimSun" w:hAnsi="NSimSun" w:cs="NSimSun"/>
          <w:sz w:val="10"/>
          <w:szCs w:val="10"/>
        </w:rPr>
      </w:pPr>
      <w:r>
        <w:pict>
          <v:shape id="_x0000_s1032" type="#_x0000_t202" style="height:8.45pt;margin-left:256.06pt;margin-top:-1.13pt;position:absolute;width:23.75pt;z-index:251667456">
            <v:textbox inset="0,0,0,0">
              <w:txbxContent>
                <w:p>
                  <w:pPr>
                    <w:spacing w:before="20" w:line="236" w:lineRule="auto"/>
                    <w:ind w:left="20"/>
                    <w:rPr>
                      <w:rFonts w:ascii="NSimSun" w:eastAsia="NSimSun" w:hAnsi="NSimSun" w:cs="NSimSun"/>
                      <w:sz w:val="10"/>
                      <w:szCs w:val="10"/>
                    </w:rPr>
                  </w:pPr>
                  <w:r>
                    <w:rPr>
                      <w:rFonts w:ascii="NSimSun" w:eastAsia="NSimSun" w:hAnsi="NSimSun" w:cs="NSimSun"/>
                      <w:spacing w:val="8"/>
                      <w:sz w:val="10"/>
                      <w:szCs w:val="10"/>
                    </w:rPr>
                    <w:t>例外报告</w:t>
                  </w:r>
                </w:p>
              </w:txbxContent>
            </v:textbox>
          </v:shape>
        </w:pict>
      </w:r>
      <w:r>
        <w:pict>
          <v:shape id="_x0000_s1033" type="#_x0000_t202" style="height:14.7pt;margin-left:348.21pt;margin-top:4.82pt;position:absolute;width:32.4pt;z-index:251664384">
            <v:textbox inset="0,0,0,0">
              <w:txbxContent>
                <w:p>
                  <w:pPr>
                    <w:pStyle w:val="BodyText"/>
                    <w:spacing w:before="20" w:line="234" w:lineRule="auto"/>
                    <w:ind w:left="167" w:right="20" w:hanging="148"/>
                    <w:rPr>
                      <w:rFonts w:ascii="NSimSun" w:eastAsia="NSimSun" w:hAnsi="NSimSun" w:cs="NSimSun"/>
                      <w:sz w:val="10"/>
                      <w:szCs w:val="10"/>
                    </w:rPr>
                  </w:pPr>
                  <w:r>
                    <w:rPr>
                      <w:rFonts w:ascii="NSimSun" w:eastAsia="NSimSun" w:hAnsi="NSimSun" w:cs="NSimSun"/>
                      <w:spacing w:val="-6"/>
                      <w:sz w:val="10"/>
                      <w:szCs w:val="10"/>
                    </w:rPr>
                    <w:t>用户</w:t>
                  </w:r>
                  <w:r>
                    <w:rPr>
                      <w:spacing w:val="-6"/>
                      <w:sz w:val="10"/>
                      <w:szCs w:val="10"/>
                    </w:rPr>
                    <w:t>/</w:t>
                  </w:r>
                  <w:r>
                    <w:rPr>
                      <w:rFonts w:ascii="NSimSun" w:eastAsia="NSimSun" w:hAnsi="NSimSun" w:cs="NSimSun"/>
                      <w:spacing w:val="-6"/>
                      <w:sz w:val="10"/>
                      <w:szCs w:val="10"/>
                    </w:rPr>
                    <w:t>管理层</w:t>
                  </w:r>
                  <w:r>
                    <w:rPr>
                      <w:spacing w:val="-6"/>
                      <w:sz w:val="10"/>
                      <w:szCs w:val="10"/>
                    </w:rPr>
                    <w:t>/</w:t>
                  </w:r>
                  <w:r>
                    <w:rPr>
                      <w:rFonts w:ascii="NSimSun" w:eastAsia="NSimSun" w:hAnsi="NSimSun" w:cs="NSimSun"/>
                      <w:spacing w:val="-6"/>
                      <w:sz w:val="10"/>
                      <w:szCs w:val="10"/>
                    </w:rPr>
                    <w:t>其</w:t>
                  </w:r>
                  <w:r>
                    <w:rPr>
                      <w:rFonts w:ascii="NSimSun" w:eastAsia="NSimSun" w:hAnsi="NSimSun" w:cs="NSimSun"/>
                      <w:spacing w:val="-1"/>
                      <w:sz w:val="10"/>
                      <w:szCs w:val="10"/>
                    </w:rPr>
                    <w:t>他流程</w:t>
                  </w:r>
                </w:p>
              </w:txbxContent>
            </v:textbox>
          </v:shape>
        </w:pict>
      </w:r>
      <w:r>
        <w:rPr>
          <w:spacing w:val="-1"/>
          <w:sz w:val="10"/>
          <w:szCs w:val="10"/>
        </w:rPr>
        <w:t>CMDB</w:t>
      </w:r>
      <w:r>
        <w:rPr>
          <w:rFonts w:ascii="NSimSun" w:eastAsia="NSimSun" w:hAnsi="NSimSun" w:cs="NSimSun"/>
          <w:spacing w:val="-1"/>
          <w:sz w:val="10"/>
          <w:szCs w:val="10"/>
        </w:rPr>
        <w:t>例</w:t>
      </w:r>
      <w:r>
        <w:rPr>
          <w:rFonts w:ascii="NSimSun" w:eastAsia="NSimSun" w:hAnsi="NSimSun" w:cs="NSimSun"/>
          <w:spacing w:val="-2"/>
          <w:sz w:val="10"/>
          <w:szCs w:val="10"/>
        </w:rPr>
        <w:t>外报告</w:t>
      </w:r>
    </w:p>
    <w:p>
      <w:pPr>
        <w:pStyle w:val="BodyText"/>
        <w:spacing w:line="419" w:lineRule="auto"/>
      </w:pPr>
    </w:p>
    <w:p>
      <w:pPr>
        <w:pStyle w:val="BodyText"/>
        <w:spacing w:before="33" w:line="213" w:lineRule="auto"/>
        <w:ind w:left="3857"/>
        <w:rPr>
          <w:rFonts w:ascii="NSimSun" w:eastAsia="NSimSun" w:hAnsi="NSimSun" w:cs="NSimSun"/>
          <w:sz w:val="10"/>
          <w:szCs w:val="10"/>
        </w:rPr>
      </w:pPr>
      <w:r>
        <w:rPr>
          <w:spacing w:val="-1"/>
          <w:sz w:val="10"/>
          <w:szCs w:val="10"/>
        </w:rPr>
        <w:t>CI</w:t>
      </w:r>
      <w:r>
        <w:rPr>
          <w:rFonts w:ascii="NSimSun" w:eastAsia="NSimSun" w:hAnsi="NSimSun" w:cs="NSimSun"/>
          <w:spacing w:val="-1"/>
          <w:sz w:val="10"/>
          <w:szCs w:val="10"/>
        </w:rPr>
        <w:t>实体</w:t>
      </w:r>
    </w:p>
    <w:p>
      <w:pPr>
        <w:spacing w:before="1" w:line="222" w:lineRule="auto"/>
        <w:ind w:left="3907"/>
        <w:rPr>
          <w:rFonts w:ascii="NSimSun" w:eastAsia="NSimSun" w:hAnsi="NSimSun" w:cs="NSimSun"/>
          <w:sz w:val="10"/>
          <w:szCs w:val="10"/>
        </w:rPr>
      </w:pPr>
      <w:r>
        <w:rPr>
          <w:rFonts w:ascii="NSimSun" w:eastAsia="NSimSun" w:hAnsi="NSimSun" w:cs="NSimSun"/>
          <w:spacing w:val="-2"/>
          <w:sz w:val="10"/>
          <w:szCs w:val="10"/>
        </w:rPr>
        <w:t>变更</w:t>
      </w:r>
    </w:p>
    <w:p>
      <w:pPr>
        <w:pStyle w:val="BodyText"/>
        <w:spacing w:line="274" w:lineRule="auto"/>
      </w:pPr>
    </w:p>
    <w:p>
      <w:pPr>
        <w:pStyle w:val="BodyText"/>
        <w:spacing w:line="275" w:lineRule="auto"/>
      </w:pPr>
    </w:p>
    <w:p>
      <w:pPr>
        <w:pStyle w:val="BodyText"/>
        <w:spacing w:line="275" w:lineRule="auto"/>
      </w:pPr>
    </w:p>
    <w:p>
      <w:pPr>
        <w:spacing w:before="98" w:line="221" w:lineRule="auto"/>
        <w:ind w:left="3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流程说明</w:t>
      </w:r>
    </w:p>
    <w:p>
      <w:pPr>
        <w:spacing w:before="128"/>
      </w:pPr>
    </w:p>
    <w:tbl>
      <w:tblPr>
        <w:tblStyle w:val="TableNormal"/>
        <w:tblW w:w="8265" w:type="dxa"/>
        <w:tblInd w:w="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967"/>
        <w:gridCol w:w="3543"/>
        <w:gridCol w:w="1055"/>
        <w:gridCol w:w="851"/>
        <w:gridCol w:w="849"/>
      </w:tblGrid>
      <w:tr>
        <w:tblPrEx>
          <w:tblW w:w="8265" w:type="dxa"/>
          <w:tblInd w:w="4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591"/>
        </w:trPr>
        <w:tc>
          <w:tcPr>
            <w:tcW w:w="1967" w:type="dxa"/>
            <w:shd w:val="clear" w:color="auto" w:fill="818181"/>
          </w:tcPr>
          <w:p>
            <w:pPr>
              <w:spacing w:before="211" w:line="220" w:lineRule="auto"/>
              <w:ind w:left="7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3543" w:type="dxa"/>
            <w:shd w:val="clear" w:color="auto" w:fill="818181"/>
          </w:tcPr>
          <w:p>
            <w:pPr>
              <w:spacing w:before="211" w:line="221" w:lineRule="auto"/>
              <w:ind w:left="15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1055" w:type="dxa"/>
            <w:shd w:val="clear" w:color="auto" w:fill="818181"/>
          </w:tcPr>
          <w:p>
            <w:pPr>
              <w:spacing w:before="211" w:line="219" w:lineRule="auto"/>
              <w:ind w:left="1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851" w:type="dxa"/>
            <w:shd w:val="clear" w:color="auto" w:fill="818181"/>
          </w:tcPr>
          <w:p>
            <w:pPr>
              <w:spacing w:before="211" w:line="219" w:lineRule="auto"/>
              <w:ind w:left="1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849" w:type="dxa"/>
            <w:shd w:val="clear" w:color="auto" w:fill="818181"/>
          </w:tcPr>
          <w:p>
            <w:pPr>
              <w:spacing w:before="211" w:line="219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1603"/>
        </w:trPr>
        <w:tc>
          <w:tcPr>
            <w:tcW w:w="1967" w:type="dxa"/>
          </w:tcPr>
          <w:p>
            <w:pPr>
              <w:pStyle w:val="TableText"/>
              <w:spacing w:line="242" w:lineRule="auto"/>
            </w:pPr>
          </w:p>
          <w:p>
            <w:pPr>
              <w:spacing w:before="78" w:line="312" w:lineRule="auto"/>
              <w:ind w:left="155" w:right="133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根据项目合同或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公司内部需求确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认配置管理范围</w:t>
            </w:r>
          </w:p>
        </w:tc>
        <w:tc>
          <w:tcPr>
            <w:tcW w:w="3543" w:type="dxa"/>
          </w:tcPr>
          <w:p>
            <w:pPr>
              <w:spacing w:before="116" w:line="284" w:lineRule="auto"/>
              <w:ind w:left="117" w:right="80" w:hanging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9"/>
                <w:sz w:val="24"/>
                <w:szCs w:val="24"/>
              </w:rPr>
              <w:t>配置经理根据项</w:t>
            </w:r>
            <w:r>
              <w:rPr>
                <w:rFonts w:ascii="SimSun" w:eastAsia="SimSun" w:hAnsi="SimSun" w:cs="SimSun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9"/>
                <w:sz w:val="24"/>
                <w:szCs w:val="24"/>
              </w:rPr>
              <w:t>目合同或公司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内部需求确认配置管理范围，作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>为制定配置管理规划的输出和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依据</w:t>
            </w:r>
          </w:p>
        </w:tc>
        <w:tc>
          <w:tcPr>
            <w:tcW w:w="1055" w:type="dxa"/>
          </w:tcPr>
          <w:p>
            <w:pPr>
              <w:pStyle w:val="TableText"/>
              <w:spacing w:line="439" w:lineRule="auto"/>
            </w:pPr>
          </w:p>
          <w:p>
            <w:pPr>
              <w:spacing w:before="78" w:line="317" w:lineRule="auto"/>
              <w:ind w:left="119" w:right="10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经</w:t>
            </w:r>
            <w:r>
              <w:rPr>
                <w:rFonts w:ascii="SimSun" w:eastAsia="SimSun" w:hAnsi="SimSun" w:cs="SimSun"/>
                <w:sz w:val="24"/>
                <w:szCs w:val="24"/>
              </w:rPr>
              <w:t>理</w:t>
            </w: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pStyle w:val="TableText"/>
              <w:spacing w:line="241" w:lineRule="auto"/>
            </w:pPr>
          </w:p>
          <w:p>
            <w:pPr>
              <w:spacing w:before="78" w:line="311" w:lineRule="auto"/>
              <w:ind w:left="201" w:right="174" w:hanging="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管理</w:t>
            </w:r>
          </w:p>
          <w:p>
            <w:pPr>
              <w:spacing w:line="220" w:lineRule="auto"/>
              <w:ind w:left="2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范围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2001"/>
        </w:trPr>
        <w:tc>
          <w:tcPr>
            <w:tcW w:w="1967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spacing w:before="78" w:line="219" w:lineRule="auto"/>
              <w:ind w:left="27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配置管理规划</w:t>
            </w:r>
          </w:p>
        </w:tc>
        <w:tc>
          <w:tcPr>
            <w:tcW w:w="3543" w:type="dxa"/>
          </w:tcPr>
          <w:p>
            <w:pPr>
              <w:spacing w:before="118" w:line="311" w:lineRule="auto"/>
              <w:ind w:left="114" w:right="92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对公司与 IT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服务有关的配置项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进行识别，完成配置项分类定义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表，主要包括：</w:t>
            </w:r>
          </w:p>
          <w:p>
            <w:pPr>
              <w:spacing w:before="2" w:line="253" w:lineRule="auto"/>
              <w:ind w:left="114" w:right="71" w:firstLine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配置项的分类、定义和说明；配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置项分类表格</w:t>
            </w:r>
          </w:p>
        </w:tc>
        <w:tc>
          <w:tcPr>
            <w:tcW w:w="1055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9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配置经</w:t>
            </w:r>
            <w:r>
              <w:rPr>
                <w:rFonts w:ascii="SimSun" w:eastAsia="SimSun" w:hAnsi="SimSun" w:cs="SimSun"/>
                <w:sz w:val="24"/>
                <w:szCs w:val="24"/>
              </w:rPr>
              <w:t>理</w:t>
            </w: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313" w:lineRule="auto"/>
              <w:ind w:left="196" w:right="174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管理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规划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1259"/>
        </w:trPr>
        <w:tc>
          <w:tcPr>
            <w:tcW w:w="1967" w:type="dxa"/>
          </w:tcPr>
          <w:p>
            <w:pPr>
              <w:pStyle w:val="TableText"/>
              <w:spacing w:line="465" w:lineRule="auto"/>
            </w:pPr>
          </w:p>
          <w:p>
            <w:pPr>
              <w:spacing w:before="78" w:line="220" w:lineRule="auto"/>
              <w:ind w:left="15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配置定义和标识</w:t>
            </w:r>
          </w:p>
        </w:tc>
        <w:tc>
          <w:tcPr>
            <w:tcW w:w="3543" w:type="dxa"/>
          </w:tcPr>
          <w:p>
            <w:pPr>
              <w:spacing w:before="145" w:line="283" w:lineRule="auto"/>
              <w:ind w:left="116" w:right="114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加强</w:t>
            </w:r>
            <w:r>
              <w:rPr>
                <w:rFonts w:ascii="SimSun" w:eastAsia="SimSun" w:hAnsi="SimSun" w:cs="SimSu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CI 变更的相应授权，在 CI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的整个生命周期内跟踪 CI</w:t>
            </w:r>
            <w:r>
              <w:rPr>
                <w:rFonts w:ascii="SimSun" w:eastAsia="SimSun" w:hAnsi="SimSun" w:cs="SimSu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的状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态历史（如以前、当前、计划状</w:t>
            </w:r>
          </w:p>
        </w:tc>
        <w:tc>
          <w:tcPr>
            <w:tcW w:w="1055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317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配置经</w:t>
            </w:r>
            <w:r>
              <w:rPr>
                <w:rFonts w:ascii="SimSun" w:eastAsia="SimSun" w:hAnsi="SimSun" w:cs="SimSun"/>
                <w:sz w:val="24"/>
                <w:szCs w:val="24"/>
              </w:rPr>
              <w:t>理</w:t>
            </w:r>
          </w:p>
        </w:tc>
        <w:tc>
          <w:tcPr>
            <w:tcW w:w="851" w:type="dxa"/>
          </w:tcPr>
          <w:p>
            <w:pPr>
              <w:spacing w:before="145" w:line="223" w:lineRule="auto"/>
              <w:ind w:left="1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配置</w:t>
            </w:r>
          </w:p>
          <w:p>
            <w:pPr>
              <w:spacing w:before="113" w:line="269" w:lineRule="auto"/>
              <w:ind w:left="328" w:right="177" w:hanging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项信</w:t>
            </w:r>
            <w:r>
              <w:rPr>
                <w:rFonts w:ascii="SimSun" w:eastAsia="SimSun" w:hAnsi="SimSun" w:cs="SimSun"/>
                <w:sz w:val="24"/>
                <w:szCs w:val="24"/>
              </w:rPr>
              <w:t>息</w:t>
            </w:r>
          </w:p>
        </w:tc>
        <w:tc>
          <w:tcPr>
            <w:tcW w:w="849" w:type="dxa"/>
          </w:tcPr>
          <w:p>
            <w:pPr>
              <w:spacing w:before="145" w:line="223" w:lineRule="auto"/>
              <w:ind w:left="1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配置</w:t>
            </w:r>
          </w:p>
          <w:p>
            <w:pPr>
              <w:spacing w:before="113" w:line="269" w:lineRule="auto"/>
              <w:ind w:left="326" w:right="176" w:hanging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项信</w:t>
            </w:r>
            <w:r>
              <w:rPr>
                <w:rFonts w:ascii="SimSun" w:eastAsia="SimSun" w:hAnsi="SimSun" w:cs="SimSun"/>
                <w:sz w:val="24"/>
                <w:szCs w:val="24"/>
              </w:rPr>
              <w:t>息</w:t>
            </w:r>
          </w:p>
        </w:tc>
      </w:tr>
    </w:tbl>
    <w:p>
      <w:pPr>
        <w:pStyle w:val="BodyText"/>
        <w:spacing w:line="212" w:lineRule="exact"/>
        <w:rPr>
          <w:sz w:val="18"/>
        </w:rPr>
      </w:pPr>
    </w:p>
    <w:p>
      <w:pPr>
        <w:spacing w:line="212" w:lineRule="exact"/>
        <w:rPr>
          <w:sz w:val="18"/>
          <w:szCs w:val="18"/>
        </w:rPr>
        <w:sectPr>
          <w:footerReference w:type="default" r:id="rId12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265" w:type="dxa"/>
        <w:tblInd w:w="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967"/>
        <w:gridCol w:w="3543"/>
        <w:gridCol w:w="1055"/>
        <w:gridCol w:w="851"/>
        <w:gridCol w:w="849"/>
      </w:tblGrid>
      <w:tr>
        <w:tblPrEx>
          <w:tblW w:w="8265" w:type="dxa"/>
          <w:tblInd w:w="4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1256"/>
        </w:trPr>
        <w:tc>
          <w:tcPr>
            <w:tcW w:w="1967" w:type="dxa"/>
          </w:tcPr>
          <w:p>
            <w:pPr>
              <w:pStyle w:val="TableText"/>
            </w:pPr>
          </w:p>
        </w:tc>
        <w:tc>
          <w:tcPr>
            <w:tcW w:w="3543" w:type="dxa"/>
          </w:tcPr>
          <w:p>
            <w:pPr>
              <w:spacing w:before="118" w:line="289" w:lineRule="auto"/>
              <w:ind w:left="116" w:right="119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2"/>
                <w:sz w:val="24"/>
                <w:szCs w:val="24"/>
              </w:rPr>
              <w:t>态等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>），</w:t>
            </w:r>
            <w:r>
              <w:rPr>
                <w:rFonts w:ascii="SimSun" w:eastAsia="SimSun" w:hAnsi="SimSun" w:cs="SimSun"/>
                <w:spacing w:val="2"/>
                <w:sz w:val="24"/>
                <w:szCs w:val="24"/>
              </w:rPr>
              <w:t>确保只有被认可的和被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>标识的配置项才能被接受和记</w:t>
            </w:r>
            <w:r>
              <w:rPr>
                <w:rFonts w:ascii="SimSun" w:eastAsia="SimSun" w:hAnsi="SimSun" w:cs="SimSun"/>
                <w:sz w:val="24"/>
                <w:szCs w:val="24"/>
              </w:rPr>
              <w:t>录</w:t>
            </w:r>
          </w:p>
        </w:tc>
        <w:tc>
          <w:tcPr>
            <w:tcW w:w="1055" w:type="dxa"/>
          </w:tcPr>
          <w:p>
            <w:pPr>
              <w:pStyle w:val="TableText"/>
            </w:pP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pStyle w:val="TableText"/>
            </w:pPr>
          </w:p>
        </w:tc>
      </w:tr>
      <w:tr>
        <w:tblPrEx>
          <w:tblW w:w="8265" w:type="dxa"/>
          <w:tblInd w:w="43" w:type="dxa"/>
          <w:tblLayout w:type="fixed"/>
        </w:tblPrEx>
        <w:trPr>
          <w:trHeight w:val="2005"/>
        </w:trPr>
        <w:tc>
          <w:tcPr>
            <w:tcW w:w="1967" w:type="dxa"/>
          </w:tcPr>
          <w:p>
            <w:pPr>
              <w:pStyle w:val="TableText"/>
              <w:spacing w:line="320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4" w:lineRule="auto"/>
              <w:ind w:left="754" w:right="135" w:hanging="5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建立配置管理数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据库</w:t>
            </w:r>
          </w:p>
        </w:tc>
        <w:tc>
          <w:tcPr>
            <w:tcW w:w="3543" w:type="dxa"/>
          </w:tcPr>
          <w:p>
            <w:pPr>
              <w:spacing w:before="116" w:line="311" w:lineRule="auto"/>
              <w:ind w:left="114" w:right="68" w:firstLine="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组织分析配置项的属性，确定不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同分类配置项的属性以及关系。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根据配置项的属性以及关系对配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置项进行命名，完成配置管理</w:t>
            </w:r>
          </w:p>
          <w:p>
            <w:pPr>
              <w:spacing w:line="201" w:lineRule="auto"/>
              <w:ind w:left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记录表</w:t>
            </w:r>
          </w:p>
        </w:tc>
        <w:tc>
          <w:tcPr>
            <w:tcW w:w="1055" w:type="dxa"/>
          </w:tcPr>
          <w:p>
            <w:pPr>
              <w:pStyle w:val="TableText"/>
              <w:spacing w:line="320" w:lineRule="auto"/>
            </w:pPr>
          </w:p>
          <w:p>
            <w:pPr>
              <w:pStyle w:val="TableText"/>
              <w:spacing w:line="320" w:lineRule="auto"/>
            </w:pPr>
          </w:p>
          <w:p>
            <w:pPr>
              <w:spacing w:before="78" w:line="315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配置管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理员</w:t>
            </w: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pStyle w:val="TableText"/>
              <w:spacing w:line="293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spacing w:before="78" w:line="183" w:lineRule="auto"/>
              <w:ind w:left="19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CMDB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2406"/>
        </w:trPr>
        <w:tc>
          <w:tcPr>
            <w:tcW w:w="1967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spacing w:before="78" w:line="314" w:lineRule="auto"/>
              <w:ind w:left="394" w:right="135" w:hanging="2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配置管理数据库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控制和维护</w:t>
            </w:r>
          </w:p>
        </w:tc>
        <w:tc>
          <w:tcPr>
            <w:tcW w:w="3543" w:type="dxa"/>
          </w:tcPr>
          <w:p>
            <w:pPr>
              <w:spacing w:before="118" w:line="292" w:lineRule="auto"/>
              <w:ind w:left="115" w:right="68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在变更得到批准通过并关闭后，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配置经理应组织、管控相关人员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实施相关配置项的变更工作，更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新配置管理数据库，以及最终硬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件库、最终软件库，确保其与实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际状态相符</w:t>
            </w:r>
          </w:p>
        </w:tc>
        <w:tc>
          <w:tcPr>
            <w:tcW w:w="1055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78" w:line="315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配置管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理员</w:t>
            </w:r>
          </w:p>
        </w:tc>
        <w:tc>
          <w:tcPr>
            <w:tcW w:w="851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5" w:lineRule="auto"/>
              <w:ind w:left="201" w:right="174" w:hanging="3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项信</w:t>
            </w:r>
            <w:r>
              <w:rPr>
                <w:rFonts w:ascii="SimSun" w:eastAsia="SimSun" w:hAnsi="SimSun" w:cs="SimSun"/>
                <w:sz w:val="24"/>
                <w:szCs w:val="24"/>
              </w:rPr>
              <w:t>息</w:t>
            </w:r>
          </w:p>
        </w:tc>
        <w:tc>
          <w:tcPr>
            <w:tcW w:w="849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5" w:lineRule="auto"/>
              <w:ind w:left="199" w:right="174" w:hanging="3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项信</w:t>
            </w:r>
            <w:r>
              <w:rPr>
                <w:rFonts w:ascii="SimSun" w:eastAsia="SimSun" w:hAnsi="SimSun" w:cs="SimSun"/>
                <w:sz w:val="24"/>
                <w:szCs w:val="24"/>
              </w:rPr>
              <w:t>息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1203"/>
        </w:trPr>
        <w:tc>
          <w:tcPr>
            <w:tcW w:w="1967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20" w:lineRule="auto"/>
              <w:ind w:left="15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配置审计和验证</w:t>
            </w:r>
          </w:p>
        </w:tc>
        <w:tc>
          <w:tcPr>
            <w:tcW w:w="3543" w:type="dxa"/>
          </w:tcPr>
          <w:p>
            <w:pPr>
              <w:spacing w:before="116" w:line="276" w:lineRule="auto"/>
              <w:ind w:left="118" w:right="102" w:firstLine="3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定期对 CMDB 进行验证和审计，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并判断配置项是否满足 SLA 的要</w:t>
            </w:r>
            <w:r>
              <w:rPr>
                <w:rFonts w:ascii="SimSun" w:eastAsia="SimSun" w:hAnsi="SimSun" w:cs="SimSun"/>
                <w:sz w:val="24"/>
                <w:szCs w:val="24"/>
              </w:rPr>
              <w:t>求</w:t>
            </w:r>
          </w:p>
        </w:tc>
        <w:tc>
          <w:tcPr>
            <w:tcW w:w="1055" w:type="dxa"/>
          </w:tcPr>
          <w:p>
            <w:pPr>
              <w:spacing w:before="319" w:line="315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配置管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理员</w:t>
            </w: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spacing w:before="118" w:line="223" w:lineRule="auto"/>
              <w:ind w:left="1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配置</w:t>
            </w:r>
          </w:p>
          <w:p>
            <w:pPr>
              <w:spacing w:before="111" w:line="220" w:lineRule="auto"/>
              <w:ind w:left="2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审计</w:t>
            </w:r>
          </w:p>
          <w:p>
            <w:pPr>
              <w:spacing w:before="114" w:line="210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</w:tr>
      <w:tr>
        <w:tblPrEx>
          <w:tblW w:w="8265" w:type="dxa"/>
          <w:tblInd w:w="43" w:type="dxa"/>
          <w:tblLayout w:type="fixed"/>
        </w:tblPrEx>
        <w:trPr>
          <w:trHeight w:val="1609"/>
        </w:trPr>
        <w:tc>
          <w:tcPr>
            <w:tcW w:w="1967" w:type="dxa"/>
          </w:tcPr>
          <w:p>
            <w:pPr>
              <w:pStyle w:val="TableText"/>
              <w:spacing w:line="322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78" w:line="218" w:lineRule="auto"/>
              <w:ind w:left="5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配置报告</w:t>
            </w:r>
          </w:p>
        </w:tc>
        <w:tc>
          <w:tcPr>
            <w:tcW w:w="3543" w:type="dxa"/>
          </w:tcPr>
          <w:p>
            <w:pPr>
              <w:spacing w:before="122" w:line="284" w:lineRule="auto"/>
              <w:ind w:left="117" w:right="80" w:hanging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根据配置管理策划的要求，配置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>经理应定期对配置管理数据库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的状况进行报告，完成《配置报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告》</w:t>
            </w:r>
          </w:p>
        </w:tc>
        <w:tc>
          <w:tcPr>
            <w:tcW w:w="1055" w:type="dxa"/>
          </w:tcPr>
          <w:p>
            <w:pPr>
              <w:pStyle w:val="TableText"/>
              <w:spacing w:line="441" w:lineRule="auto"/>
            </w:pPr>
          </w:p>
          <w:p>
            <w:pPr>
              <w:spacing w:before="78" w:line="315" w:lineRule="auto"/>
              <w:ind w:left="119" w:right="221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配置管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理员</w:t>
            </w: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49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313" w:lineRule="auto"/>
              <w:ind w:left="194" w:right="176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配置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报告</w:t>
            </w:r>
          </w:p>
        </w:tc>
      </w:tr>
    </w:tbl>
    <w:p>
      <w:pPr>
        <w:pStyle w:val="BodyText"/>
        <w:spacing w:line="470" w:lineRule="auto"/>
      </w:pPr>
    </w:p>
    <w:p>
      <w:pPr>
        <w:spacing w:before="100" w:line="226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12" w:name="bookmark12"/>
      <w:bookmarkEnd w:id="12"/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7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流程指标</w:t>
      </w: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78" w:line="365" w:lineRule="auto"/>
        <w:ind w:left="28" w:right="93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为保证配置管理流程的有效性，定义以下关键绩</w:t>
      </w:r>
      <w:r>
        <w:rPr>
          <w:rFonts w:ascii="SimSun" w:eastAsia="SimSun" w:hAnsi="SimSun" w:cs="SimSun"/>
          <w:spacing w:val="-1"/>
          <w:sz w:val="24"/>
          <w:szCs w:val="24"/>
        </w:rPr>
        <w:t>效指标（</w:t>
      </w:r>
      <w:r>
        <w:rPr>
          <w:rFonts w:ascii="Calibri" w:eastAsia="Calibri" w:hAnsi="Calibri" w:cs="Calibri"/>
          <w:spacing w:val="-1"/>
          <w:sz w:val="24"/>
          <w:szCs w:val="24"/>
        </w:rPr>
        <w:t>KPI</w:t>
      </w:r>
      <w:r>
        <w:rPr>
          <w:rFonts w:ascii="SimSun" w:eastAsia="SimSun" w:hAnsi="SimSun" w:cs="SimSun"/>
          <w:spacing w:val="-1"/>
          <w:sz w:val="24"/>
          <w:szCs w:val="24"/>
        </w:rPr>
        <w:t>）和其他相关</w:t>
      </w:r>
      <w:r>
        <w:rPr>
          <w:rFonts w:ascii="SimSun" w:eastAsia="SimSun" w:hAnsi="SimSun" w:cs="SimSun"/>
          <w:spacing w:val="-1"/>
          <w:sz w:val="24"/>
          <w:szCs w:val="24"/>
        </w:rPr>
        <w:t>评价标准用以衡量配置管理流程的有效性和效率：</w:t>
      </w:r>
    </w:p>
    <w:p>
      <w:pPr>
        <w:spacing w:before="153" w:line="219" w:lineRule="auto"/>
        <w:ind w:left="50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配置数据的准确率 =（配置项数据准确的数量/配置</w:t>
      </w:r>
      <w:r>
        <w:rPr>
          <w:rFonts w:ascii="SimSun" w:eastAsia="SimSun" w:hAnsi="SimSun" w:cs="SimSun"/>
          <w:spacing w:val="-1"/>
          <w:sz w:val="24"/>
          <w:szCs w:val="24"/>
        </w:rPr>
        <w:t>项数据总数）*100%</w:t>
      </w: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spacing w:before="101" w:line="226" w:lineRule="auto"/>
        <w:ind w:left="28"/>
        <w:outlineLvl w:val="0"/>
        <w:rPr>
          <w:rFonts w:ascii="SimHei" w:eastAsia="SimHei" w:hAnsi="SimHei" w:cs="SimHei"/>
          <w:sz w:val="31"/>
          <w:szCs w:val="31"/>
        </w:rPr>
      </w:pPr>
      <w:bookmarkStart w:id="13" w:name="bookmark13"/>
      <w:bookmarkEnd w:id="13"/>
      <w:r>
        <w:rPr>
          <w:rFonts w:ascii="SimHei" w:eastAsia="SimHei" w:hAnsi="SimHei" w:cs="SimHei"/>
          <w:b/>
          <w:bCs/>
          <w:spacing w:val="2"/>
          <w:sz w:val="31"/>
          <w:szCs w:val="31"/>
        </w:rPr>
        <w:t>8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流程持续改进</w:t>
      </w:r>
    </w:p>
    <w:p>
      <w:pPr>
        <w:pStyle w:val="BodyText"/>
        <w:spacing w:line="259" w:lineRule="auto"/>
      </w:pPr>
    </w:p>
    <w:p>
      <w:pPr>
        <w:pStyle w:val="BodyText"/>
        <w:spacing w:line="259" w:lineRule="auto"/>
      </w:pPr>
    </w:p>
    <w:p>
      <w:pPr>
        <w:spacing w:before="79" w:line="358" w:lineRule="auto"/>
        <w:ind w:left="933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流程负责人定期开展配置管理流程回顾工作，召开回顾会议，与流程相</w:t>
      </w:r>
      <w:r>
        <w:rPr>
          <w:rFonts w:ascii="SimSun" w:eastAsia="SimSun" w:hAnsi="SimSun" w:cs="SimSun"/>
          <w:spacing w:val="-1"/>
          <w:sz w:val="24"/>
          <w:szCs w:val="24"/>
        </w:rPr>
        <w:t>关人员讨论流程实施及流程改进措施。</w:t>
      </w:r>
    </w:p>
    <w:p>
      <w:pPr>
        <w:spacing w:line="358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3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5" w:line="295" w:lineRule="auto"/>
        <w:ind w:left="928" w:right="74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流程负责人根据会议讨论的内容，进一步制定流程改进点，同时将对流</w:t>
      </w:r>
      <w:r>
        <w:rPr>
          <w:rFonts w:ascii="SimSun" w:eastAsia="SimSun" w:hAnsi="SimSun" w:cs="SimSun"/>
          <w:spacing w:val="-1"/>
          <w:sz w:val="24"/>
          <w:szCs w:val="24"/>
        </w:rPr>
        <w:t>程的改进写进服务改进计划。</w:t>
      </w:r>
    </w:p>
    <w:p>
      <w:pPr>
        <w:spacing w:before="176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执行改进计划：流程负责人组织协调相关人员，执行流程改进计划。</w:t>
      </w:r>
    </w:p>
    <w:sectPr>
      <w:footerReference w:type="default" r:id="rId14"/>
      <w:pgSz w:w="11910" w:h="16840"/>
      <w:pgMar w:top="877" w:right="1786" w:bottom="1196" w:left="1779" w:header="0" w:footer="98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11"/>
        <w:sz w:val="18"/>
        <w:szCs w:val="18"/>
      </w:rPr>
      <w:t>第</w:t>
    </w:r>
    <w:r>
      <w:rPr>
        <w:rFonts w:ascii="SimSun" w:eastAsia="SimSun" w:hAnsi="SimSun" w:cs="SimSun"/>
        <w:spacing w:val="-21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1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11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2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3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3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4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5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6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7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8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9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9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image" Target="media/image2.png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footer" Target="footer9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ITSS体系文件</dc:title>
  <dc:creator>LoriChen</dc:creator>
  <cp:revision>0</cp:revision>
  <dcterms:created xsi:type="dcterms:W3CDTF">2022-11-30T11:26:34Z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2025-09-29T03:03:08Z</vt:filetime>
  </property>
  <property fmtid="{D5CDD505-2E9C-101B-9397-08002B2CF9AE}" pid="3" name="CRO">
    <vt:lpwstr>wqlLaW5nc29mdCBQREYgdG8gV1BTIDExNQ</vt:lpwstr>
  </property>
</Properties>
</file>