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41E1A">
      <w:pPr>
        <w:pStyle w:val="2"/>
        <w:spacing w:line="264" w:lineRule="auto"/>
      </w:pPr>
    </w:p>
    <w:p w14:paraId="1EBF7E07">
      <w:pPr>
        <w:pStyle w:val="2"/>
        <w:spacing w:line="264" w:lineRule="auto"/>
      </w:pPr>
    </w:p>
    <w:p w14:paraId="1DB2CE15">
      <w:pPr>
        <w:pStyle w:val="2"/>
        <w:spacing w:line="264" w:lineRule="auto"/>
      </w:pPr>
    </w:p>
    <w:p w14:paraId="734F012D">
      <w:pPr>
        <w:pStyle w:val="2"/>
        <w:spacing w:line="264" w:lineRule="auto"/>
      </w:pPr>
    </w:p>
    <w:p w14:paraId="68E6A99E">
      <w:pPr>
        <w:pStyle w:val="2"/>
        <w:spacing w:line="264" w:lineRule="auto"/>
      </w:pPr>
    </w:p>
    <w:p w14:paraId="6B71384A">
      <w:pPr>
        <w:pStyle w:val="2"/>
        <w:spacing w:line="264" w:lineRule="auto"/>
      </w:pPr>
    </w:p>
    <w:p w14:paraId="755AEE4E">
      <w:pPr>
        <w:pStyle w:val="2"/>
        <w:spacing w:line="264" w:lineRule="auto"/>
      </w:pPr>
    </w:p>
    <w:p w14:paraId="2AE124E1">
      <w:pPr>
        <w:pStyle w:val="2"/>
        <w:spacing w:line="265" w:lineRule="auto"/>
      </w:pPr>
    </w:p>
    <w:p w14:paraId="42C8D0B4">
      <w:pPr>
        <w:spacing w:before="169" w:line="334" w:lineRule="auto"/>
        <w:ind w:left="3033" w:right="513" w:hanging="1558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b/>
          <w:bCs/>
          <w:spacing w:val="-6"/>
          <w:sz w:val="52"/>
          <w:szCs w:val="52"/>
        </w:rPr>
        <w:t>实施运维服务能力成熟度对服务能力提</w:t>
      </w:r>
      <w:r>
        <w:rPr>
          <w:rFonts w:ascii="宋体" w:hAnsi="宋体" w:eastAsia="宋体" w:cs="宋体"/>
          <w:spacing w:val="8"/>
          <w:sz w:val="52"/>
          <w:szCs w:val="52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52"/>
          <w:szCs w:val="52"/>
        </w:rPr>
        <w:t>升及业务发展的促进情况</w:t>
      </w:r>
    </w:p>
    <w:p w14:paraId="41392BCA">
      <w:pPr>
        <w:pStyle w:val="2"/>
        <w:spacing w:line="249" w:lineRule="auto"/>
      </w:pPr>
    </w:p>
    <w:p w14:paraId="2BFC3436">
      <w:pPr>
        <w:pStyle w:val="2"/>
        <w:spacing w:line="249" w:lineRule="auto"/>
      </w:pPr>
    </w:p>
    <w:p w14:paraId="2EBE7CB0">
      <w:pPr>
        <w:pStyle w:val="2"/>
        <w:spacing w:line="249" w:lineRule="auto"/>
      </w:pPr>
    </w:p>
    <w:p w14:paraId="70DBA17C">
      <w:pPr>
        <w:pStyle w:val="2"/>
        <w:spacing w:line="249" w:lineRule="auto"/>
      </w:pPr>
    </w:p>
    <w:p w14:paraId="395350DF">
      <w:pPr>
        <w:pStyle w:val="2"/>
        <w:spacing w:line="249" w:lineRule="auto"/>
      </w:pPr>
    </w:p>
    <w:p w14:paraId="128F5111">
      <w:pPr>
        <w:pStyle w:val="2"/>
        <w:spacing w:line="249" w:lineRule="auto"/>
      </w:pPr>
    </w:p>
    <w:p w14:paraId="14B9E076">
      <w:pPr>
        <w:pStyle w:val="2"/>
        <w:spacing w:line="249" w:lineRule="auto"/>
      </w:pPr>
    </w:p>
    <w:p w14:paraId="282680B1">
      <w:pPr>
        <w:pStyle w:val="2"/>
        <w:spacing w:line="249" w:lineRule="auto"/>
      </w:pPr>
    </w:p>
    <w:p w14:paraId="7CB60221">
      <w:pPr>
        <w:pStyle w:val="2"/>
        <w:spacing w:line="249" w:lineRule="auto"/>
      </w:pPr>
    </w:p>
    <w:p w14:paraId="3F28547A">
      <w:pPr>
        <w:pStyle w:val="2"/>
        <w:spacing w:line="249" w:lineRule="auto"/>
      </w:pPr>
    </w:p>
    <w:p w14:paraId="65FD2878">
      <w:pPr>
        <w:pStyle w:val="2"/>
        <w:spacing w:line="249" w:lineRule="auto"/>
      </w:pPr>
    </w:p>
    <w:p w14:paraId="4D9BC3BE">
      <w:pPr>
        <w:pStyle w:val="2"/>
        <w:spacing w:line="249" w:lineRule="auto"/>
      </w:pPr>
    </w:p>
    <w:p w14:paraId="697F7E29">
      <w:pPr>
        <w:pStyle w:val="2"/>
        <w:spacing w:line="250" w:lineRule="auto"/>
      </w:pPr>
    </w:p>
    <w:p w14:paraId="480ED8D6">
      <w:pPr>
        <w:pStyle w:val="2"/>
        <w:spacing w:line="250" w:lineRule="auto"/>
      </w:pPr>
    </w:p>
    <w:p w14:paraId="690C880F">
      <w:pPr>
        <w:pStyle w:val="2"/>
        <w:spacing w:line="250" w:lineRule="auto"/>
      </w:pPr>
    </w:p>
    <w:p w14:paraId="57C0DC2F">
      <w:pPr>
        <w:pStyle w:val="2"/>
        <w:spacing w:line="250" w:lineRule="auto"/>
      </w:pPr>
    </w:p>
    <w:p w14:paraId="0AA04264">
      <w:pPr>
        <w:pStyle w:val="2"/>
        <w:spacing w:line="250" w:lineRule="auto"/>
      </w:pPr>
    </w:p>
    <w:p w14:paraId="11B6790C">
      <w:pPr>
        <w:pStyle w:val="2"/>
        <w:spacing w:line="250" w:lineRule="auto"/>
      </w:pPr>
    </w:p>
    <w:p w14:paraId="2DD474D5">
      <w:pPr>
        <w:spacing w:before="150" w:line="191" w:lineRule="auto"/>
        <w:ind w:left="463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黑体" w:hAnsi="黑体" w:eastAsia="黑体" w:cs="黑体"/>
          <w:spacing w:val="-1"/>
          <w:sz w:val="35"/>
          <w:szCs w:val="35"/>
        </w:rPr>
        <w:t>202</w:t>
      </w:r>
      <w:r>
        <w:rPr>
          <w:rFonts w:hint="eastAsia" w:ascii="黑体" w:hAnsi="黑体" w:eastAsia="黑体" w:cs="黑体"/>
          <w:spacing w:val="-1"/>
          <w:sz w:val="35"/>
          <w:szCs w:val="35"/>
          <w:lang w:val="en-US" w:eastAsia="zh-CN"/>
        </w:rPr>
        <w:t>5</w:t>
      </w:r>
      <w:r>
        <w:rPr>
          <w:rFonts w:ascii="黑体" w:hAnsi="黑体" w:eastAsia="黑体" w:cs="黑体"/>
          <w:spacing w:val="-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 xml:space="preserve">年  </w:t>
      </w:r>
      <w:r>
        <w:rPr>
          <w:rFonts w:hint="eastAsia" w:ascii="黑体" w:hAnsi="黑体" w:eastAsia="黑体" w:cs="黑体"/>
          <w:spacing w:val="-1"/>
          <w:sz w:val="35"/>
          <w:szCs w:val="35"/>
          <w:lang w:val="en-US" w:eastAsia="zh-CN"/>
        </w:rPr>
        <w:t>9</w:t>
      </w:r>
      <w:r>
        <w:rPr>
          <w:rFonts w:ascii="黑体" w:hAnsi="黑体" w:eastAsia="黑体" w:cs="黑体"/>
          <w:spacing w:val="-1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 xml:space="preserve">月  </w:t>
      </w:r>
      <w:r>
        <w:rPr>
          <w:rFonts w:ascii="黑体" w:hAnsi="黑体" w:eastAsia="黑体" w:cs="黑体"/>
          <w:spacing w:val="-1"/>
          <w:sz w:val="35"/>
          <w:szCs w:val="35"/>
        </w:rPr>
        <w:t>29</w:t>
      </w:r>
      <w:r>
        <w:rPr>
          <w:rFonts w:ascii="黑体" w:hAnsi="黑体" w:eastAsia="黑体" w:cs="黑体"/>
          <w:spacing w:val="74"/>
          <w:sz w:val="35"/>
          <w:szCs w:val="35"/>
        </w:rPr>
        <w:t xml:space="preserve"> </w:t>
      </w:r>
      <w:r>
        <w:rPr>
          <w:rFonts w:ascii="微软雅黑" w:hAnsi="微软雅黑" w:eastAsia="微软雅黑" w:cs="微软雅黑"/>
          <w:spacing w:val="-1"/>
          <w:sz w:val="35"/>
          <w:szCs w:val="35"/>
        </w:rPr>
        <w:t>日</w:t>
      </w:r>
    </w:p>
    <w:p w14:paraId="2274F762">
      <w:pPr>
        <w:spacing w:line="191" w:lineRule="auto"/>
        <w:rPr>
          <w:rFonts w:ascii="微软雅黑" w:hAnsi="微软雅黑" w:eastAsia="微软雅黑" w:cs="微软雅黑"/>
          <w:sz w:val="35"/>
          <w:szCs w:val="35"/>
        </w:rPr>
        <w:sectPr>
          <w:headerReference r:id="rId5" w:type="default"/>
          <w:pgSz w:w="11906" w:h="16839"/>
          <w:pgMar w:top="1441" w:right="1077" w:bottom="0" w:left="0" w:header="1426" w:footer="0" w:gutter="0"/>
          <w:cols w:space="720" w:num="1"/>
        </w:sectPr>
      </w:pPr>
    </w:p>
    <w:p w14:paraId="378EB2A2">
      <w:pPr>
        <w:pStyle w:val="2"/>
        <w:spacing w:line="245" w:lineRule="auto"/>
      </w:pPr>
    </w:p>
    <w:p w14:paraId="4F1B089D">
      <w:pPr>
        <w:pStyle w:val="2"/>
        <w:spacing w:line="245" w:lineRule="auto"/>
      </w:pPr>
    </w:p>
    <w:p w14:paraId="1EF558E1">
      <w:pPr>
        <w:spacing w:before="128" w:line="182" w:lineRule="auto"/>
        <w:ind w:left="5543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29"/>
          <w:sz w:val="30"/>
          <w:szCs w:val="30"/>
        </w:rPr>
        <w:t>版本历史</w:t>
      </w:r>
    </w:p>
    <w:p w14:paraId="7AE53B98">
      <w:pPr>
        <w:pStyle w:val="2"/>
        <w:spacing w:line="269" w:lineRule="auto"/>
      </w:pPr>
    </w:p>
    <w:p w14:paraId="13827204">
      <w:pPr>
        <w:pStyle w:val="2"/>
        <w:spacing w:line="270" w:lineRule="auto"/>
      </w:pPr>
    </w:p>
    <w:p w14:paraId="78D10009">
      <w:pPr>
        <w:spacing w:before="86" w:line="195" w:lineRule="auto"/>
        <w:ind w:left="1550"/>
        <w:rPr>
          <w:rFonts w:ascii="微软雅黑" w:hAnsi="微软雅黑" w:eastAsia="微软雅黑" w:cs="微软雅黑"/>
          <w:sz w:val="20"/>
          <w:szCs w:val="20"/>
        </w:rPr>
      </w:pPr>
      <w:r>
        <w:pict>
          <v:shape id="_x0000_s1026" o:spid="_x0000_s1026" style="position:absolute;left:0pt;margin-left:124.6pt;margin-top:28.8pt;height:0.5pt;width:428.6pt;z-index:-251657216;mso-width-relative:page;mso-height-relative:page;" filled="f" stroked="t" coordsize="8572,10" path="m0,4l3756,4m4857,4l8571,4e">
            <v:fill on="f" focussize="0,0"/>
            <v:stroke weight="0.48pt" color="#000000" miterlimit="2" joinstyle="bevel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pacing w:val="4"/>
          <w:position w:val="3"/>
          <w:sz w:val="20"/>
          <w:szCs w:val="20"/>
        </w:rPr>
        <w:t>编制人：</w:t>
      </w:r>
      <w:r>
        <w:rPr>
          <w:rFonts w:ascii="微软雅黑" w:hAnsi="微软雅黑" w:eastAsia="微软雅黑" w:cs="微软雅黑"/>
          <w:spacing w:val="1"/>
          <w:position w:val="3"/>
          <w:sz w:val="20"/>
          <w:szCs w:val="20"/>
        </w:rPr>
        <w:t xml:space="preserve">                               </w:t>
      </w:r>
      <w:r>
        <w:rPr>
          <w:rFonts w:ascii="微软雅黑" w:hAnsi="微软雅黑" w:eastAsia="微软雅黑" w:cs="微软雅黑"/>
          <w:spacing w:val="4"/>
          <w:position w:val="-4"/>
          <w:sz w:val="20"/>
          <w:szCs w:val="20"/>
        </w:rPr>
        <w:t xml:space="preserve">刘香莉                    </w:t>
      </w:r>
      <w:r>
        <w:rPr>
          <w:rFonts w:ascii="微软雅黑" w:hAnsi="微软雅黑" w:eastAsia="微软雅黑" w:cs="微软雅黑"/>
          <w:spacing w:val="3"/>
          <w:position w:val="-4"/>
          <w:sz w:val="20"/>
          <w:szCs w:val="20"/>
        </w:rPr>
        <w:t xml:space="preserve">    </w:t>
      </w:r>
      <w:r>
        <w:rPr>
          <w:rFonts w:ascii="微软雅黑" w:hAnsi="微软雅黑" w:eastAsia="微软雅黑" w:cs="微软雅黑"/>
          <w:spacing w:val="3"/>
          <w:position w:val="3"/>
          <w:sz w:val="20"/>
          <w:szCs w:val="20"/>
        </w:rPr>
        <w:t xml:space="preserve">审批人：                               </w:t>
      </w:r>
      <w:r>
        <w:rPr>
          <w:rFonts w:ascii="微软雅黑" w:hAnsi="微软雅黑" w:eastAsia="微软雅黑" w:cs="微软雅黑"/>
          <w:spacing w:val="3"/>
          <w:position w:val="-4"/>
          <w:sz w:val="20"/>
          <w:szCs w:val="20"/>
        </w:rPr>
        <w:t>李成菊</w:t>
      </w:r>
    </w:p>
    <w:p w14:paraId="0AEFB1FB">
      <w:pPr>
        <w:spacing w:before="25"/>
      </w:pPr>
    </w:p>
    <w:p w14:paraId="72DB300E">
      <w:pPr>
        <w:spacing w:before="25"/>
      </w:pPr>
    </w:p>
    <w:p w14:paraId="666D9EC1">
      <w:pPr>
        <w:spacing w:before="24"/>
      </w:pPr>
    </w:p>
    <w:p w14:paraId="70A35DE2">
      <w:pPr>
        <w:spacing w:before="24"/>
      </w:pPr>
    </w:p>
    <w:p w14:paraId="13051D82">
      <w:pPr>
        <w:spacing w:before="24"/>
      </w:pPr>
    </w:p>
    <w:tbl>
      <w:tblPr>
        <w:tblStyle w:val="5"/>
        <w:tblW w:w="9698" w:type="dxa"/>
        <w:tblInd w:w="14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2911"/>
        <w:gridCol w:w="2216"/>
        <w:gridCol w:w="1341"/>
        <w:gridCol w:w="1543"/>
      </w:tblGrid>
      <w:tr w14:paraId="5F2029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687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1B651511">
            <w:pPr>
              <w:spacing w:before="223" w:line="189" w:lineRule="auto"/>
              <w:ind w:left="73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版本号</w:t>
            </w:r>
          </w:p>
        </w:tc>
        <w:tc>
          <w:tcPr>
            <w:tcW w:w="2911" w:type="dxa"/>
            <w:tcBorders>
              <w:top w:val="single" w:color="000000" w:sz="6" w:space="0"/>
            </w:tcBorders>
            <w:vAlign w:val="top"/>
          </w:tcPr>
          <w:p w14:paraId="5971FFD4">
            <w:pPr>
              <w:spacing w:before="223" w:line="189" w:lineRule="auto"/>
              <w:ind w:left="124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更改描述</w:t>
            </w:r>
          </w:p>
        </w:tc>
        <w:tc>
          <w:tcPr>
            <w:tcW w:w="2216" w:type="dxa"/>
            <w:tcBorders>
              <w:top w:val="single" w:color="000000" w:sz="6" w:space="0"/>
            </w:tcBorders>
            <w:vAlign w:val="top"/>
          </w:tcPr>
          <w:p w14:paraId="012D510F">
            <w:pPr>
              <w:spacing w:before="223" w:line="189" w:lineRule="auto"/>
              <w:ind w:left="901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更改日期</w:t>
            </w:r>
          </w:p>
        </w:tc>
        <w:tc>
          <w:tcPr>
            <w:tcW w:w="1341" w:type="dxa"/>
            <w:tcBorders>
              <w:top w:val="single" w:color="000000" w:sz="6" w:space="0"/>
            </w:tcBorders>
            <w:vAlign w:val="top"/>
          </w:tcPr>
          <w:p w14:paraId="69450A4E">
            <w:pPr>
              <w:spacing w:before="224" w:line="188" w:lineRule="auto"/>
              <w:ind w:left="359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修订人</w:t>
            </w:r>
          </w:p>
        </w:tc>
        <w:tc>
          <w:tcPr>
            <w:tcW w:w="1543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06E1AC33">
            <w:pPr>
              <w:spacing w:before="221" w:line="190" w:lineRule="auto"/>
              <w:ind w:left="467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审批人</w:t>
            </w:r>
          </w:p>
        </w:tc>
      </w:tr>
      <w:tr w14:paraId="000969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53C10C0F">
            <w:pPr>
              <w:spacing w:before="180" w:line="359" w:lineRule="exact"/>
              <w:ind w:left="82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4"/>
                <w:position w:val="3"/>
                <w:sz w:val="20"/>
                <w:szCs w:val="20"/>
              </w:rPr>
              <w:t>V1.0</w:t>
            </w:r>
          </w:p>
        </w:tc>
        <w:tc>
          <w:tcPr>
            <w:tcW w:w="2911" w:type="dxa"/>
            <w:vAlign w:val="top"/>
          </w:tcPr>
          <w:p w14:paraId="320EE88E">
            <w:pPr>
              <w:spacing w:before="219" w:line="189" w:lineRule="auto"/>
              <w:ind w:left="1452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2216" w:type="dxa"/>
            <w:vAlign w:val="top"/>
          </w:tcPr>
          <w:p w14:paraId="5ECE6A46">
            <w:pPr>
              <w:spacing w:before="180" w:line="359" w:lineRule="exact"/>
              <w:ind w:left="576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3"/>
                <w:sz w:val="20"/>
                <w:szCs w:val="20"/>
              </w:rPr>
              <w:t>202</w:t>
            </w:r>
            <w:r>
              <w:rPr>
                <w:rFonts w:hint="eastAsia" w:ascii="微软雅黑" w:hAnsi="微软雅黑" w:eastAsia="微软雅黑" w:cs="微软雅黑"/>
                <w:spacing w:val="3"/>
                <w:position w:val="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微软雅黑" w:hAnsi="微软雅黑" w:eastAsia="微软雅黑" w:cs="微软雅黑"/>
                <w:spacing w:val="3"/>
                <w:position w:val="3"/>
                <w:sz w:val="20"/>
                <w:szCs w:val="20"/>
              </w:rPr>
              <w:t>.0</w:t>
            </w:r>
            <w:r>
              <w:rPr>
                <w:rFonts w:hint="eastAsia" w:ascii="微软雅黑" w:hAnsi="微软雅黑" w:eastAsia="微软雅黑" w:cs="微软雅黑"/>
                <w:spacing w:val="3"/>
                <w:position w:val="3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微软雅黑" w:hAnsi="微软雅黑" w:eastAsia="微软雅黑" w:cs="微软雅黑"/>
                <w:spacing w:val="3"/>
                <w:position w:val="3"/>
                <w:sz w:val="20"/>
                <w:szCs w:val="20"/>
              </w:rPr>
              <w:t>.29</w:t>
            </w:r>
          </w:p>
        </w:tc>
        <w:tc>
          <w:tcPr>
            <w:tcW w:w="1341" w:type="dxa"/>
            <w:vAlign w:val="top"/>
          </w:tcPr>
          <w:p w14:paraId="22896E10">
            <w:pPr>
              <w:spacing w:before="220" w:line="188" w:lineRule="auto"/>
              <w:ind w:left="36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刘香莉</w:t>
            </w: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30F28607">
            <w:pPr>
              <w:spacing w:before="221" w:line="188" w:lineRule="auto"/>
              <w:ind w:left="458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李成菊</w:t>
            </w:r>
          </w:p>
        </w:tc>
      </w:tr>
      <w:tr w14:paraId="4726F7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17B7C25F">
            <w:pPr>
              <w:pStyle w:val="6"/>
            </w:pPr>
          </w:p>
        </w:tc>
        <w:tc>
          <w:tcPr>
            <w:tcW w:w="2911" w:type="dxa"/>
            <w:vAlign w:val="top"/>
          </w:tcPr>
          <w:p w14:paraId="5C81F226">
            <w:pPr>
              <w:pStyle w:val="6"/>
            </w:pPr>
          </w:p>
        </w:tc>
        <w:tc>
          <w:tcPr>
            <w:tcW w:w="2216" w:type="dxa"/>
            <w:vAlign w:val="top"/>
          </w:tcPr>
          <w:p w14:paraId="294F73FE">
            <w:pPr>
              <w:pStyle w:val="6"/>
            </w:pPr>
          </w:p>
        </w:tc>
        <w:tc>
          <w:tcPr>
            <w:tcW w:w="1341" w:type="dxa"/>
            <w:vAlign w:val="top"/>
          </w:tcPr>
          <w:p w14:paraId="37EC91C7">
            <w:pPr>
              <w:pStyle w:val="6"/>
            </w:pP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3A0D4CA9">
            <w:pPr>
              <w:pStyle w:val="6"/>
            </w:pPr>
          </w:p>
        </w:tc>
      </w:tr>
      <w:tr w14:paraId="612502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0DF91BF0">
            <w:pPr>
              <w:pStyle w:val="6"/>
            </w:pPr>
          </w:p>
        </w:tc>
        <w:tc>
          <w:tcPr>
            <w:tcW w:w="2911" w:type="dxa"/>
            <w:vAlign w:val="top"/>
          </w:tcPr>
          <w:p w14:paraId="584B6E9D">
            <w:pPr>
              <w:pStyle w:val="6"/>
            </w:pPr>
          </w:p>
        </w:tc>
        <w:tc>
          <w:tcPr>
            <w:tcW w:w="2216" w:type="dxa"/>
            <w:vAlign w:val="top"/>
          </w:tcPr>
          <w:p w14:paraId="4340ED1D">
            <w:pPr>
              <w:pStyle w:val="6"/>
            </w:pPr>
          </w:p>
        </w:tc>
        <w:tc>
          <w:tcPr>
            <w:tcW w:w="1341" w:type="dxa"/>
            <w:vAlign w:val="top"/>
          </w:tcPr>
          <w:p w14:paraId="708431B5">
            <w:pPr>
              <w:pStyle w:val="6"/>
            </w:pP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55F33C99">
            <w:pPr>
              <w:pStyle w:val="6"/>
            </w:pPr>
          </w:p>
        </w:tc>
      </w:tr>
      <w:tr w14:paraId="64ADEC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687" w:type="dxa"/>
            <w:tcBorders>
              <w:left w:val="single" w:color="000000" w:sz="6" w:space="0"/>
            </w:tcBorders>
            <w:vAlign w:val="top"/>
          </w:tcPr>
          <w:p w14:paraId="5BC52009">
            <w:pPr>
              <w:pStyle w:val="6"/>
            </w:pPr>
          </w:p>
        </w:tc>
        <w:tc>
          <w:tcPr>
            <w:tcW w:w="2911" w:type="dxa"/>
            <w:vAlign w:val="top"/>
          </w:tcPr>
          <w:p w14:paraId="28DDB17C">
            <w:pPr>
              <w:pStyle w:val="6"/>
            </w:pPr>
          </w:p>
        </w:tc>
        <w:tc>
          <w:tcPr>
            <w:tcW w:w="2216" w:type="dxa"/>
            <w:vAlign w:val="top"/>
          </w:tcPr>
          <w:p w14:paraId="4B920AD0">
            <w:pPr>
              <w:pStyle w:val="6"/>
            </w:pPr>
          </w:p>
        </w:tc>
        <w:tc>
          <w:tcPr>
            <w:tcW w:w="1341" w:type="dxa"/>
            <w:vAlign w:val="top"/>
          </w:tcPr>
          <w:p w14:paraId="4638CDFD">
            <w:pPr>
              <w:pStyle w:val="6"/>
            </w:pPr>
          </w:p>
        </w:tc>
        <w:tc>
          <w:tcPr>
            <w:tcW w:w="1543" w:type="dxa"/>
            <w:tcBorders>
              <w:right w:val="single" w:color="000000" w:sz="6" w:space="0"/>
            </w:tcBorders>
            <w:vAlign w:val="top"/>
          </w:tcPr>
          <w:p w14:paraId="0F91CFB5">
            <w:pPr>
              <w:pStyle w:val="6"/>
            </w:pPr>
          </w:p>
        </w:tc>
      </w:tr>
    </w:tbl>
    <w:p w14:paraId="33517CE3">
      <w:pPr>
        <w:pStyle w:val="2"/>
      </w:pPr>
    </w:p>
    <w:p w14:paraId="6092F4BA">
      <w:pPr>
        <w:sectPr>
          <w:headerReference r:id="rId6" w:type="default"/>
          <w:pgSz w:w="11906" w:h="16839"/>
          <w:pgMar w:top="995" w:right="762" w:bottom="0" w:left="0" w:header="659" w:footer="0" w:gutter="0"/>
          <w:cols w:space="720" w:num="1"/>
        </w:sectPr>
      </w:pPr>
    </w:p>
    <w:p w14:paraId="4F3E6DD5">
      <w:pPr>
        <w:pStyle w:val="2"/>
        <w:spacing w:line="385" w:lineRule="auto"/>
      </w:pPr>
      <w:r>
        <w:pict>
          <v:shape id="_x0000_s1029" o:spid="_x0000_s1029" style="position:absolute;left:0pt;margin-left:90pt;margin-top:55.2pt;height:0.75pt;width:415.3pt;mso-position-horizontal-relative:page;mso-position-vertical-relative:page;z-index:251660288;mso-width-relative:page;mso-height-relative:page;" fillcolor="#000000" filled="t" stroked="f" coordsize="8305,15" o:allowincell="f" path="m0,0l8305,0,8305,14,0,14,0,0xe">
            <v:path/>
            <v:fill on="t" focussize="0,0"/>
            <v:stroke on="f"/>
            <v:imagedata o:title=""/>
            <o:lock v:ext="edit"/>
          </v:shape>
        </w:pict>
      </w:r>
    </w:p>
    <w:sdt>
      <w:sdtPr>
        <w:rPr>
          <w:rFonts w:ascii="宋体" w:hAnsi="宋体" w:eastAsia="宋体" w:cs="宋体"/>
          <w:sz w:val="31"/>
          <w:szCs w:val="31"/>
        </w:rPr>
        <w:id w:val="14746756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 w14:paraId="1363C558">
          <w:pPr>
            <w:spacing w:before="100" w:line="235" w:lineRule="auto"/>
            <w:ind w:left="5946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宋体" w:hAnsi="宋体" w:eastAsia="宋体" w:cs="宋体"/>
              <w:spacing w:val="-33"/>
              <w:sz w:val="31"/>
              <w:szCs w:val="31"/>
            </w:rPr>
            <w:t>目</w:t>
          </w:r>
          <w:r>
            <w:rPr>
              <w:rFonts w:ascii="宋体" w:hAnsi="宋体" w:eastAsia="宋体" w:cs="宋体"/>
              <w:spacing w:val="20"/>
              <w:sz w:val="31"/>
              <w:szCs w:val="31"/>
            </w:rPr>
            <w:t xml:space="preserve"> </w:t>
          </w:r>
          <w:r>
            <w:rPr>
              <w:rFonts w:ascii="宋体" w:hAnsi="宋体" w:eastAsia="宋体" w:cs="宋体"/>
              <w:spacing w:val="-33"/>
              <w:sz w:val="31"/>
              <w:szCs w:val="31"/>
            </w:rPr>
            <w:t>录</w:t>
          </w:r>
        </w:p>
        <w:p w14:paraId="4351A387">
          <w:pPr>
            <w:pStyle w:val="2"/>
            <w:spacing w:line="337" w:lineRule="auto"/>
          </w:pPr>
        </w:p>
        <w:p w14:paraId="2468BEA3">
          <w:pPr>
            <w:tabs>
              <w:tab w:val="right" w:leader="dot" w:pos="10105"/>
            </w:tabs>
            <w:spacing w:before="65" w:line="228" w:lineRule="auto"/>
            <w:ind w:left="1815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Calibri" w:hAnsi="Calibri" w:eastAsia="Calibri" w:cs="Calibri"/>
              <w:b/>
              <w:bCs/>
              <w:spacing w:val="7"/>
              <w:sz w:val="20"/>
              <w:szCs w:val="20"/>
            </w:rPr>
            <w:t>1</w:t>
          </w:r>
          <w:r>
            <w:rPr>
              <w:rFonts w:ascii="宋体" w:hAnsi="宋体" w:eastAsia="宋体" w:cs="宋体"/>
              <w:b/>
              <w:bCs/>
              <w:spacing w:val="7"/>
              <w:sz w:val="20"/>
              <w:szCs w:val="20"/>
            </w:rPr>
            <w:t>、</w:t>
          </w:r>
          <w:r>
            <w:rPr>
              <w:rFonts w:ascii="Calibri" w:hAnsi="Calibri" w:eastAsia="Calibri" w:cs="Calibri"/>
              <w:b/>
              <w:bCs/>
              <w:sz w:val="20"/>
              <w:szCs w:val="20"/>
            </w:rPr>
            <w:t>ITSS</w:t>
          </w:r>
          <w:r>
            <w:rPr>
              <w:rFonts w:ascii="Calibri" w:hAnsi="Calibri" w:eastAsia="Calibri" w:cs="Calibri"/>
              <w:b/>
              <w:bCs/>
              <w:spacing w:val="17"/>
              <w:w w:val="10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7"/>
              <w:sz w:val="20"/>
              <w:szCs w:val="20"/>
            </w:rPr>
            <w:t>体系带来的发展</w:t>
          </w:r>
          <w:r>
            <w:rPr>
              <w:rFonts w:ascii="宋体" w:hAnsi="宋体" w:eastAsia="宋体" w:cs="宋体"/>
              <w:spacing w:val="-65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41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fldChar w:fldCharType="end"/>
          </w:r>
        </w:p>
        <w:p w14:paraId="47E03EEE">
          <w:pPr>
            <w:tabs>
              <w:tab w:val="right" w:leader="dot" w:pos="10105"/>
            </w:tabs>
            <w:spacing w:before="184" w:line="228" w:lineRule="auto"/>
            <w:ind w:left="1810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6"/>
              <w:sz w:val="20"/>
              <w:szCs w:val="20"/>
            </w:rPr>
            <w:t>2、业务发展情况</w:t>
          </w:r>
          <w:r>
            <w:rPr>
              <w:rFonts w:ascii="宋体" w:hAnsi="宋体" w:eastAsia="宋体" w:cs="宋体"/>
              <w:spacing w:val="-6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55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fldChar w:fldCharType="end"/>
          </w:r>
        </w:p>
        <w:p w14:paraId="6D2DBD56">
          <w:pPr>
            <w:tabs>
              <w:tab w:val="right" w:leader="dot" w:pos="10105"/>
            </w:tabs>
            <w:spacing w:before="185" w:line="228" w:lineRule="auto"/>
            <w:ind w:left="1803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7"/>
              <w:sz w:val="20"/>
              <w:szCs w:val="20"/>
            </w:rPr>
            <w:t>3</w:t>
          </w:r>
          <w:r>
            <w:rPr>
              <w:rFonts w:ascii="宋体" w:hAnsi="宋体" w:eastAsia="宋体" w:cs="宋体"/>
              <w:b/>
              <w:bCs/>
              <w:spacing w:val="7"/>
              <w:sz w:val="20"/>
              <w:szCs w:val="20"/>
            </w:rPr>
            <w:t>、服务能力提升情况</w:t>
          </w:r>
          <w:r>
            <w:rPr>
              <w:rFonts w:ascii="宋体" w:hAnsi="宋体" w:eastAsia="宋体" w:cs="宋体"/>
              <w:spacing w:val="-57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59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  <w:fldChar w:fldCharType="end"/>
          </w:r>
        </w:p>
        <w:p w14:paraId="236AF408">
          <w:pPr>
            <w:tabs>
              <w:tab w:val="right" w:leader="dot" w:pos="10105"/>
            </w:tabs>
            <w:spacing w:before="185" w:line="230" w:lineRule="auto"/>
            <w:ind w:left="1805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20"/>
              <w:szCs w:val="20"/>
            </w:rPr>
            <w:t>4</w:t>
          </w:r>
          <w:r>
            <w:rPr>
              <w:rFonts w:ascii="宋体" w:hAnsi="宋体" w:eastAsia="宋体" w:cs="宋体"/>
              <w:b/>
              <w:bCs/>
              <w:spacing w:val="6"/>
              <w:sz w:val="20"/>
              <w:szCs w:val="20"/>
            </w:rPr>
            <w:t>、</w:t>
          </w:r>
          <w:r>
            <w:rPr>
              <w:rFonts w:ascii="黑体" w:hAnsi="黑体" w:eastAsia="黑体" w:cs="黑体"/>
              <w:b/>
              <w:bCs/>
              <w:spacing w:val="6"/>
              <w:sz w:val="20"/>
              <w:szCs w:val="20"/>
            </w:rPr>
            <w:t>总结与改进</w:t>
          </w:r>
          <w:r>
            <w:rPr>
              <w:rFonts w:ascii="黑体" w:hAnsi="黑体" w:eastAsia="黑体" w:cs="黑体"/>
              <w:spacing w:val="-58"/>
              <w:sz w:val="20"/>
              <w:szCs w:val="20"/>
            </w:rPr>
            <w:t xml:space="preserve"> </w:t>
          </w:r>
          <w:r>
            <w:rPr>
              <w:rFonts w:ascii="黑体" w:hAnsi="黑体" w:eastAsia="黑体" w:cs="黑体"/>
              <w:sz w:val="20"/>
              <w:szCs w:val="20"/>
            </w:rPr>
            <w:tab/>
          </w:r>
          <w:r>
            <w:rPr>
              <w:rFonts w:ascii="黑体" w:hAnsi="黑体" w:eastAsia="黑体" w:cs="黑体"/>
              <w:spacing w:val="-50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pacing w:val="1"/>
              <w:sz w:val="20"/>
              <w:szCs w:val="20"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1"/>
              <w:sz w:val="20"/>
              <w:szCs w:val="20"/>
            </w:rPr>
            <w:fldChar w:fldCharType="end"/>
          </w:r>
        </w:p>
      </w:sdtContent>
    </w:sdt>
    <w:p w14:paraId="52AAB737">
      <w:pPr>
        <w:spacing w:line="230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7" w:type="default"/>
          <w:pgSz w:w="11906" w:h="16839"/>
          <w:pgMar w:top="1106" w:right="1077" w:bottom="0" w:left="0" w:header="829" w:footer="0" w:gutter="0"/>
          <w:cols w:space="720" w:num="1"/>
        </w:sectPr>
      </w:pPr>
    </w:p>
    <w:p w14:paraId="681A2063">
      <w:pPr>
        <w:pStyle w:val="2"/>
        <w:spacing w:line="287" w:lineRule="auto"/>
      </w:pPr>
    </w:p>
    <w:p w14:paraId="3C064196">
      <w:pPr>
        <w:spacing w:before="114" w:line="225" w:lineRule="auto"/>
        <w:ind w:left="1825"/>
        <w:outlineLvl w:val="0"/>
        <w:rPr>
          <w:rFonts w:ascii="宋体" w:hAnsi="宋体" w:eastAsia="宋体" w:cs="宋体"/>
          <w:sz w:val="35"/>
          <w:szCs w:val="35"/>
        </w:rPr>
      </w:pPr>
      <w:bookmarkStart w:id="0" w:name="bookmark1"/>
      <w:bookmarkEnd w:id="0"/>
      <w:r>
        <w:rPr>
          <w:rFonts w:ascii="Calibri" w:hAnsi="Calibri" w:eastAsia="Calibri" w:cs="Calibri"/>
          <w:b/>
          <w:bCs/>
          <w:sz w:val="35"/>
          <w:szCs w:val="35"/>
        </w:rPr>
        <w:t>1</w:t>
      </w:r>
      <w:r>
        <w:rPr>
          <w:rFonts w:ascii="Calibri" w:hAnsi="Calibri" w:eastAsia="Calibri" w:cs="Calibri"/>
          <w:b/>
          <w:bCs/>
          <w:spacing w:val="-39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z w:val="35"/>
          <w:szCs w:val="35"/>
        </w:rPr>
        <w:t>、</w:t>
      </w:r>
      <w:r>
        <w:rPr>
          <w:rFonts w:ascii="Calibri" w:hAnsi="Calibri" w:eastAsia="Calibri" w:cs="Calibri"/>
          <w:b/>
          <w:bCs/>
          <w:sz w:val="35"/>
          <w:szCs w:val="35"/>
        </w:rPr>
        <w:t>ITSS</w:t>
      </w:r>
      <w:r>
        <w:rPr>
          <w:rFonts w:ascii="Calibri" w:hAnsi="Calibri" w:eastAsia="Calibri" w:cs="Calibri"/>
          <w:b/>
          <w:bCs/>
          <w:spacing w:val="27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z w:val="35"/>
          <w:szCs w:val="35"/>
        </w:rPr>
        <w:t>体系带来的发展</w:t>
      </w:r>
    </w:p>
    <w:p w14:paraId="3849DFD9">
      <w:pPr>
        <w:pStyle w:val="2"/>
        <w:spacing w:line="381" w:lineRule="auto"/>
      </w:pPr>
    </w:p>
    <w:p w14:paraId="48337638">
      <w:pPr>
        <w:spacing w:before="78" w:line="360" w:lineRule="auto"/>
        <w:ind w:left="1808" w:right="722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通过基于运维服务能力成熟度三级要求建立的服务管理体系的落</w:t>
      </w:r>
      <w:r>
        <w:rPr>
          <w:rFonts w:ascii="宋体" w:hAnsi="宋体" w:eastAsia="宋体" w:cs="宋体"/>
          <w:spacing w:val="-4"/>
          <w:sz w:val="24"/>
          <w:szCs w:val="24"/>
        </w:rPr>
        <w:t>地实施，给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公司的运维业务管理带来了巨大的收益。建立了总体的运维能力管理体系，使得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公司的运维管理有标准可依，给业务拓展增加了新的保障。同时，提高了人员的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总体管理水平，有了明确的人员晋升机制、备份机制、人员考核机制、人员培训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机制等，在一定程度上确保了人员的连续性，</w:t>
      </w:r>
      <w:r>
        <w:rPr>
          <w:rFonts w:ascii="宋体" w:hAnsi="宋体" w:eastAsia="宋体" w:cs="宋体"/>
          <w:spacing w:val="-1"/>
          <w:sz w:val="24"/>
          <w:szCs w:val="24"/>
        </w:rPr>
        <w:t>提高了客户的满意度。</w:t>
      </w:r>
    </w:p>
    <w:p w14:paraId="23C24398">
      <w:pPr>
        <w:spacing w:before="3" w:line="359" w:lineRule="auto"/>
        <w:ind w:left="1810" w:right="748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完善了包括服务台、IT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服务管理工具等在内的资源保障计划，让关键的客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户合同得到了资源的保障和利用。多个项目应用了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IT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</w:t>
      </w:r>
      <w:r>
        <w:rPr>
          <w:rFonts w:ascii="宋体" w:hAnsi="宋体" w:eastAsia="宋体" w:cs="宋体"/>
          <w:spacing w:val="-2"/>
          <w:sz w:val="24"/>
          <w:szCs w:val="24"/>
        </w:rPr>
        <w:t>管理工具，使得项目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管理由原来的“黑盒子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”变成了可视化管理模式，</w:t>
      </w:r>
      <w:r>
        <w:rPr>
          <w:rFonts w:ascii="宋体" w:hAnsi="宋体" w:eastAsia="宋体" w:cs="宋体"/>
          <w:spacing w:val="-2"/>
          <w:sz w:val="24"/>
          <w:szCs w:val="24"/>
        </w:rPr>
        <w:t>得到了客户的一致好评。</w:t>
      </w:r>
    </w:p>
    <w:p w14:paraId="410BD533">
      <w:pPr>
        <w:spacing w:line="360" w:lineRule="auto"/>
        <w:ind w:left="1810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完善运维技术管理制度，使得研发项目有了明确的针对运维</w:t>
      </w:r>
      <w:r>
        <w:rPr>
          <w:rFonts w:ascii="宋体" w:hAnsi="宋体" w:eastAsia="宋体" w:cs="宋体"/>
          <w:spacing w:val="-4"/>
          <w:sz w:val="24"/>
          <w:szCs w:val="24"/>
        </w:rPr>
        <w:t>的技术研发方向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和计划，在运维业务上有了一定的技术保障。</w:t>
      </w:r>
    </w:p>
    <w:p w14:paraId="6B4F5D17">
      <w:pPr>
        <w:spacing w:before="5" w:line="359" w:lineRule="auto"/>
        <w:ind w:left="1811" w:right="722"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完善了质量管理机制，完善了综合部质量组的职责，通过内</w:t>
      </w:r>
      <w:r>
        <w:rPr>
          <w:rFonts w:ascii="宋体" w:hAnsi="宋体" w:eastAsia="宋体" w:cs="宋体"/>
          <w:spacing w:val="-4"/>
          <w:sz w:val="24"/>
          <w:szCs w:val="24"/>
        </w:rPr>
        <w:t>部审核和管理评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审的有效开展，确保了已建立体现的合规性和落地实施效果，通过定期的满意度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调查和分析等工作，从客观上能够体现出总体的服务管理体系的有效性，保障了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项目的质量达成，给客户增强了信心。</w:t>
      </w:r>
    </w:p>
    <w:p w14:paraId="2028295C">
      <w:pPr>
        <w:spacing w:line="360" w:lineRule="auto"/>
        <w:ind w:left="1810" w:right="722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强化了流程管理，给各个运维项目提供了有效的流</w:t>
      </w:r>
      <w:r>
        <w:rPr>
          <w:rFonts w:ascii="宋体" w:hAnsi="宋体" w:eastAsia="宋体" w:cs="宋体"/>
          <w:spacing w:val="-4"/>
          <w:sz w:val="24"/>
          <w:szCs w:val="24"/>
        </w:rPr>
        <w:t>程落地方法，流程控制不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再是“空架子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”，而是切实的将项目流程管理起来。不要求每个项目实施全部的</w:t>
      </w:r>
      <w:r>
        <w:rPr>
          <w:rFonts w:ascii="宋体" w:hAnsi="宋体" w:eastAsia="宋体" w:cs="宋体"/>
          <w:sz w:val="24"/>
          <w:szCs w:val="24"/>
        </w:rPr>
        <w:t xml:space="preserve"> 流程，但要求每个项目实施一个要落地一个，</w:t>
      </w:r>
      <w:r>
        <w:rPr>
          <w:rFonts w:ascii="宋体" w:hAnsi="宋体" w:eastAsia="宋体" w:cs="宋体"/>
          <w:spacing w:val="-1"/>
          <w:sz w:val="24"/>
          <w:szCs w:val="24"/>
        </w:rPr>
        <w:t>保证了项目交付过程控制。</w:t>
      </w:r>
    </w:p>
    <w:p w14:paraId="15694B58">
      <w:pPr>
        <w:spacing w:line="360" w:lineRule="auto"/>
        <w:ind w:left="1808" w:right="722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在实施管理体系的过程中，公司管理层也逐渐意识到，尽管</w:t>
      </w:r>
      <w:r>
        <w:rPr>
          <w:rFonts w:ascii="宋体" w:hAnsi="宋体" w:eastAsia="宋体" w:cs="宋体"/>
          <w:spacing w:val="-4"/>
          <w:sz w:val="24"/>
          <w:szCs w:val="24"/>
        </w:rPr>
        <w:t>已经建立较完善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的运维服务能力管理体系，但通过访谈也意识到各部门之间的服务经验共享上存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在较大的差异，各项目中有了明确的流程控制策略，但在实际的工作交付过程中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仍然存在一些风险，比如操作不合规、信息安全意识等，部分公司标杆大客户的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服务风险控制较难得到保障。</w:t>
      </w:r>
    </w:p>
    <w:p w14:paraId="38F6CF43">
      <w:pPr>
        <w:spacing w:before="4" w:line="360" w:lineRule="auto"/>
        <w:ind w:left="1808" w:right="668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通过对公司运维相关管理层进行访谈，抽查现有文件得出</w:t>
      </w:r>
      <w:r>
        <w:rPr>
          <w:rFonts w:ascii="宋体" w:hAnsi="宋体" w:eastAsia="宋体" w:cs="宋体"/>
          <w:spacing w:val="-4"/>
          <w:sz w:val="24"/>
          <w:szCs w:val="24"/>
        </w:rPr>
        <w:t>公司目前运维服务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管理现状，并对比运维服务能力成熟度三级条</w:t>
      </w:r>
      <w:r>
        <w:rPr>
          <w:rFonts w:ascii="宋体" w:hAnsi="宋体" w:eastAsia="宋体" w:cs="宋体"/>
          <w:spacing w:val="-2"/>
          <w:sz w:val="24"/>
          <w:szCs w:val="24"/>
        </w:rPr>
        <w:t>款要求，对人员管理、资源管理、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技术管理、过程管理、质量管理进行客观分析，总结公司实施运维服务能力成熟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度对服务能力提升及业务发展的促进情况。</w:t>
      </w:r>
    </w:p>
    <w:p w14:paraId="1190DF61">
      <w:pPr>
        <w:spacing w:line="360" w:lineRule="auto"/>
        <w:rPr>
          <w:rFonts w:ascii="宋体" w:hAnsi="宋体" w:eastAsia="宋体" w:cs="宋体"/>
          <w:sz w:val="24"/>
          <w:szCs w:val="24"/>
        </w:rPr>
        <w:sectPr>
          <w:headerReference r:id="rId8" w:type="default"/>
          <w:footerReference r:id="rId9" w:type="default"/>
          <w:pgSz w:w="11906" w:h="16839"/>
          <w:pgMar w:top="1166" w:right="1077" w:bottom="1434" w:left="0" w:header="829" w:footer="1272" w:gutter="0"/>
          <w:cols w:space="720" w:num="1"/>
        </w:sectPr>
      </w:pPr>
    </w:p>
    <w:p w14:paraId="6E72AE02">
      <w:pPr>
        <w:pStyle w:val="2"/>
        <w:spacing w:line="323" w:lineRule="auto"/>
      </w:pPr>
    </w:p>
    <w:p w14:paraId="1D476699">
      <w:pPr>
        <w:spacing w:before="101" w:line="225" w:lineRule="auto"/>
        <w:ind w:left="1816"/>
        <w:outlineLvl w:val="0"/>
        <w:rPr>
          <w:rFonts w:ascii="宋体" w:hAnsi="宋体" w:eastAsia="宋体" w:cs="宋体"/>
          <w:sz w:val="31"/>
          <w:szCs w:val="31"/>
        </w:rPr>
      </w:pPr>
      <w:bookmarkStart w:id="1" w:name="bookmark2"/>
      <w:bookmarkEnd w:id="1"/>
      <w:r>
        <w:rPr>
          <w:rFonts w:ascii="宋体" w:hAnsi="宋体" w:eastAsia="宋体" w:cs="宋体"/>
          <w:b/>
          <w:bCs/>
          <w:spacing w:val="4"/>
          <w:sz w:val="31"/>
          <w:szCs w:val="31"/>
        </w:rPr>
        <w:t>2、业务发展情况</w:t>
      </w:r>
    </w:p>
    <w:p w14:paraId="61B256AF">
      <w:pPr>
        <w:pStyle w:val="2"/>
        <w:spacing w:line="411" w:lineRule="auto"/>
      </w:pPr>
    </w:p>
    <w:p w14:paraId="30ACA7F4">
      <w:pPr>
        <w:spacing w:before="78" w:line="360" w:lineRule="auto"/>
        <w:ind w:left="1810" w:right="687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2019年度公司的运维业务合同目标为1256万，2020年度的运维业务合同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目标为1678万，2021年度的运维合同目标为212</w:t>
      </w:r>
      <w:r>
        <w:rPr>
          <w:rFonts w:ascii="宋体" w:hAnsi="宋体" w:eastAsia="宋体" w:cs="宋体"/>
          <w:spacing w:val="-3"/>
          <w:sz w:val="24"/>
          <w:szCs w:val="24"/>
        </w:rPr>
        <w:t>8万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202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pacing w:val="-2"/>
          <w:sz w:val="24"/>
          <w:szCs w:val="24"/>
        </w:rPr>
        <w:t>年度的运维合同目标为</w:t>
      </w:r>
      <w:r>
        <w:rPr>
          <w:rFonts w:hint="eastAsia" w:ascii="宋体" w:hAnsi="宋体" w:eastAsia="宋体" w:cs="宋体"/>
          <w:spacing w:val="15"/>
          <w:sz w:val="24"/>
          <w:szCs w:val="24"/>
          <w:lang w:val="en-US" w:eastAsia="zh-CN"/>
        </w:rPr>
        <w:t>2447</w:t>
      </w:r>
      <w:r>
        <w:rPr>
          <w:rFonts w:ascii="宋体" w:hAnsi="宋体" w:eastAsia="宋体" w:cs="宋体"/>
          <w:spacing w:val="-3"/>
          <w:sz w:val="24"/>
          <w:szCs w:val="24"/>
        </w:rPr>
        <w:t>万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202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pacing w:val="-2"/>
          <w:sz w:val="24"/>
          <w:szCs w:val="24"/>
        </w:rPr>
        <w:t>年度的运维合同目标为</w:t>
      </w:r>
      <w:r>
        <w:rPr>
          <w:rFonts w:hint="eastAsia" w:ascii="宋体" w:hAnsi="宋体" w:eastAsia="宋体" w:cs="宋体"/>
          <w:spacing w:val="12"/>
          <w:sz w:val="24"/>
          <w:szCs w:val="24"/>
          <w:lang w:val="en-US" w:eastAsia="zh-CN"/>
        </w:rPr>
        <w:t>2814</w:t>
      </w:r>
      <w:r>
        <w:rPr>
          <w:rFonts w:ascii="宋体" w:hAnsi="宋体" w:eastAsia="宋体" w:cs="宋体"/>
          <w:spacing w:val="-3"/>
          <w:sz w:val="24"/>
          <w:szCs w:val="24"/>
        </w:rPr>
        <w:t>万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202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24"/>
          <w:szCs w:val="24"/>
        </w:rPr>
        <w:t>年度的运维合同目标为</w:t>
      </w:r>
      <w:r>
        <w:rPr>
          <w:rFonts w:hint="eastAsia" w:ascii="宋体" w:hAnsi="宋体" w:eastAsia="宋体" w:cs="宋体"/>
          <w:spacing w:val="12"/>
          <w:sz w:val="24"/>
          <w:szCs w:val="24"/>
          <w:lang w:val="en-US" w:eastAsia="zh-CN"/>
        </w:rPr>
        <w:t>3236</w:t>
      </w:r>
      <w:r>
        <w:rPr>
          <w:rFonts w:ascii="宋体" w:hAnsi="宋体" w:eastAsia="宋体" w:cs="宋体"/>
          <w:spacing w:val="-3"/>
          <w:sz w:val="24"/>
          <w:szCs w:val="24"/>
        </w:rPr>
        <w:t>万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pacing w:val="-3"/>
          <w:sz w:val="24"/>
          <w:szCs w:val="24"/>
          <w:lang w:val="en-US" w:eastAsia="zh-CN"/>
        </w:rPr>
        <w:t>2025年度的运维合同目标为3721万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。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目前公司业务已经覆盖全山东地区，并且已向外省拓展业务，促进公司业务的多元化发展。通过引入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ITSS，运维服务企业可以以运维服务业务目标为导向，完善流程化的运维服务管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理体系，分析运维服务过程，为进一步提升运维服务效率找到提升空间。运维服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务企业可以建立运维业务与运维服务成本之间的关系，梳理各项运维服务成本，</w:t>
      </w:r>
      <w:r>
        <w:rPr>
          <w:rFonts w:ascii="宋体" w:hAnsi="宋体" w:eastAsia="宋体" w:cs="宋体"/>
          <w:sz w:val="24"/>
          <w:szCs w:val="24"/>
        </w:rPr>
        <w:t xml:space="preserve"> 准确掌握运维服务资源使用情况，平衡资源配置</w:t>
      </w:r>
      <w:r>
        <w:rPr>
          <w:rFonts w:ascii="宋体" w:hAnsi="宋体" w:eastAsia="宋体" w:cs="宋体"/>
          <w:spacing w:val="-1"/>
          <w:sz w:val="24"/>
          <w:szCs w:val="24"/>
        </w:rPr>
        <w:t>，有效降低运维服务成本。</w:t>
      </w:r>
    </w:p>
    <w:p w14:paraId="1AD6A618">
      <w:pPr>
        <w:spacing w:before="313" w:line="225" w:lineRule="auto"/>
        <w:ind w:left="1805"/>
        <w:outlineLvl w:val="0"/>
        <w:rPr>
          <w:rFonts w:ascii="宋体" w:hAnsi="宋体" w:eastAsia="宋体" w:cs="宋体"/>
          <w:sz w:val="31"/>
          <w:szCs w:val="31"/>
        </w:rPr>
      </w:pPr>
      <w:bookmarkStart w:id="2" w:name="bookmark3"/>
      <w:bookmarkEnd w:id="2"/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b/>
          <w:bCs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、服务能力提升情况</w:t>
      </w:r>
    </w:p>
    <w:p w14:paraId="3C0856D9">
      <w:pPr>
        <w:pStyle w:val="2"/>
        <w:spacing w:line="405" w:lineRule="auto"/>
      </w:pPr>
    </w:p>
    <w:p w14:paraId="798D6B71">
      <w:pPr>
        <w:spacing w:before="78" w:line="290" w:lineRule="auto"/>
        <w:ind w:left="1813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3.1.内部审核，公司每年定期组织运维服务管理体系的内部审核，</w:t>
      </w:r>
      <w:r>
        <w:rPr>
          <w:rFonts w:ascii="宋体" w:hAnsi="宋体" w:eastAsia="宋体" w:cs="宋体"/>
          <w:spacing w:val="-4"/>
          <w:sz w:val="24"/>
          <w:szCs w:val="24"/>
        </w:rPr>
        <w:t>并对内审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发现的不符合进行完善，避免下次发生。</w:t>
      </w:r>
    </w:p>
    <w:p w14:paraId="6FD78080">
      <w:pPr>
        <w:pStyle w:val="2"/>
        <w:spacing w:line="384" w:lineRule="auto"/>
      </w:pPr>
    </w:p>
    <w:p w14:paraId="4FEF80E7">
      <w:pPr>
        <w:spacing w:before="78" w:line="289" w:lineRule="auto"/>
        <w:ind w:left="1810" w:right="868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3.2.管理评审，公司总经理每年定期组织运维相关部门进行了管理评审工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作，每年发布新的改进措施，近三年的改进措施均已实现。</w:t>
      </w:r>
    </w:p>
    <w:p w14:paraId="50EB0D86">
      <w:pPr>
        <w:pStyle w:val="2"/>
        <w:spacing w:line="385" w:lineRule="auto"/>
      </w:pPr>
    </w:p>
    <w:p w14:paraId="6D9FCF92">
      <w:pPr>
        <w:spacing w:before="78" w:line="289" w:lineRule="auto"/>
        <w:ind w:left="1815" w:right="722" w:firstLine="47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3.3.满意度调查，公司每半年定期进行一次满意度调查和评价，最</w:t>
      </w:r>
      <w:r>
        <w:rPr>
          <w:rFonts w:ascii="宋体" w:hAnsi="宋体" w:eastAsia="宋体" w:cs="宋体"/>
          <w:spacing w:val="-4"/>
          <w:sz w:val="24"/>
          <w:szCs w:val="24"/>
        </w:rPr>
        <w:t>近一次满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意度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96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分，已赢得客户青睐。</w:t>
      </w:r>
    </w:p>
    <w:p w14:paraId="6DC2B367">
      <w:pPr>
        <w:pStyle w:val="2"/>
        <w:spacing w:line="380" w:lineRule="auto"/>
      </w:pPr>
    </w:p>
    <w:p w14:paraId="734FFB58">
      <w:pPr>
        <w:spacing w:before="79" w:line="290" w:lineRule="auto"/>
        <w:ind w:left="1811" w:right="722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3.4.质量目标，管理体系持续有效运行，目标也逐年增加，公司对</w:t>
      </w:r>
      <w:r>
        <w:rPr>
          <w:rFonts w:ascii="宋体" w:hAnsi="宋体" w:eastAsia="宋体" w:cs="宋体"/>
          <w:spacing w:val="-4"/>
          <w:sz w:val="24"/>
          <w:szCs w:val="24"/>
        </w:rPr>
        <w:t>自身的要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求也越来越高。</w:t>
      </w:r>
    </w:p>
    <w:p w14:paraId="34B51CB8">
      <w:pPr>
        <w:pStyle w:val="2"/>
        <w:spacing w:line="382" w:lineRule="auto"/>
      </w:pPr>
    </w:p>
    <w:p w14:paraId="0B802386">
      <w:pPr>
        <w:spacing w:before="79" w:line="313" w:lineRule="auto"/>
        <w:ind w:left="1810" w:right="668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3.5.人员，公司现有 50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余人，其中运维人员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25人，</w:t>
      </w:r>
      <w:r>
        <w:rPr>
          <w:rFonts w:ascii="宋体" w:hAnsi="宋体" w:eastAsia="宋体" w:cs="宋体"/>
          <w:spacing w:val="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目前拥有运维相关资</w:t>
      </w:r>
      <w:r>
        <w:rPr>
          <w:rFonts w:ascii="宋体" w:hAnsi="宋体" w:eastAsia="宋体" w:cs="宋体"/>
          <w:sz w:val="24"/>
          <w:szCs w:val="24"/>
        </w:rPr>
        <w:t xml:space="preserve"> 质的人员已突破 18人，并且定期与厂商合作，对公司的运维人员分批次进行培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训。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目前正在对人员晋升渠道进行改进，为运维人员的晋升提供更宽广的道</w:t>
      </w:r>
      <w:r>
        <w:rPr>
          <w:rFonts w:ascii="宋体" w:hAnsi="宋体" w:eastAsia="宋体" w:cs="宋体"/>
          <w:spacing w:val="-4"/>
          <w:sz w:val="24"/>
          <w:szCs w:val="24"/>
        </w:rPr>
        <w:t>路。</w:t>
      </w:r>
    </w:p>
    <w:p w14:paraId="59A55A69">
      <w:pPr>
        <w:pStyle w:val="2"/>
        <w:spacing w:line="384" w:lineRule="auto"/>
      </w:pPr>
    </w:p>
    <w:p w14:paraId="29BA4A81">
      <w:pPr>
        <w:spacing w:line="313" w:lineRule="auto"/>
        <w:rPr>
          <w:rFonts w:ascii="宋体" w:hAnsi="宋体" w:eastAsia="宋体" w:cs="宋体"/>
          <w:sz w:val="24"/>
          <w:szCs w:val="24"/>
        </w:rPr>
        <w:sectPr>
          <w:headerReference r:id="rId10" w:type="default"/>
          <w:footerReference r:id="rId11" w:type="default"/>
          <w:pgSz w:w="11906" w:h="16839"/>
          <w:pgMar w:top="1166" w:right="1077" w:bottom="1434" w:left="0" w:header="829" w:footer="1272" w:gutter="0"/>
          <w:cols w:space="720" w:num="1"/>
        </w:sectPr>
      </w:pPr>
    </w:p>
    <w:p w14:paraId="04E25A80">
      <w:pPr>
        <w:spacing w:before="79" w:line="313" w:lineRule="auto"/>
        <w:ind w:left="1808" w:right="722" w:firstLine="485"/>
        <w:rPr>
          <w:rFonts w:ascii="宋体" w:hAnsi="宋体" w:eastAsia="宋体" w:cs="宋体"/>
          <w:sz w:val="24"/>
          <w:szCs w:val="24"/>
        </w:rPr>
      </w:pPr>
      <w:bookmarkStart w:id="4" w:name="_GoBack"/>
      <w:bookmarkEnd w:id="4"/>
      <w:r>
        <w:rPr>
          <w:rFonts w:ascii="宋体" w:hAnsi="宋体" w:eastAsia="宋体" w:cs="宋体"/>
          <w:spacing w:val="-3"/>
          <w:sz w:val="24"/>
          <w:szCs w:val="24"/>
        </w:rPr>
        <w:t>3.6.服务台，公司设立服务台至今，每年服务台接通上万次热线，</w:t>
      </w:r>
      <w:r>
        <w:rPr>
          <w:rFonts w:ascii="宋体" w:hAnsi="宋体" w:eastAsia="宋体" w:cs="宋体"/>
          <w:spacing w:val="-4"/>
          <w:sz w:val="24"/>
          <w:szCs w:val="24"/>
        </w:rPr>
        <w:t>服务台直</w:t>
      </w:r>
      <w:r>
        <w:rPr>
          <w:rFonts w:ascii="宋体" w:hAnsi="宋体" w:eastAsia="宋体" w:cs="宋体"/>
          <w:spacing w:val="-3"/>
          <w:sz w:val="24"/>
          <w:szCs w:val="24"/>
        </w:rPr>
        <w:t>接解决率提升不少。目前依旧存在保障时，客户直接联系熟悉的运维工程师的情况，</w:t>
      </w:r>
      <w:r>
        <w:rPr>
          <w:rFonts w:ascii="宋体" w:hAnsi="宋体" w:eastAsia="宋体" w:cs="宋体"/>
          <w:spacing w:val="-6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目前正在进行服务台人员的培训并与客户沟通。</w:t>
      </w:r>
    </w:p>
    <w:p w14:paraId="71D49FC8">
      <w:pPr>
        <w:spacing w:before="78" w:line="313" w:lineRule="auto"/>
        <w:ind w:right="722"/>
        <w:rPr>
          <w:rFonts w:ascii="宋体" w:hAnsi="宋体" w:eastAsia="宋体" w:cs="宋体"/>
          <w:spacing w:val="-3"/>
          <w:sz w:val="24"/>
          <w:szCs w:val="24"/>
        </w:rPr>
      </w:pPr>
    </w:p>
    <w:p w14:paraId="6FCAEF4E">
      <w:pPr>
        <w:spacing w:before="78" w:line="313" w:lineRule="auto"/>
        <w:ind w:left="1813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3.7.知识库，体系运行至今，知识库条目已累计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上千</w:t>
      </w:r>
      <w:r>
        <w:rPr>
          <w:rFonts w:ascii="宋体" w:hAnsi="宋体" w:eastAsia="宋体" w:cs="宋体"/>
          <w:spacing w:val="-3"/>
          <w:sz w:val="24"/>
          <w:szCs w:val="24"/>
        </w:rPr>
        <w:t>条，已成为工</w:t>
      </w:r>
      <w:r>
        <w:rPr>
          <w:rFonts w:ascii="宋体" w:hAnsi="宋体" w:eastAsia="宋体" w:cs="宋体"/>
          <w:spacing w:val="-4"/>
          <w:sz w:val="24"/>
          <w:szCs w:val="24"/>
        </w:rPr>
        <w:t>程师解决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问题或者故障常用手段。目前有许多知识条目已经无用，目前正在对知识</w:t>
      </w:r>
      <w:r>
        <w:rPr>
          <w:rFonts w:ascii="宋体" w:hAnsi="宋体" w:eastAsia="宋体" w:cs="宋体"/>
          <w:spacing w:val="-4"/>
          <w:sz w:val="24"/>
          <w:szCs w:val="24"/>
        </w:rPr>
        <w:t>条目进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行审计。</w:t>
      </w:r>
    </w:p>
    <w:p w14:paraId="74FD15C2">
      <w:pPr>
        <w:pStyle w:val="2"/>
        <w:spacing w:line="382" w:lineRule="auto"/>
      </w:pPr>
    </w:p>
    <w:p w14:paraId="651B74F5">
      <w:pPr>
        <w:spacing w:before="78" w:line="313" w:lineRule="auto"/>
        <w:ind w:left="1811" w:right="748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3.8.服务级别，公司逐步完善服务目录定义</w:t>
      </w:r>
      <w:r>
        <w:rPr>
          <w:rFonts w:ascii="宋体" w:hAnsi="宋体" w:eastAsia="宋体" w:cs="宋体"/>
          <w:spacing w:val="-1"/>
          <w:sz w:val="24"/>
          <w:szCs w:val="24"/>
        </w:rPr>
        <w:t>的完整性，签订 SLA 文件的规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范性；保证服务级别 SLA</w:t>
      </w:r>
      <w:r>
        <w:rPr>
          <w:rFonts w:ascii="宋体" w:hAnsi="宋体" w:eastAsia="宋体" w:cs="宋体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的达成；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目前各项目服务级别达成率接近 100</w:t>
      </w:r>
      <w:r>
        <w:rPr>
          <w:rFonts w:ascii="宋体" w:hAnsi="宋体" w:eastAsia="宋体" w:cs="宋体"/>
          <w:spacing w:val="-25"/>
          <w:sz w:val="24"/>
          <w:szCs w:val="24"/>
        </w:rPr>
        <w:t>％</w:t>
      </w:r>
      <w:r>
        <w:rPr>
          <w:rFonts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5"/>
          <w:sz w:val="24"/>
          <w:szCs w:val="24"/>
        </w:rPr>
        <w:t>，</w:t>
      </w:r>
      <w:r>
        <w:rPr>
          <w:rFonts w:ascii="宋体" w:hAnsi="宋体" w:eastAsia="宋体" w:cs="宋体"/>
          <w:spacing w:val="-3"/>
          <w:sz w:val="24"/>
          <w:szCs w:val="24"/>
        </w:rPr>
        <w:t>服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务级别达成率得到很好的执行。</w:t>
      </w:r>
    </w:p>
    <w:p w14:paraId="5ECD46CD">
      <w:pPr>
        <w:pStyle w:val="2"/>
        <w:spacing w:line="383" w:lineRule="auto"/>
      </w:pPr>
    </w:p>
    <w:p w14:paraId="59C1D5BB">
      <w:pPr>
        <w:spacing w:before="78" w:line="289" w:lineRule="auto"/>
        <w:ind w:left="1811" w:right="642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3.9.服务报告，公司加强对服务报告的</w:t>
      </w:r>
      <w:r>
        <w:rPr>
          <w:rFonts w:ascii="宋体" w:hAnsi="宋体" w:eastAsia="宋体" w:cs="宋体"/>
          <w:spacing w:val="-8"/>
          <w:sz w:val="24"/>
          <w:szCs w:val="24"/>
        </w:rPr>
        <w:t>完整性管理，保证服务报告的及时性、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准确性，服务报告的及时完成率达到 100%。</w:t>
      </w:r>
    </w:p>
    <w:p w14:paraId="0A7C5908">
      <w:pPr>
        <w:pStyle w:val="2"/>
        <w:spacing w:line="383" w:lineRule="auto"/>
      </w:pPr>
    </w:p>
    <w:p w14:paraId="490CA473">
      <w:pPr>
        <w:spacing w:before="78" w:line="313" w:lineRule="auto"/>
        <w:ind w:left="1809" w:right="722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3.10.事件管理:保证事件管理过程的完整性、有效性，加强事件解决评估机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制的有效性；事件响应时间≤15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分钟，事件平均解决时间 4.5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小时，已经</w:t>
      </w:r>
      <w:r>
        <w:rPr>
          <w:rFonts w:ascii="宋体" w:hAnsi="宋体" w:eastAsia="宋体" w:cs="宋体"/>
          <w:spacing w:val="-2"/>
          <w:sz w:val="24"/>
          <w:szCs w:val="24"/>
        </w:rPr>
        <w:t>大大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减少解决时间。</w:t>
      </w:r>
    </w:p>
    <w:p w14:paraId="6FF5A215">
      <w:pPr>
        <w:pStyle w:val="2"/>
        <w:spacing w:line="383" w:lineRule="auto"/>
      </w:pPr>
    </w:p>
    <w:p w14:paraId="796039D0">
      <w:pPr>
        <w:spacing w:before="78" w:line="313" w:lineRule="auto"/>
        <w:ind w:left="1809" w:right="722" w:firstLine="4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3.11.问题管理:公司目前对于问题的分类、分级进行了明确的定义，并在问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题管理程序中指派了知识审核人员对问题处理过程进行知识收集，大大增加了工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作效率。</w:t>
      </w:r>
    </w:p>
    <w:p w14:paraId="1E4B812A">
      <w:pPr>
        <w:pStyle w:val="2"/>
        <w:spacing w:line="383" w:lineRule="auto"/>
      </w:pPr>
    </w:p>
    <w:p w14:paraId="001A44A9">
      <w:pPr>
        <w:spacing w:before="78" w:line="290" w:lineRule="auto"/>
        <w:ind w:left="1810" w:right="722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3.12.配置管理:公司定期对配置项进行审计，并于变更后及时对配置项进行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重新审计。</w:t>
      </w:r>
    </w:p>
    <w:p w14:paraId="2984C845">
      <w:pPr>
        <w:pStyle w:val="2"/>
        <w:spacing w:line="380" w:lineRule="auto"/>
      </w:pPr>
    </w:p>
    <w:p w14:paraId="037F0BC9">
      <w:pPr>
        <w:spacing w:before="78" w:line="290" w:lineRule="auto"/>
        <w:ind w:left="1813" w:right="72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3.13.变更发布管理: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目前公司的变更发布基本为资源的降配和增配，均按相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关规定实行。</w:t>
      </w:r>
    </w:p>
    <w:p w14:paraId="442AA24D">
      <w:pPr>
        <w:pStyle w:val="2"/>
        <w:spacing w:line="382" w:lineRule="auto"/>
      </w:pPr>
    </w:p>
    <w:p w14:paraId="0E2E33EB">
      <w:pPr>
        <w:spacing w:before="79" w:line="219" w:lineRule="auto"/>
        <w:ind w:left="229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3.14.安全管理:ITSS 体系运行</w:t>
      </w:r>
      <w:r>
        <w:rPr>
          <w:rFonts w:ascii="宋体" w:hAnsi="宋体" w:eastAsia="宋体" w:cs="宋体"/>
          <w:spacing w:val="-1"/>
          <w:sz w:val="24"/>
          <w:szCs w:val="24"/>
        </w:rPr>
        <w:t>至今未发生任何信息安全威胁事件。</w:t>
      </w:r>
    </w:p>
    <w:p w14:paraId="43B40256">
      <w:pPr>
        <w:pStyle w:val="2"/>
        <w:spacing w:line="382" w:lineRule="auto"/>
      </w:pPr>
    </w:p>
    <w:p w14:paraId="1D38D401">
      <w:pPr>
        <w:spacing w:before="79" w:line="290" w:lineRule="auto"/>
        <w:ind w:left="1813" w:right="668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3.15.技术，ITSS 体系运行至今，公司持续对过程工具、监控工具等功能进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行完善，通过近三年运维技术研发成果，在多方面提高运维人员解决故障效率。</w:t>
      </w:r>
    </w:p>
    <w:p w14:paraId="0F2322AE">
      <w:pPr>
        <w:pStyle w:val="2"/>
        <w:spacing w:line="403" w:lineRule="auto"/>
      </w:pPr>
    </w:p>
    <w:p w14:paraId="4431586D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12" w:type="default"/>
          <w:footerReference r:id="rId13" w:type="default"/>
          <w:pgSz w:w="11906" w:h="16839"/>
          <w:pgMar w:top="1166" w:right="1077" w:bottom="1434" w:left="0" w:header="829" w:footer="1272" w:gutter="0"/>
          <w:cols w:space="720" w:num="1"/>
        </w:sectPr>
      </w:pPr>
      <w:bookmarkStart w:id="3" w:name="bookmark4"/>
      <w:bookmarkEnd w:id="3"/>
    </w:p>
    <w:p w14:paraId="6CDA6AAE">
      <w:pPr>
        <w:pStyle w:val="2"/>
        <w:spacing w:line="305" w:lineRule="auto"/>
      </w:pPr>
    </w:p>
    <w:p w14:paraId="11AD29B7">
      <w:pPr>
        <w:spacing w:before="101" w:line="222" w:lineRule="auto"/>
        <w:ind w:left="1807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</w:rPr>
        <w:t>4</w:t>
      </w:r>
      <w:r>
        <w:rPr>
          <w:rFonts w:ascii="Times New Roman" w:hAnsi="Times New Roman" w:eastAsia="Times New Roman" w:cs="Times New Roman"/>
          <w:b/>
          <w:bCs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、</w:t>
      </w: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总结与改进</w:t>
      </w:r>
    </w:p>
    <w:p w14:paraId="5BF34A6E">
      <w:pPr>
        <w:pStyle w:val="2"/>
        <w:spacing w:line="405" w:lineRule="auto"/>
      </w:pPr>
    </w:p>
    <w:p w14:paraId="4DB1A9C2">
      <w:pPr>
        <w:spacing w:before="78" w:line="219" w:lineRule="auto"/>
        <w:ind w:left="2289"/>
      </w:pPr>
      <w:r>
        <w:rPr>
          <w:rFonts w:ascii="宋体" w:hAnsi="宋体" w:eastAsia="宋体" w:cs="宋体"/>
          <w:spacing w:val="-3"/>
          <w:sz w:val="24"/>
          <w:szCs w:val="24"/>
        </w:rPr>
        <w:t>通过 ITSS 运维服务管理体系在公司的落地实施，促使公司的运维服务管理</w:t>
      </w:r>
    </w:p>
    <w:p w14:paraId="2AC357D0">
      <w:pPr>
        <w:spacing w:before="78" w:line="361" w:lineRule="auto"/>
        <w:ind w:left="1810" w:right="72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方式不断完善。纵观公司近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六</w:t>
      </w:r>
      <w:r>
        <w:rPr>
          <w:rFonts w:ascii="宋体" w:hAnsi="宋体" w:eastAsia="宋体" w:cs="宋体"/>
          <w:spacing w:val="-3"/>
          <w:sz w:val="24"/>
          <w:szCs w:val="24"/>
        </w:rPr>
        <w:t>年的运维数据，在人员、资源、技术、过程</w:t>
      </w:r>
      <w:r>
        <w:rPr>
          <w:rFonts w:ascii="宋体" w:hAnsi="宋体" w:eastAsia="宋体" w:cs="宋体"/>
          <w:spacing w:val="-4"/>
          <w:sz w:val="24"/>
          <w:szCs w:val="24"/>
        </w:rPr>
        <w:t>、质量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等方面均有不同程度的提升。公司积极改变传统集成服务管理特征，引入更多的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新技术、新方法，通过信息化手段来进行数据化的组织管理。通过多个维度去保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障公司服务能力的持续优化，使得客户满意度和忠诚度不断提升，从而为公司的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规模化、规范化提供有效支撑和保障。</w:t>
      </w:r>
    </w:p>
    <w:sectPr>
      <w:headerReference r:id="rId14" w:type="default"/>
      <w:footerReference r:id="rId15" w:type="default"/>
      <w:pgSz w:w="11906" w:h="16839"/>
      <w:pgMar w:top="1166" w:right="1077" w:bottom="1434" w:left="0" w:header="829" w:footer="127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018C4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0"/>
        <w:sz w:val="18"/>
        <w:szCs w:val="18"/>
      </w:rPr>
      <w:t>-</w:t>
    </w:r>
    <w:r>
      <w:rPr>
        <w:rFonts w:ascii="Times New Roman" w:hAnsi="Times New Roman" w:eastAsia="Times New Roman" w:cs="Times New Roman"/>
        <w:spacing w:val="19"/>
        <w:w w:val="10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0"/>
        <w:sz w:val="18"/>
        <w:szCs w:val="18"/>
      </w:rPr>
      <w:t>1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10"/>
        <w:sz w:val="18"/>
        <w:szCs w:val="18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03FCC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  <w:r>
      <w:rPr>
        <w:rFonts w:ascii="Times New Roman" w:hAnsi="Times New Roman" w:eastAsia="Times New Roman" w:cs="Times New Roman"/>
        <w:spacing w:val="2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2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AD5C8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5"/>
        <w:sz w:val="18"/>
        <w:szCs w:val="18"/>
      </w:rPr>
      <w:t>-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3</w:t>
    </w:r>
    <w:r>
      <w:rPr>
        <w:rFonts w:ascii="Times New Roman" w:hAnsi="Times New Roman" w:eastAsia="Times New Roman" w:cs="Times New Roman"/>
        <w:spacing w:val="6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5"/>
        <w:sz w:val="18"/>
        <w:szCs w:val="18"/>
      </w:rPr>
      <w:t>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77266">
    <w:pPr>
      <w:spacing w:line="176" w:lineRule="auto"/>
      <w:ind w:left="59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  <w:r>
      <w:rPr>
        <w:rFonts w:ascii="Times New Roman" w:hAnsi="Times New Roman" w:eastAsia="Times New Roman" w:cs="Times New Roman"/>
        <w:spacing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4</w:t>
    </w:r>
    <w:r>
      <w:rPr>
        <w:rFonts w:ascii="Times New Roman" w:hAnsi="Times New Roman" w:eastAsia="Times New Roman" w:cs="Times New Roman"/>
        <w:spacing w:val="7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sz w:val="18"/>
        <w:szCs w:val="1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D53E4">
    <w:pPr>
      <w:pStyle w:val="2"/>
      <w:spacing w:line="46" w:lineRule="auto"/>
      <w:rPr>
        <w:sz w:val="2"/>
      </w:rPr>
    </w:pPr>
    <w:r>
      <w:pict>
        <v:shape id="_x0000_s2049" o:spid="_x0000_s2049" style="position:absolute;left:0pt;margin-left:72pt;margin-top:71.35pt;height:0.75pt;width:451.3pt;mso-position-horizontal-relative:page;mso-position-vertical-relative:page;z-index:251661312;mso-width-relative:page;mso-height-relative:page;" fillcolor="#000000" filled="t" stroked="f" coordsize="9025,15" o:allowincell="f" path="m0,0l9025,0,9025,14,0,14,0,0xe">
          <v:path/>
          <v:fill on="t" focussize="0,0"/>
          <v:stroke on="f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DFB4E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072" o:spid="_x0000_s2072" style="position:absolute;left:0pt;margin-left:72pt;margin-top:46.65pt;height:0.75pt;width:451.3pt;mso-position-horizontal-relative:page;mso-position-vertical-relative:page;z-index:251662336;mso-width-relative:page;mso-height-relative:page;" fillcolor="#000000" filled="t" stroked="f" coordsize="9025,15" o:allowincell="f" path="m0,0l9025,0,902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ABBF9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30EE0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097" o:spid="_x0000_s2097" style="position:absolute;left:0pt;margin-left:90pt;margin-top:55.2pt;height:0.75pt;width:415.3pt;mso-position-horizontal-relative:page;mso-position-vertical-relative:page;z-index:251663360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C91E0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110" o:spid="_x0000_s2110" style="position:absolute;left:0pt;margin-left:90pt;margin-top:55.2pt;height:0.75pt;width:415.3pt;mso-position-horizontal-relative:page;mso-position-vertical-relative:page;z-index:251664384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9C1E6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123" o:spid="_x0000_s2123" style="position:absolute;left:0pt;margin-left:90pt;margin-top:55.2pt;height:0.75pt;width:415.3pt;mso-position-horizontal-relative:page;mso-position-vertical-relative:page;z-index:251665408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DF2D8">
    <w:pPr>
      <w:spacing w:before="48" w:line="219" w:lineRule="auto"/>
      <w:ind w:left="3443"/>
      <w:rPr>
        <w:rFonts w:ascii="宋体" w:hAnsi="宋体" w:eastAsia="宋体" w:cs="宋体"/>
        <w:sz w:val="18"/>
        <w:szCs w:val="18"/>
      </w:rPr>
    </w:pPr>
    <w:r>
      <w:pict>
        <v:shape id="_x0000_s2136" o:spid="_x0000_s2136" style="position:absolute;left:0pt;margin-left:90pt;margin-top:55.2pt;height:0.75pt;width:415.3pt;mso-position-horizontal-relative:page;mso-position-vertical-relative:page;z-index:251666432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rFonts w:ascii="宋体" w:hAnsi="宋体" w:eastAsia="宋体" w:cs="宋体"/>
        <w:spacing w:val="-1"/>
        <w:sz w:val="18"/>
        <w:szCs w:val="18"/>
      </w:rPr>
      <w:t>实施运维服务能力成熟度对服务能力提升及业务发展的促进情况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0263FD"/>
    <w:rsid w:val="0B824CE1"/>
    <w:rsid w:val="1BFD77CB"/>
    <w:rsid w:val="47A92F02"/>
    <w:rsid w:val="4FA91D57"/>
    <w:rsid w:val="717F70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4.xml"/><Relationship Id="rId14" Type="http://schemas.openxmlformats.org/officeDocument/2006/relationships/header" Target="header7.xml"/><Relationship Id="rId13" Type="http://schemas.openxmlformats.org/officeDocument/2006/relationships/footer" Target="footer3.xml"/><Relationship Id="rId12" Type="http://schemas.openxmlformats.org/officeDocument/2006/relationships/header" Target="header6.xml"/><Relationship Id="rId11" Type="http://schemas.openxmlformats.org/officeDocument/2006/relationships/footer" Target="footer2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2072"/>
    <customShpInfo spid="_x0000_s2097"/>
    <customShpInfo spid="_x0000_s2110"/>
    <customShpInfo spid="_x0000_s2123"/>
    <customShpInfo spid="_x0000_s2136"/>
    <customShpInfo spid="_x0000_s1026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2336</Words>
  <Characters>2479</Characters>
  <TotalTime>15</TotalTime>
  <ScaleCrop>false</ScaleCrop>
  <LinksUpToDate>false</LinksUpToDate>
  <CharactersWithSpaces>2683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2025-09-26T11:32:00Z</dcterms:created>
  <dc:creator>SYSTEM</dc:creator>
  <cp:lastModifiedBy>淇</cp:lastModifiedBy>
  <dcterms:modified xsi:type="dcterms:W3CDTF">2025-10-10T03:50:46Z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2025-09-26T11:35:45Z</vt:filetime>
  </property>
  <property fmtid="{D5CDD505-2E9C-101B-9397-08002B2CF9AE}" pid="4" name="KSOTemplateDocerSaveRecord">
    <vt:lpwstr>eyJoZGlkIjoiN2YzNjBkOTgyNWQ1YTMxYzM3MzMwNWFiODNmOWIzYWMiLCJ1c2VySWQiOiIxNDMzNzA3NTMzIn0=</vt:lpwstr>
  </property>
  <property fmtid="{D5CDD505-2E9C-101B-9397-08002B2CF9AE}" pid="5" name="KSOProductBuildVer">
    <vt:lpwstr>2052-12.1.0.22529</vt:lpwstr>
  </property>
  <property fmtid="{D5CDD505-2E9C-101B-9397-08002B2CF9AE}" pid="6" name="ICV">
    <vt:lpwstr>76FC140452444D92ADF83C4A986EB4E0_12</vt:lpwstr>
  </property>
</Properties>
</file>