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841E1A">
      <w:pPr>
        <w:pStyle w:val="2"/>
        <w:spacing w:line="264" w:lineRule="auto"/>
      </w:pPr>
    </w:p>
    <w:p w14:paraId="1EBF7E07">
      <w:pPr>
        <w:pStyle w:val="2"/>
        <w:spacing w:line="264" w:lineRule="auto"/>
      </w:pPr>
    </w:p>
    <w:p w14:paraId="1DB2CE15">
      <w:pPr>
        <w:pStyle w:val="2"/>
        <w:spacing w:line="264" w:lineRule="auto"/>
      </w:pPr>
    </w:p>
    <w:p w14:paraId="734F012D">
      <w:pPr>
        <w:pStyle w:val="2"/>
        <w:spacing w:line="264" w:lineRule="auto"/>
      </w:pPr>
    </w:p>
    <w:p w14:paraId="68E6A99E">
      <w:pPr>
        <w:pStyle w:val="2"/>
        <w:spacing w:line="264" w:lineRule="auto"/>
      </w:pPr>
    </w:p>
    <w:p w14:paraId="6B71384A">
      <w:pPr>
        <w:pStyle w:val="2"/>
        <w:spacing w:line="264" w:lineRule="auto"/>
      </w:pPr>
    </w:p>
    <w:p w14:paraId="755AEE4E">
      <w:pPr>
        <w:pStyle w:val="2"/>
        <w:spacing w:line="264" w:lineRule="auto"/>
      </w:pPr>
    </w:p>
    <w:p w14:paraId="2AE124E1">
      <w:pPr>
        <w:pStyle w:val="2"/>
        <w:spacing w:line="265" w:lineRule="auto"/>
      </w:pPr>
    </w:p>
    <w:p w14:paraId="42C8D0B4">
      <w:pPr>
        <w:spacing w:before="169" w:line="334" w:lineRule="auto"/>
        <w:ind w:left="3033" w:right="513" w:hanging="1558"/>
        <w:rPr>
          <w:rFonts w:ascii="宋体" w:hAnsi="宋体" w:eastAsia="宋体" w:cs="宋体"/>
          <w:sz w:val="52"/>
          <w:szCs w:val="52"/>
        </w:rPr>
      </w:pPr>
      <w:r>
        <w:rPr>
          <w:rFonts w:ascii="宋体" w:hAnsi="宋体" w:eastAsia="宋体" w:cs="宋体"/>
          <w:b/>
          <w:bCs/>
          <w:spacing w:val="-6"/>
          <w:sz w:val="52"/>
          <w:szCs w:val="52"/>
        </w:rPr>
        <w:t>实施运维服务能力成熟度对服务能力提</w:t>
      </w:r>
      <w:r>
        <w:rPr>
          <w:rFonts w:ascii="宋体" w:hAnsi="宋体" w:eastAsia="宋体" w:cs="宋体"/>
          <w:spacing w:val="8"/>
          <w:sz w:val="52"/>
          <w:szCs w:val="52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52"/>
          <w:szCs w:val="52"/>
        </w:rPr>
        <w:t>升及业务发展的促进情况</w:t>
      </w:r>
    </w:p>
    <w:p w14:paraId="41392BCA">
      <w:pPr>
        <w:pStyle w:val="2"/>
        <w:spacing w:line="249" w:lineRule="auto"/>
      </w:pPr>
    </w:p>
    <w:p w14:paraId="2BFC3436">
      <w:pPr>
        <w:pStyle w:val="2"/>
        <w:spacing w:line="249" w:lineRule="auto"/>
      </w:pPr>
    </w:p>
    <w:p w14:paraId="2EBE7CB0">
      <w:pPr>
        <w:pStyle w:val="2"/>
        <w:spacing w:line="249" w:lineRule="auto"/>
      </w:pPr>
    </w:p>
    <w:p w14:paraId="70DBA17C">
      <w:pPr>
        <w:pStyle w:val="2"/>
        <w:spacing w:line="249" w:lineRule="auto"/>
      </w:pPr>
    </w:p>
    <w:p w14:paraId="395350DF">
      <w:pPr>
        <w:pStyle w:val="2"/>
        <w:spacing w:line="249" w:lineRule="auto"/>
      </w:pPr>
    </w:p>
    <w:p w14:paraId="128F5111">
      <w:pPr>
        <w:pStyle w:val="2"/>
        <w:spacing w:line="249" w:lineRule="auto"/>
      </w:pPr>
    </w:p>
    <w:p w14:paraId="14B9E076">
      <w:pPr>
        <w:pStyle w:val="2"/>
        <w:spacing w:line="249" w:lineRule="auto"/>
      </w:pPr>
    </w:p>
    <w:p w14:paraId="282680B1">
      <w:pPr>
        <w:pStyle w:val="2"/>
        <w:spacing w:line="249" w:lineRule="auto"/>
      </w:pPr>
    </w:p>
    <w:p w14:paraId="7CB60221">
      <w:pPr>
        <w:pStyle w:val="2"/>
        <w:spacing w:line="249" w:lineRule="auto"/>
      </w:pPr>
    </w:p>
    <w:p w14:paraId="3F28547A">
      <w:pPr>
        <w:pStyle w:val="2"/>
        <w:spacing w:line="249" w:lineRule="auto"/>
      </w:pPr>
    </w:p>
    <w:p w14:paraId="65FD2878">
      <w:pPr>
        <w:pStyle w:val="2"/>
        <w:spacing w:line="249" w:lineRule="auto"/>
      </w:pPr>
    </w:p>
    <w:p w14:paraId="4D9BC3BE">
      <w:pPr>
        <w:pStyle w:val="2"/>
        <w:spacing w:line="249" w:lineRule="auto"/>
      </w:pPr>
    </w:p>
    <w:p w14:paraId="697F7E29">
      <w:pPr>
        <w:pStyle w:val="2"/>
        <w:spacing w:line="250" w:lineRule="auto"/>
      </w:pPr>
    </w:p>
    <w:p w14:paraId="480ED8D6">
      <w:pPr>
        <w:pStyle w:val="2"/>
        <w:spacing w:line="250" w:lineRule="auto"/>
      </w:pPr>
    </w:p>
    <w:p w14:paraId="690C880F">
      <w:pPr>
        <w:pStyle w:val="2"/>
        <w:spacing w:line="250" w:lineRule="auto"/>
      </w:pPr>
    </w:p>
    <w:p w14:paraId="57C0DC2F">
      <w:pPr>
        <w:pStyle w:val="2"/>
        <w:spacing w:line="250" w:lineRule="auto"/>
      </w:pPr>
    </w:p>
    <w:p w14:paraId="0AA04264">
      <w:pPr>
        <w:pStyle w:val="2"/>
        <w:spacing w:line="250" w:lineRule="auto"/>
      </w:pPr>
    </w:p>
    <w:p w14:paraId="11B6790C">
      <w:pPr>
        <w:pStyle w:val="2"/>
        <w:spacing w:line="250" w:lineRule="auto"/>
      </w:pPr>
    </w:p>
    <w:p w14:paraId="2DD474D5">
      <w:pPr>
        <w:spacing w:before="150" w:line="191" w:lineRule="auto"/>
        <w:ind w:left="463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黑体" w:hAnsi="黑体" w:eastAsia="黑体" w:cs="黑体"/>
          <w:spacing w:val="-1"/>
          <w:sz w:val="35"/>
          <w:szCs w:val="35"/>
        </w:rPr>
        <w:t>202</w:t>
      </w:r>
      <w:r>
        <w:rPr>
          <w:rFonts w:hint="eastAsia" w:ascii="黑体" w:hAnsi="黑体" w:eastAsia="黑体" w:cs="黑体"/>
          <w:spacing w:val="-1"/>
          <w:sz w:val="35"/>
          <w:szCs w:val="35"/>
          <w:lang w:val="en-US" w:eastAsia="zh-CN"/>
        </w:rPr>
        <w:t>5</w:t>
      </w:r>
      <w:r>
        <w:rPr>
          <w:rFonts w:ascii="黑体" w:hAnsi="黑体" w:eastAsia="黑体" w:cs="黑体"/>
          <w:spacing w:val="-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1"/>
          <w:sz w:val="35"/>
          <w:szCs w:val="35"/>
        </w:rPr>
        <w:t xml:space="preserve">年  </w:t>
      </w:r>
      <w:r>
        <w:rPr>
          <w:rFonts w:hint="eastAsia" w:ascii="黑体" w:hAnsi="黑体" w:eastAsia="黑体" w:cs="黑体"/>
          <w:spacing w:val="-1"/>
          <w:sz w:val="35"/>
          <w:szCs w:val="35"/>
          <w:lang w:val="en-US" w:eastAsia="zh-CN"/>
        </w:rPr>
        <w:t>9</w:t>
      </w:r>
      <w:r>
        <w:rPr>
          <w:rFonts w:ascii="黑体" w:hAnsi="黑体" w:eastAsia="黑体" w:cs="黑体"/>
          <w:spacing w:val="-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1"/>
          <w:sz w:val="35"/>
          <w:szCs w:val="35"/>
        </w:rPr>
        <w:t xml:space="preserve">月  </w:t>
      </w:r>
      <w:r>
        <w:rPr>
          <w:rFonts w:ascii="黑体" w:hAnsi="黑体" w:eastAsia="黑体" w:cs="黑体"/>
          <w:spacing w:val="-1"/>
          <w:sz w:val="35"/>
          <w:szCs w:val="35"/>
        </w:rPr>
        <w:t>29</w:t>
      </w:r>
      <w:r>
        <w:rPr>
          <w:rFonts w:ascii="黑体" w:hAnsi="黑体" w:eastAsia="黑体" w:cs="黑体"/>
          <w:spacing w:val="7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1"/>
          <w:sz w:val="35"/>
          <w:szCs w:val="35"/>
        </w:rPr>
        <w:t>日</w:t>
      </w:r>
    </w:p>
    <w:p w14:paraId="2274F762">
      <w:pPr>
        <w:spacing w:line="191" w:lineRule="auto"/>
        <w:rPr>
          <w:rFonts w:ascii="微软雅黑" w:hAnsi="微软雅黑" w:eastAsia="微软雅黑" w:cs="微软雅黑"/>
          <w:sz w:val="35"/>
          <w:szCs w:val="35"/>
        </w:rPr>
        <w:sectPr>
          <w:headerReference r:id="rId5" w:type="default"/>
          <w:pgSz w:w="11906" w:h="16839"/>
          <w:pgMar w:top="1441" w:right="1077" w:bottom="0" w:left="0" w:header="1426" w:footer="0" w:gutter="0"/>
          <w:cols w:space="720" w:num="1"/>
        </w:sectPr>
      </w:pPr>
    </w:p>
    <w:p w14:paraId="378EB2A2">
      <w:pPr>
        <w:pStyle w:val="2"/>
        <w:spacing w:line="245" w:lineRule="auto"/>
      </w:pPr>
    </w:p>
    <w:p w14:paraId="4F1B089D">
      <w:pPr>
        <w:pStyle w:val="2"/>
        <w:spacing w:line="245" w:lineRule="auto"/>
      </w:pPr>
    </w:p>
    <w:p w14:paraId="1EF558E1">
      <w:pPr>
        <w:spacing w:before="128" w:line="182" w:lineRule="auto"/>
        <w:ind w:left="5543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spacing w:val="29"/>
          <w:sz w:val="30"/>
          <w:szCs w:val="30"/>
        </w:rPr>
        <w:t>版本历史</w:t>
      </w:r>
    </w:p>
    <w:p w14:paraId="7AE53B98">
      <w:pPr>
        <w:pStyle w:val="2"/>
        <w:spacing w:line="269" w:lineRule="auto"/>
      </w:pPr>
    </w:p>
    <w:p w14:paraId="13827204">
      <w:pPr>
        <w:pStyle w:val="2"/>
        <w:spacing w:line="270" w:lineRule="auto"/>
      </w:pPr>
    </w:p>
    <w:p w14:paraId="78D10009">
      <w:pPr>
        <w:spacing w:before="86" w:line="195" w:lineRule="auto"/>
        <w:ind w:left="1550"/>
        <w:rPr>
          <w:rFonts w:hint="eastAsia" w:ascii="微软雅黑" w:hAnsi="微软雅黑" w:eastAsia="微软雅黑" w:cs="微软雅黑"/>
          <w:sz w:val="20"/>
          <w:szCs w:val="20"/>
          <w:lang w:eastAsia="zh-CN"/>
        </w:rPr>
      </w:pPr>
      <w:r>
        <w:pict>
          <v:shape id="_x0000_s1026" o:spid="_x0000_s1026" style="position:absolute;left:0pt;margin-left:124.6pt;margin-top:28.8pt;height:0.5pt;width:428.6pt;z-index:-251657216;mso-width-relative:page;mso-height-relative:page;" filled="f" stroked="t" coordsize="8572,10" path="m0,4l3756,4m4857,4l8571,4e">
            <v:fill on="f" focussize="0,0"/>
            <v:stroke weight="0.48pt" color="#000000" miterlimit="2" joinstyle="bevel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4"/>
          <w:position w:val="3"/>
          <w:sz w:val="20"/>
          <w:szCs w:val="20"/>
        </w:rPr>
        <w:t>编制人：</w:t>
      </w:r>
      <w:r>
        <w:rPr>
          <w:rFonts w:ascii="微软雅黑" w:hAnsi="微软雅黑" w:eastAsia="微软雅黑" w:cs="微软雅黑"/>
          <w:spacing w:val="1"/>
          <w:position w:val="3"/>
          <w:sz w:val="20"/>
          <w:szCs w:val="20"/>
        </w:rPr>
        <w:t xml:space="preserve">                               </w:t>
      </w:r>
      <w:r>
        <w:rPr>
          <w:rFonts w:hint="eastAsia" w:ascii="微软雅黑" w:hAnsi="微软雅黑" w:eastAsia="微软雅黑" w:cs="微软雅黑"/>
          <w:spacing w:val="4"/>
          <w:position w:val="-4"/>
          <w:sz w:val="20"/>
          <w:szCs w:val="20"/>
          <w:lang w:val="en-US" w:eastAsia="zh-CN"/>
        </w:rPr>
        <w:t>闻天</w:t>
      </w:r>
      <w:r>
        <w:rPr>
          <w:rFonts w:ascii="微软雅黑" w:hAnsi="微软雅黑" w:eastAsia="微软雅黑" w:cs="微软雅黑"/>
          <w:spacing w:val="4"/>
          <w:position w:val="-4"/>
          <w:sz w:val="20"/>
          <w:szCs w:val="20"/>
        </w:rPr>
        <w:t xml:space="preserve">                    </w:t>
      </w:r>
      <w:r>
        <w:rPr>
          <w:rFonts w:ascii="微软雅黑" w:hAnsi="微软雅黑" w:eastAsia="微软雅黑" w:cs="微软雅黑"/>
          <w:spacing w:val="3"/>
          <w:position w:val="-4"/>
          <w:sz w:val="20"/>
          <w:szCs w:val="20"/>
        </w:rPr>
        <w:t xml:space="preserve">    </w:t>
      </w:r>
      <w:r>
        <w:rPr>
          <w:rFonts w:ascii="微软雅黑" w:hAnsi="微软雅黑" w:eastAsia="微软雅黑" w:cs="微软雅黑"/>
          <w:spacing w:val="3"/>
          <w:position w:val="3"/>
          <w:sz w:val="20"/>
          <w:szCs w:val="20"/>
        </w:rPr>
        <w:t xml:space="preserve">审批人：                               </w:t>
      </w:r>
      <w:r>
        <w:rPr>
          <w:rFonts w:hint="eastAsia" w:ascii="微软雅黑" w:hAnsi="微软雅黑" w:eastAsia="微软雅黑" w:cs="微软雅黑"/>
          <w:spacing w:val="3"/>
          <w:position w:val="-4"/>
          <w:sz w:val="20"/>
          <w:szCs w:val="20"/>
          <w:lang w:val="en-US" w:eastAsia="zh-CN"/>
        </w:rPr>
        <w:t>高阳</w:t>
      </w:r>
    </w:p>
    <w:p w14:paraId="0AEFB1FB">
      <w:pPr>
        <w:spacing w:before="25"/>
      </w:pPr>
    </w:p>
    <w:p w14:paraId="72DB300E">
      <w:pPr>
        <w:spacing w:before="25"/>
      </w:pPr>
    </w:p>
    <w:p w14:paraId="666D9EC1">
      <w:pPr>
        <w:spacing w:before="24"/>
      </w:pPr>
    </w:p>
    <w:p w14:paraId="70A35DE2">
      <w:pPr>
        <w:spacing w:before="24"/>
      </w:pPr>
    </w:p>
    <w:p w14:paraId="13051D82">
      <w:pPr>
        <w:spacing w:before="24"/>
      </w:pPr>
    </w:p>
    <w:tbl>
      <w:tblPr>
        <w:tblStyle w:val="5"/>
        <w:tblW w:w="9698" w:type="dxa"/>
        <w:tblInd w:w="14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7"/>
        <w:gridCol w:w="2911"/>
        <w:gridCol w:w="2216"/>
        <w:gridCol w:w="1341"/>
        <w:gridCol w:w="1543"/>
      </w:tblGrid>
      <w:tr w14:paraId="5F2029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687" w:type="dxa"/>
            <w:tcBorders>
              <w:top w:val="single" w:color="000000" w:sz="6" w:space="0"/>
              <w:left w:val="single" w:color="000000" w:sz="6" w:space="0"/>
            </w:tcBorders>
            <w:vAlign w:val="top"/>
          </w:tcPr>
          <w:p w14:paraId="1B651511">
            <w:pPr>
              <w:spacing w:before="223" w:line="189" w:lineRule="auto"/>
              <w:ind w:left="731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版本号</w:t>
            </w:r>
          </w:p>
        </w:tc>
        <w:tc>
          <w:tcPr>
            <w:tcW w:w="2911" w:type="dxa"/>
            <w:tcBorders>
              <w:top w:val="single" w:color="000000" w:sz="6" w:space="0"/>
            </w:tcBorders>
            <w:vAlign w:val="top"/>
          </w:tcPr>
          <w:p w14:paraId="5971FFD4">
            <w:pPr>
              <w:spacing w:before="223" w:line="189" w:lineRule="auto"/>
              <w:ind w:left="1244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更改描述</w:t>
            </w:r>
          </w:p>
        </w:tc>
        <w:tc>
          <w:tcPr>
            <w:tcW w:w="2216" w:type="dxa"/>
            <w:tcBorders>
              <w:top w:val="single" w:color="000000" w:sz="6" w:space="0"/>
            </w:tcBorders>
            <w:vAlign w:val="top"/>
          </w:tcPr>
          <w:p w14:paraId="012D510F">
            <w:pPr>
              <w:spacing w:before="223" w:line="189" w:lineRule="auto"/>
              <w:ind w:left="901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更改日期</w:t>
            </w:r>
          </w:p>
        </w:tc>
        <w:tc>
          <w:tcPr>
            <w:tcW w:w="1341" w:type="dxa"/>
            <w:tcBorders>
              <w:top w:val="single" w:color="000000" w:sz="6" w:space="0"/>
            </w:tcBorders>
            <w:vAlign w:val="top"/>
          </w:tcPr>
          <w:p w14:paraId="69450A4E">
            <w:pPr>
              <w:spacing w:before="224" w:line="188" w:lineRule="auto"/>
              <w:ind w:left="359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修订人</w:t>
            </w:r>
          </w:p>
        </w:tc>
        <w:tc>
          <w:tcPr>
            <w:tcW w:w="1543" w:type="dxa"/>
            <w:tcBorders>
              <w:top w:val="single" w:color="000000" w:sz="6" w:space="0"/>
              <w:right w:val="single" w:color="000000" w:sz="6" w:space="0"/>
            </w:tcBorders>
            <w:vAlign w:val="top"/>
          </w:tcPr>
          <w:p w14:paraId="06E1AC33">
            <w:pPr>
              <w:spacing w:before="221" w:line="190" w:lineRule="auto"/>
              <w:ind w:left="467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5"/>
                <w:sz w:val="20"/>
                <w:szCs w:val="20"/>
              </w:rPr>
              <w:t>审批人</w:t>
            </w:r>
          </w:p>
        </w:tc>
      </w:tr>
      <w:tr w14:paraId="000969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687" w:type="dxa"/>
            <w:tcBorders>
              <w:left w:val="single" w:color="000000" w:sz="6" w:space="0"/>
            </w:tcBorders>
            <w:vAlign w:val="top"/>
          </w:tcPr>
          <w:p w14:paraId="53C10C0F">
            <w:pPr>
              <w:spacing w:before="180" w:line="359" w:lineRule="exact"/>
              <w:ind w:left="826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4"/>
                <w:position w:val="3"/>
                <w:sz w:val="20"/>
                <w:szCs w:val="20"/>
              </w:rPr>
              <w:t>V1.0</w:t>
            </w:r>
          </w:p>
        </w:tc>
        <w:tc>
          <w:tcPr>
            <w:tcW w:w="2911" w:type="dxa"/>
            <w:vAlign w:val="top"/>
          </w:tcPr>
          <w:p w14:paraId="320EE88E">
            <w:pPr>
              <w:spacing w:before="219" w:line="189" w:lineRule="auto"/>
              <w:ind w:left="1452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2216" w:type="dxa"/>
            <w:vAlign w:val="top"/>
          </w:tcPr>
          <w:p w14:paraId="5ECE6A46">
            <w:pPr>
              <w:spacing w:before="180" w:line="359" w:lineRule="exact"/>
              <w:ind w:left="576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3"/>
                <w:position w:val="3"/>
                <w:sz w:val="20"/>
                <w:szCs w:val="20"/>
              </w:rPr>
              <w:t>202</w:t>
            </w:r>
            <w:r>
              <w:rPr>
                <w:rFonts w:hint="eastAsia" w:ascii="微软雅黑" w:hAnsi="微软雅黑" w:eastAsia="微软雅黑" w:cs="微软雅黑"/>
                <w:spacing w:val="3"/>
                <w:position w:val="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微软雅黑" w:hAnsi="微软雅黑" w:eastAsia="微软雅黑" w:cs="微软雅黑"/>
                <w:spacing w:val="3"/>
                <w:position w:val="3"/>
                <w:sz w:val="20"/>
                <w:szCs w:val="20"/>
              </w:rPr>
              <w:t>.0</w:t>
            </w:r>
            <w:r>
              <w:rPr>
                <w:rFonts w:hint="eastAsia" w:ascii="微软雅黑" w:hAnsi="微软雅黑" w:eastAsia="微软雅黑" w:cs="微软雅黑"/>
                <w:spacing w:val="3"/>
                <w:position w:val="3"/>
                <w:sz w:val="20"/>
                <w:szCs w:val="20"/>
                <w:lang w:val="en-US" w:eastAsia="zh-CN"/>
              </w:rPr>
              <w:t>9</w:t>
            </w:r>
            <w:r>
              <w:rPr>
                <w:rFonts w:ascii="微软雅黑" w:hAnsi="微软雅黑" w:eastAsia="微软雅黑" w:cs="微软雅黑"/>
                <w:spacing w:val="3"/>
                <w:position w:val="3"/>
                <w:sz w:val="20"/>
                <w:szCs w:val="20"/>
              </w:rPr>
              <w:t>.29</w:t>
            </w:r>
          </w:p>
        </w:tc>
        <w:tc>
          <w:tcPr>
            <w:tcW w:w="1341" w:type="dxa"/>
            <w:vAlign w:val="top"/>
          </w:tcPr>
          <w:p w14:paraId="22896E10">
            <w:pPr>
              <w:spacing w:before="220" w:line="188" w:lineRule="auto"/>
              <w:ind w:left="360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闻天</w:t>
            </w:r>
          </w:p>
        </w:tc>
        <w:tc>
          <w:tcPr>
            <w:tcW w:w="1543" w:type="dxa"/>
            <w:tcBorders>
              <w:right w:val="single" w:color="000000" w:sz="6" w:space="0"/>
            </w:tcBorders>
            <w:vAlign w:val="top"/>
          </w:tcPr>
          <w:p w14:paraId="30F28607">
            <w:pPr>
              <w:spacing w:before="221" w:line="188" w:lineRule="auto"/>
              <w:ind w:left="458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高阳</w:t>
            </w:r>
          </w:p>
        </w:tc>
      </w:tr>
      <w:tr w14:paraId="4726F7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687" w:type="dxa"/>
            <w:tcBorders>
              <w:left w:val="single" w:color="000000" w:sz="6" w:space="0"/>
            </w:tcBorders>
            <w:vAlign w:val="top"/>
          </w:tcPr>
          <w:p w14:paraId="17B7C25F">
            <w:pPr>
              <w:pStyle w:val="6"/>
            </w:pPr>
          </w:p>
        </w:tc>
        <w:tc>
          <w:tcPr>
            <w:tcW w:w="2911" w:type="dxa"/>
            <w:vAlign w:val="top"/>
          </w:tcPr>
          <w:p w14:paraId="5C81F226">
            <w:pPr>
              <w:pStyle w:val="6"/>
            </w:pPr>
          </w:p>
        </w:tc>
        <w:tc>
          <w:tcPr>
            <w:tcW w:w="2216" w:type="dxa"/>
            <w:vAlign w:val="top"/>
          </w:tcPr>
          <w:p w14:paraId="294F73FE">
            <w:pPr>
              <w:pStyle w:val="6"/>
            </w:pPr>
          </w:p>
        </w:tc>
        <w:tc>
          <w:tcPr>
            <w:tcW w:w="1341" w:type="dxa"/>
            <w:vAlign w:val="top"/>
          </w:tcPr>
          <w:p w14:paraId="37EC91C7">
            <w:pPr>
              <w:pStyle w:val="6"/>
            </w:pPr>
          </w:p>
        </w:tc>
        <w:tc>
          <w:tcPr>
            <w:tcW w:w="1543" w:type="dxa"/>
            <w:tcBorders>
              <w:right w:val="single" w:color="000000" w:sz="6" w:space="0"/>
            </w:tcBorders>
            <w:vAlign w:val="top"/>
          </w:tcPr>
          <w:p w14:paraId="3A0D4CA9">
            <w:pPr>
              <w:pStyle w:val="6"/>
            </w:pPr>
          </w:p>
        </w:tc>
      </w:tr>
      <w:tr w14:paraId="612502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687" w:type="dxa"/>
            <w:tcBorders>
              <w:left w:val="single" w:color="000000" w:sz="6" w:space="0"/>
            </w:tcBorders>
            <w:vAlign w:val="top"/>
          </w:tcPr>
          <w:p w14:paraId="0DF91BF0">
            <w:pPr>
              <w:pStyle w:val="6"/>
            </w:pPr>
          </w:p>
        </w:tc>
        <w:tc>
          <w:tcPr>
            <w:tcW w:w="2911" w:type="dxa"/>
            <w:vAlign w:val="top"/>
          </w:tcPr>
          <w:p w14:paraId="584B6E9D">
            <w:pPr>
              <w:pStyle w:val="6"/>
            </w:pPr>
          </w:p>
        </w:tc>
        <w:tc>
          <w:tcPr>
            <w:tcW w:w="2216" w:type="dxa"/>
            <w:vAlign w:val="top"/>
          </w:tcPr>
          <w:p w14:paraId="4340ED1D">
            <w:pPr>
              <w:pStyle w:val="6"/>
            </w:pPr>
          </w:p>
        </w:tc>
        <w:tc>
          <w:tcPr>
            <w:tcW w:w="1341" w:type="dxa"/>
            <w:vAlign w:val="top"/>
          </w:tcPr>
          <w:p w14:paraId="708431B5">
            <w:pPr>
              <w:pStyle w:val="6"/>
            </w:pPr>
          </w:p>
        </w:tc>
        <w:tc>
          <w:tcPr>
            <w:tcW w:w="1543" w:type="dxa"/>
            <w:tcBorders>
              <w:right w:val="single" w:color="000000" w:sz="6" w:space="0"/>
            </w:tcBorders>
            <w:vAlign w:val="top"/>
          </w:tcPr>
          <w:p w14:paraId="55F33C99">
            <w:pPr>
              <w:pStyle w:val="6"/>
            </w:pPr>
          </w:p>
        </w:tc>
      </w:tr>
      <w:tr w14:paraId="64ADEC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687" w:type="dxa"/>
            <w:tcBorders>
              <w:left w:val="single" w:color="000000" w:sz="6" w:space="0"/>
            </w:tcBorders>
            <w:vAlign w:val="top"/>
          </w:tcPr>
          <w:p w14:paraId="5BC52009">
            <w:pPr>
              <w:pStyle w:val="6"/>
            </w:pPr>
          </w:p>
        </w:tc>
        <w:tc>
          <w:tcPr>
            <w:tcW w:w="2911" w:type="dxa"/>
            <w:vAlign w:val="top"/>
          </w:tcPr>
          <w:p w14:paraId="28DDB17C">
            <w:pPr>
              <w:pStyle w:val="6"/>
            </w:pPr>
          </w:p>
        </w:tc>
        <w:tc>
          <w:tcPr>
            <w:tcW w:w="2216" w:type="dxa"/>
            <w:vAlign w:val="top"/>
          </w:tcPr>
          <w:p w14:paraId="4B920AD0">
            <w:pPr>
              <w:pStyle w:val="6"/>
            </w:pPr>
          </w:p>
        </w:tc>
        <w:tc>
          <w:tcPr>
            <w:tcW w:w="1341" w:type="dxa"/>
            <w:vAlign w:val="top"/>
          </w:tcPr>
          <w:p w14:paraId="4638CDFD">
            <w:pPr>
              <w:pStyle w:val="6"/>
            </w:pPr>
          </w:p>
        </w:tc>
        <w:tc>
          <w:tcPr>
            <w:tcW w:w="1543" w:type="dxa"/>
            <w:tcBorders>
              <w:right w:val="single" w:color="000000" w:sz="6" w:space="0"/>
            </w:tcBorders>
            <w:vAlign w:val="top"/>
          </w:tcPr>
          <w:p w14:paraId="0F91CFB5">
            <w:pPr>
              <w:pStyle w:val="6"/>
            </w:pPr>
          </w:p>
        </w:tc>
      </w:tr>
    </w:tbl>
    <w:p w14:paraId="33517CE3">
      <w:pPr>
        <w:pStyle w:val="2"/>
      </w:pPr>
    </w:p>
    <w:p w14:paraId="6092F4BA">
      <w:pPr>
        <w:sectPr>
          <w:headerReference r:id="rId6" w:type="default"/>
          <w:pgSz w:w="11906" w:h="16839"/>
          <w:pgMar w:top="995" w:right="762" w:bottom="0" w:left="0" w:header="659" w:footer="0" w:gutter="0"/>
          <w:cols w:space="720" w:num="1"/>
        </w:sectPr>
      </w:pPr>
    </w:p>
    <w:p w14:paraId="4F3E6DD5">
      <w:pPr>
        <w:pStyle w:val="2"/>
        <w:spacing w:line="385" w:lineRule="auto"/>
      </w:pPr>
      <w:r>
        <w:pict>
          <v:shape id="_x0000_s1029" o:spid="_x0000_s1029" style="position:absolute;left:0pt;margin-left:90pt;margin-top:55.2pt;height:0.75pt;width:415.3pt;mso-position-horizontal-relative:page;mso-position-vertical-relative:page;z-index:251660288;mso-width-relative:page;mso-height-relative:page;" fillcolor="#000000" filled="t" stroked="f" coordsize="8305,15" o:allowincell="f" path="m0,0l8305,0,8305,14,0,14,0,0xe">
            <v:path/>
            <v:fill on="t" focussize="0,0"/>
            <v:stroke on="f"/>
            <v:imagedata o:title=""/>
            <o:lock v:ext="edit"/>
          </v:shape>
        </w:pict>
      </w:r>
    </w:p>
    <w:sdt>
      <w:sdtPr>
        <w:rPr>
          <w:rFonts w:ascii="宋体" w:hAnsi="宋体" w:eastAsia="宋体" w:cs="宋体"/>
          <w:sz w:val="31"/>
          <w:szCs w:val="31"/>
        </w:rPr>
        <w:id w:val="147467568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0"/>
          <w:szCs w:val="20"/>
        </w:rPr>
      </w:sdtEndPr>
      <w:sdtContent>
        <w:p w14:paraId="1363C558">
          <w:pPr>
            <w:spacing w:before="100" w:line="235" w:lineRule="auto"/>
            <w:ind w:left="5946"/>
            <w:rPr>
              <w:rFonts w:ascii="宋体" w:hAnsi="宋体" w:eastAsia="宋体" w:cs="宋体"/>
              <w:sz w:val="31"/>
              <w:szCs w:val="31"/>
            </w:rPr>
          </w:pPr>
          <w:r>
            <w:rPr>
              <w:rFonts w:ascii="宋体" w:hAnsi="宋体" w:eastAsia="宋体" w:cs="宋体"/>
              <w:spacing w:val="-33"/>
              <w:sz w:val="31"/>
              <w:szCs w:val="31"/>
            </w:rPr>
            <w:t>目</w:t>
          </w:r>
          <w:r>
            <w:rPr>
              <w:rFonts w:ascii="宋体" w:hAnsi="宋体" w:eastAsia="宋体" w:cs="宋体"/>
              <w:spacing w:val="20"/>
              <w:sz w:val="31"/>
              <w:szCs w:val="31"/>
            </w:rPr>
            <w:t xml:space="preserve"> </w:t>
          </w:r>
          <w:r>
            <w:rPr>
              <w:rFonts w:ascii="宋体" w:hAnsi="宋体" w:eastAsia="宋体" w:cs="宋体"/>
              <w:spacing w:val="-33"/>
              <w:sz w:val="31"/>
              <w:szCs w:val="31"/>
            </w:rPr>
            <w:t>录</w:t>
          </w:r>
        </w:p>
        <w:p w14:paraId="4351A387">
          <w:pPr>
            <w:pStyle w:val="2"/>
            <w:spacing w:line="337" w:lineRule="auto"/>
          </w:pPr>
        </w:p>
        <w:p w14:paraId="2468BEA3">
          <w:pPr>
            <w:tabs>
              <w:tab w:val="right" w:leader="dot" w:pos="10105"/>
            </w:tabs>
            <w:spacing w:before="65" w:line="228" w:lineRule="auto"/>
            <w:ind w:left="1815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spacing w:val="7"/>
              <w:sz w:val="20"/>
              <w:szCs w:val="20"/>
            </w:rPr>
            <w:t>1</w:t>
          </w:r>
          <w:r>
            <w:rPr>
              <w:rFonts w:ascii="宋体" w:hAnsi="宋体" w:eastAsia="宋体" w:cs="宋体"/>
              <w:b/>
              <w:bCs/>
              <w:spacing w:val="7"/>
              <w:sz w:val="20"/>
              <w:szCs w:val="20"/>
            </w:rPr>
            <w:t>、</w:t>
          </w:r>
          <w:r>
            <w:rPr>
              <w:rFonts w:ascii="Calibri" w:hAnsi="Calibri" w:eastAsia="Calibri" w:cs="Calibri"/>
              <w:b/>
              <w:bCs/>
              <w:sz w:val="20"/>
              <w:szCs w:val="20"/>
            </w:rPr>
            <w:t>ITSS</w:t>
          </w:r>
          <w:r>
            <w:rPr>
              <w:rFonts w:ascii="Calibri" w:hAnsi="Calibri" w:eastAsia="Calibri" w:cs="Calibri"/>
              <w:b/>
              <w:bCs/>
              <w:spacing w:val="17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7"/>
              <w:sz w:val="20"/>
              <w:szCs w:val="20"/>
            </w:rPr>
            <w:t>体系带来的发展</w:t>
          </w:r>
          <w:r>
            <w:rPr>
              <w:rFonts w:ascii="宋体" w:hAnsi="宋体" w:eastAsia="宋体" w:cs="宋体"/>
              <w:spacing w:val="-65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宋体" w:hAnsi="宋体" w:eastAsia="宋体" w:cs="宋体"/>
              <w:spacing w:val="-41"/>
              <w:sz w:val="20"/>
              <w:szCs w:val="20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</w:rPr>
            <w:t>1</w:t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</w:rPr>
            <w:fldChar w:fldCharType="end"/>
          </w:r>
        </w:p>
        <w:p w14:paraId="47E03EEE">
          <w:pPr>
            <w:tabs>
              <w:tab w:val="right" w:leader="dot" w:pos="10105"/>
            </w:tabs>
            <w:spacing w:before="184" w:line="228" w:lineRule="auto"/>
            <w:ind w:left="1810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6"/>
              <w:sz w:val="20"/>
              <w:szCs w:val="20"/>
            </w:rPr>
            <w:t>2、业务发展情况</w:t>
          </w:r>
          <w:r>
            <w:rPr>
              <w:rFonts w:ascii="宋体" w:hAnsi="宋体" w:eastAsia="宋体" w:cs="宋体"/>
              <w:spacing w:val="-60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宋体" w:hAnsi="宋体" w:eastAsia="宋体" w:cs="宋体"/>
              <w:spacing w:val="-55"/>
              <w:sz w:val="20"/>
              <w:szCs w:val="20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</w:rPr>
            <w:t>2</w:t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</w:rPr>
            <w:fldChar w:fldCharType="end"/>
          </w:r>
        </w:p>
        <w:p w14:paraId="6D2DBD56">
          <w:pPr>
            <w:tabs>
              <w:tab w:val="right" w:leader="dot" w:pos="10105"/>
            </w:tabs>
            <w:spacing w:before="185" w:line="228" w:lineRule="auto"/>
            <w:ind w:left="1803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7"/>
              <w:sz w:val="20"/>
              <w:szCs w:val="20"/>
            </w:rPr>
            <w:t>3</w:t>
          </w:r>
          <w:r>
            <w:rPr>
              <w:rFonts w:ascii="宋体" w:hAnsi="宋体" w:eastAsia="宋体" w:cs="宋体"/>
              <w:b/>
              <w:bCs/>
              <w:spacing w:val="7"/>
              <w:sz w:val="20"/>
              <w:szCs w:val="20"/>
            </w:rPr>
            <w:t>、服务能力提升情况</w:t>
          </w:r>
          <w:r>
            <w:rPr>
              <w:rFonts w:ascii="宋体" w:hAnsi="宋体" w:eastAsia="宋体" w:cs="宋体"/>
              <w:spacing w:val="-57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宋体" w:hAnsi="宋体" w:eastAsia="宋体" w:cs="宋体"/>
              <w:spacing w:val="-59"/>
              <w:sz w:val="20"/>
              <w:szCs w:val="20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</w:rPr>
            <w:t>2</w:t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</w:rPr>
            <w:fldChar w:fldCharType="end"/>
          </w:r>
        </w:p>
        <w:p w14:paraId="236AF408">
          <w:pPr>
            <w:tabs>
              <w:tab w:val="right" w:leader="dot" w:pos="10105"/>
            </w:tabs>
            <w:spacing w:before="185" w:line="230" w:lineRule="auto"/>
            <w:ind w:left="1805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6"/>
              <w:sz w:val="20"/>
              <w:szCs w:val="20"/>
            </w:rPr>
            <w:t>4</w:t>
          </w:r>
          <w:r>
            <w:rPr>
              <w:rFonts w:ascii="宋体" w:hAnsi="宋体" w:eastAsia="宋体" w:cs="宋体"/>
              <w:b/>
              <w:bCs/>
              <w:spacing w:val="6"/>
              <w:sz w:val="20"/>
              <w:szCs w:val="20"/>
            </w:rPr>
            <w:t>、</w:t>
          </w:r>
          <w:r>
            <w:rPr>
              <w:rFonts w:ascii="黑体" w:hAnsi="黑体" w:eastAsia="黑体" w:cs="黑体"/>
              <w:b/>
              <w:bCs/>
              <w:spacing w:val="6"/>
              <w:sz w:val="20"/>
              <w:szCs w:val="20"/>
            </w:rPr>
            <w:t>总结与改进</w:t>
          </w:r>
          <w:r>
            <w:rPr>
              <w:rFonts w:ascii="黑体" w:hAnsi="黑体" w:eastAsia="黑体" w:cs="黑体"/>
              <w:spacing w:val="-58"/>
              <w:sz w:val="20"/>
              <w:szCs w:val="20"/>
            </w:rPr>
            <w:t xml:space="preserve"> </w:t>
          </w:r>
          <w:r>
            <w:rPr>
              <w:rFonts w:ascii="黑体" w:hAnsi="黑体" w:eastAsia="黑体" w:cs="黑体"/>
              <w:sz w:val="20"/>
              <w:szCs w:val="20"/>
            </w:rPr>
            <w:tab/>
          </w:r>
          <w:r>
            <w:rPr>
              <w:rFonts w:ascii="黑体" w:hAnsi="黑体" w:eastAsia="黑体" w:cs="黑体"/>
              <w:spacing w:val="-50"/>
              <w:sz w:val="20"/>
              <w:szCs w:val="20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spacing w:val="1"/>
              <w:sz w:val="20"/>
              <w:szCs w:val="20"/>
            </w:rPr>
            <w:t>3</w:t>
          </w:r>
          <w:r>
            <w:rPr>
              <w:rFonts w:ascii="Times New Roman" w:hAnsi="Times New Roman" w:eastAsia="Times New Roman" w:cs="Times New Roman"/>
              <w:b/>
              <w:bCs/>
              <w:spacing w:val="1"/>
              <w:sz w:val="20"/>
              <w:szCs w:val="20"/>
            </w:rPr>
            <w:fldChar w:fldCharType="end"/>
          </w:r>
        </w:p>
      </w:sdtContent>
    </w:sdt>
    <w:p w14:paraId="52AAB737">
      <w:pPr>
        <w:spacing w:line="230" w:lineRule="auto"/>
        <w:rPr>
          <w:rFonts w:ascii="Times New Roman" w:hAnsi="Times New Roman" w:eastAsia="Times New Roman" w:cs="Times New Roman"/>
          <w:sz w:val="20"/>
          <w:szCs w:val="20"/>
        </w:rPr>
        <w:sectPr>
          <w:headerReference r:id="rId7" w:type="default"/>
          <w:pgSz w:w="11906" w:h="16839"/>
          <w:pgMar w:top="1106" w:right="1077" w:bottom="0" w:left="0" w:header="829" w:footer="0" w:gutter="0"/>
          <w:cols w:space="720" w:num="1"/>
        </w:sectPr>
      </w:pPr>
    </w:p>
    <w:p w14:paraId="681A2063">
      <w:pPr>
        <w:pStyle w:val="2"/>
        <w:spacing w:line="287" w:lineRule="auto"/>
      </w:pPr>
    </w:p>
    <w:p w14:paraId="3C064196">
      <w:pPr>
        <w:spacing w:before="114" w:line="225" w:lineRule="auto"/>
        <w:ind w:left="1825"/>
        <w:outlineLvl w:val="0"/>
        <w:rPr>
          <w:rFonts w:ascii="宋体" w:hAnsi="宋体" w:eastAsia="宋体" w:cs="宋体"/>
          <w:sz w:val="35"/>
          <w:szCs w:val="35"/>
        </w:rPr>
      </w:pPr>
      <w:bookmarkStart w:id="0" w:name="bookmark1"/>
      <w:bookmarkEnd w:id="0"/>
      <w:r>
        <w:rPr>
          <w:rFonts w:ascii="Calibri" w:hAnsi="Calibri" w:eastAsia="Calibri" w:cs="Calibri"/>
          <w:b/>
          <w:bCs/>
          <w:sz w:val="35"/>
          <w:szCs w:val="35"/>
        </w:rPr>
        <w:t>1</w:t>
      </w:r>
      <w:r>
        <w:rPr>
          <w:rFonts w:ascii="Calibri" w:hAnsi="Calibri" w:eastAsia="Calibri" w:cs="Calibri"/>
          <w:b/>
          <w:bCs/>
          <w:spacing w:val="-39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z w:val="35"/>
          <w:szCs w:val="35"/>
        </w:rPr>
        <w:t>、</w:t>
      </w:r>
      <w:r>
        <w:rPr>
          <w:rFonts w:ascii="Calibri" w:hAnsi="Calibri" w:eastAsia="Calibri" w:cs="Calibri"/>
          <w:b/>
          <w:bCs/>
          <w:sz w:val="35"/>
          <w:szCs w:val="35"/>
        </w:rPr>
        <w:t>ITSS</w:t>
      </w:r>
      <w:r>
        <w:rPr>
          <w:rFonts w:ascii="Calibri" w:hAnsi="Calibri" w:eastAsia="Calibri" w:cs="Calibri"/>
          <w:b/>
          <w:bCs/>
          <w:spacing w:val="27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z w:val="35"/>
          <w:szCs w:val="35"/>
        </w:rPr>
        <w:t>体系带来的发展</w:t>
      </w:r>
    </w:p>
    <w:p w14:paraId="3849DFD9">
      <w:pPr>
        <w:pStyle w:val="2"/>
        <w:spacing w:line="381" w:lineRule="auto"/>
      </w:pPr>
    </w:p>
    <w:p w14:paraId="48337638">
      <w:pPr>
        <w:spacing w:before="78" w:line="360" w:lineRule="auto"/>
        <w:ind w:left="1808" w:right="722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通过基于运维服务能力成熟度三级要求建立的服务管理体系的落</w:t>
      </w:r>
      <w:r>
        <w:rPr>
          <w:rFonts w:ascii="宋体" w:hAnsi="宋体" w:eastAsia="宋体" w:cs="宋体"/>
          <w:spacing w:val="-4"/>
          <w:sz w:val="24"/>
          <w:szCs w:val="24"/>
        </w:rPr>
        <w:t>地实施，给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公司的运维业务管理带来了巨大的收益。建立了总体的运维能力管理体系，使得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公司的运维管理有标准可依，给业务拓展增加了新的保障。同时，提高了人员的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总体管理水平，有了明确的人员晋升机制、备份机制、人员考核机制、人员培训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机制等，在一定程度上确保了人员的连续性，</w:t>
      </w:r>
      <w:r>
        <w:rPr>
          <w:rFonts w:ascii="宋体" w:hAnsi="宋体" w:eastAsia="宋体" w:cs="宋体"/>
          <w:spacing w:val="-1"/>
          <w:sz w:val="24"/>
          <w:szCs w:val="24"/>
        </w:rPr>
        <w:t>提高了客户的满意度。</w:t>
      </w:r>
    </w:p>
    <w:p w14:paraId="23C24398">
      <w:pPr>
        <w:spacing w:before="3" w:line="359" w:lineRule="auto"/>
        <w:ind w:left="1810" w:right="748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完善了包括服务台、IT</w:t>
      </w:r>
      <w:r>
        <w:rPr>
          <w:rFonts w:ascii="宋体" w:hAnsi="宋体" w:eastAsia="宋体" w:cs="宋体"/>
          <w:spacing w:val="-4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服务管理工具等在内的资源保障计划，让关键的客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户合同得到了资源的保障和利用。多个项目应用了</w:t>
      </w:r>
      <w:r>
        <w:rPr>
          <w:rFonts w:ascii="宋体" w:hAnsi="宋体" w:eastAsia="宋体" w:cs="宋体"/>
          <w:spacing w:val="-3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IT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服务</w:t>
      </w:r>
      <w:r>
        <w:rPr>
          <w:rFonts w:ascii="宋体" w:hAnsi="宋体" w:eastAsia="宋体" w:cs="宋体"/>
          <w:spacing w:val="-2"/>
          <w:sz w:val="24"/>
          <w:szCs w:val="24"/>
        </w:rPr>
        <w:t>管理工具，使得项目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管理由原来的“黑盒子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”变成了可视化管理模式，</w:t>
      </w:r>
      <w:r>
        <w:rPr>
          <w:rFonts w:ascii="宋体" w:hAnsi="宋体" w:eastAsia="宋体" w:cs="宋体"/>
          <w:spacing w:val="-2"/>
          <w:sz w:val="24"/>
          <w:szCs w:val="24"/>
        </w:rPr>
        <w:t>得到了客户的一致好评。</w:t>
      </w:r>
    </w:p>
    <w:p w14:paraId="410BD533">
      <w:pPr>
        <w:spacing w:line="360" w:lineRule="auto"/>
        <w:ind w:left="1810" w:right="722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完善运维技术管理制度，使得研发项目有了明确的针对运维</w:t>
      </w:r>
      <w:r>
        <w:rPr>
          <w:rFonts w:ascii="宋体" w:hAnsi="宋体" w:eastAsia="宋体" w:cs="宋体"/>
          <w:spacing w:val="-4"/>
          <w:sz w:val="24"/>
          <w:szCs w:val="24"/>
        </w:rPr>
        <w:t>的技术研发方向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和计划，在运维业务上有了一定的技术保障。</w:t>
      </w:r>
    </w:p>
    <w:p w14:paraId="6B4F5D17">
      <w:pPr>
        <w:spacing w:before="5" w:line="359" w:lineRule="auto"/>
        <w:ind w:left="1811" w:right="722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完善了质量管理机制，完善了综合部质量组的职责，通过内</w:t>
      </w:r>
      <w:r>
        <w:rPr>
          <w:rFonts w:ascii="宋体" w:hAnsi="宋体" w:eastAsia="宋体" w:cs="宋体"/>
          <w:spacing w:val="-4"/>
          <w:sz w:val="24"/>
          <w:szCs w:val="24"/>
        </w:rPr>
        <w:t>部审核和管理评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审的有效开展，确保了已建立体现的合规性和落地实施效果，通过定期的满意度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调查和分析等工作，从客观上能够体现出总体的服务管理体系的有效性，保障了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项目的质量达成，给客户增强了信心。</w:t>
      </w:r>
    </w:p>
    <w:p w14:paraId="2028295C">
      <w:pPr>
        <w:spacing w:line="360" w:lineRule="auto"/>
        <w:ind w:left="1810" w:right="722" w:firstLine="484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强化了流程管理，给各个运维项目提供了有效的流</w:t>
      </w:r>
      <w:r>
        <w:rPr>
          <w:rFonts w:ascii="宋体" w:hAnsi="宋体" w:eastAsia="宋体" w:cs="宋体"/>
          <w:spacing w:val="-4"/>
          <w:sz w:val="24"/>
          <w:szCs w:val="24"/>
        </w:rPr>
        <w:t>程落地方法，流程控制不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再是“空架子</w:t>
      </w:r>
      <w:r>
        <w:rPr>
          <w:rFonts w:ascii="宋体" w:hAnsi="宋体" w:eastAsia="宋体" w:cs="宋体"/>
          <w:spacing w:val="-8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”，而是切实的将项目流程管理起来。不要求每个项目实施全部的</w:t>
      </w:r>
      <w:r>
        <w:rPr>
          <w:rFonts w:ascii="宋体" w:hAnsi="宋体" w:eastAsia="宋体" w:cs="宋体"/>
          <w:sz w:val="24"/>
          <w:szCs w:val="24"/>
        </w:rPr>
        <w:t xml:space="preserve"> 流程，但要求每个项目实施一个要落地一个，</w:t>
      </w:r>
      <w:r>
        <w:rPr>
          <w:rFonts w:ascii="宋体" w:hAnsi="宋体" w:eastAsia="宋体" w:cs="宋体"/>
          <w:spacing w:val="-1"/>
          <w:sz w:val="24"/>
          <w:szCs w:val="24"/>
        </w:rPr>
        <w:t>保证了项目交付过程控制。</w:t>
      </w:r>
    </w:p>
    <w:p w14:paraId="15694B58">
      <w:pPr>
        <w:spacing w:line="360" w:lineRule="auto"/>
        <w:ind w:left="1808" w:right="722" w:firstLine="482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在实施管理体系的过程中，公司管理层也逐渐意识到，尽管</w:t>
      </w:r>
      <w:r>
        <w:rPr>
          <w:rFonts w:ascii="宋体" w:hAnsi="宋体" w:eastAsia="宋体" w:cs="宋体"/>
          <w:spacing w:val="-4"/>
          <w:sz w:val="24"/>
          <w:szCs w:val="24"/>
        </w:rPr>
        <w:t>已经建立较完善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的运维服务能力管理体系，但通过访谈也意识到各部门之间的服务经验共享上存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在较大的差异，各项目中有了明确的流程控制策略，但在实际的工作交付过程中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仍然存在一些风险，比如操作不合规、信息安全意识等，部分公司标杆大客户的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服务风险控制较难得到保障。</w:t>
      </w:r>
    </w:p>
    <w:p w14:paraId="38F6CF43">
      <w:pPr>
        <w:spacing w:before="4" w:line="360" w:lineRule="auto"/>
        <w:ind w:left="1808" w:right="668" w:firstLine="483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通过对公司运维相关管理层进行访谈，抽查现有文件得出</w:t>
      </w:r>
      <w:r>
        <w:rPr>
          <w:rFonts w:ascii="宋体" w:hAnsi="宋体" w:eastAsia="宋体" w:cs="宋体"/>
          <w:spacing w:val="-4"/>
          <w:sz w:val="24"/>
          <w:szCs w:val="24"/>
        </w:rPr>
        <w:t>公司目前运维服务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管理现状，并对比运维服务能力成熟度三级条</w:t>
      </w:r>
      <w:r>
        <w:rPr>
          <w:rFonts w:ascii="宋体" w:hAnsi="宋体" w:eastAsia="宋体" w:cs="宋体"/>
          <w:spacing w:val="-2"/>
          <w:sz w:val="24"/>
          <w:szCs w:val="24"/>
        </w:rPr>
        <w:t>款要求，对人员管理、资源管理、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技术管理、过程管理、质量管理进行客观分析，总结公司实施运维服务能力成熟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度对服务能力提升及业务发展的促进情况。</w:t>
      </w:r>
    </w:p>
    <w:p w14:paraId="1190DF61">
      <w:pPr>
        <w:spacing w:line="360" w:lineRule="auto"/>
        <w:rPr>
          <w:rFonts w:ascii="宋体" w:hAnsi="宋体" w:eastAsia="宋体" w:cs="宋体"/>
          <w:sz w:val="24"/>
          <w:szCs w:val="24"/>
        </w:rPr>
        <w:sectPr>
          <w:headerReference r:id="rId8" w:type="default"/>
          <w:footerReference r:id="rId9" w:type="default"/>
          <w:pgSz w:w="11906" w:h="16839"/>
          <w:pgMar w:top="1166" w:right="1077" w:bottom="1434" w:left="0" w:header="829" w:footer="1272" w:gutter="0"/>
          <w:cols w:space="720" w:num="1"/>
        </w:sectPr>
      </w:pPr>
    </w:p>
    <w:p w14:paraId="6E72AE02">
      <w:pPr>
        <w:pStyle w:val="2"/>
        <w:spacing w:line="323" w:lineRule="auto"/>
      </w:pPr>
    </w:p>
    <w:p w14:paraId="1D476699">
      <w:pPr>
        <w:spacing w:before="101" w:line="225" w:lineRule="auto"/>
        <w:ind w:left="1816"/>
        <w:outlineLvl w:val="0"/>
        <w:rPr>
          <w:rFonts w:ascii="宋体" w:hAnsi="宋体" w:eastAsia="宋体" w:cs="宋体"/>
          <w:sz w:val="31"/>
          <w:szCs w:val="31"/>
        </w:rPr>
      </w:pPr>
      <w:bookmarkStart w:id="1" w:name="bookmark2"/>
      <w:bookmarkEnd w:id="1"/>
      <w:r>
        <w:rPr>
          <w:rFonts w:ascii="宋体" w:hAnsi="宋体" w:eastAsia="宋体" w:cs="宋体"/>
          <w:b/>
          <w:bCs/>
          <w:spacing w:val="4"/>
          <w:sz w:val="31"/>
          <w:szCs w:val="31"/>
        </w:rPr>
        <w:t>2、业务发展情况</w:t>
      </w:r>
    </w:p>
    <w:p w14:paraId="61B256AF">
      <w:pPr>
        <w:pStyle w:val="2"/>
        <w:spacing w:line="411" w:lineRule="auto"/>
      </w:pPr>
    </w:p>
    <w:p w14:paraId="30ACA7F4">
      <w:pPr>
        <w:spacing w:before="78" w:line="360" w:lineRule="auto"/>
        <w:ind w:left="1810" w:right="687" w:firstLine="484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2022</w:t>
      </w:r>
      <w:r>
        <w:rPr>
          <w:rFonts w:ascii="宋体" w:hAnsi="宋体" w:eastAsia="宋体" w:cs="宋体"/>
          <w:spacing w:val="-3"/>
          <w:sz w:val="24"/>
          <w:szCs w:val="24"/>
        </w:rPr>
        <w:t>年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11月</w:t>
      </w:r>
      <w:r>
        <w:rPr>
          <w:rFonts w:ascii="宋体" w:hAnsi="宋体" w:eastAsia="宋体" w:cs="宋体"/>
          <w:spacing w:val="-3"/>
          <w:sz w:val="24"/>
          <w:szCs w:val="24"/>
        </w:rPr>
        <w:t>公司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运行itss体系以来。</w:t>
      </w:r>
      <w:r>
        <w:rPr>
          <w:rFonts w:ascii="宋体" w:hAnsi="宋体" w:eastAsia="宋体" w:cs="宋体"/>
          <w:spacing w:val="-2"/>
          <w:sz w:val="24"/>
          <w:szCs w:val="24"/>
        </w:rPr>
        <w:t>202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spacing w:val="-2"/>
          <w:sz w:val="24"/>
          <w:szCs w:val="24"/>
        </w:rPr>
        <w:t>年度的运维合同目标为</w:t>
      </w:r>
      <w:r>
        <w:rPr>
          <w:rFonts w:hint="eastAsia" w:ascii="宋体" w:hAnsi="宋体" w:eastAsia="宋体" w:cs="宋体"/>
          <w:spacing w:val="12"/>
          <w:sz w:val="24"/>
          <w:szCs w:val="24"/>
          <w:lang w:val="en-US" w:eastAsia="zh-CN"/>
        </w:rPr>
        <w:t>1440</w:t>
      </w:r>
      <w:r>
        <w:rPr>
          <w:rFonts w:ascii="宋体" w:hAnsi="宋体" w:eastAsia="宋体" w:cs="宋体"/>
          <w:spacing w:val="-3"/>
          <w:sz w:val="24"/>
          <w:szCs w:val="24"/>
        </w:rPr>
        <w:t>万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pacing w:val="-2"/>
          <w:sz w:val="24"/>
          <w:szCs w:val="24"/>
        </w:rPr>
        <w:t>202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spacing w:val="-2"/>
          <w:sz w:val="24"/>
          <w:szCs w:val="24"/>
        </w:rPr>
        <w:t>年度的运维合同目标为</w:t>
      </w:r>
      <w:r>
        <w:rPr>
          <w:rFonts w:hint="eastAsia" w:ascii="宋体" w:hAnsi="宋体" w:eastAsia="宋体" w:cs="宋体"/>
          <w:spacing w:val="12"/>
          <w:sz w:val="24"/>
          <w:szCs w:val="24"/>
          <w:lang w:val="en-US" w:eastAsia="zh-CN"/>
        </w:rPr>
        <w:t>1560</w:t>
      </w:r>
      <w:r>
        <w:rPr>
          <w:rFonts w:ascii="宋体" w:hAnsi="宋体" w:eastAsia="宋体" w:cs="宋体"/>
          <w:spacing w:val="-3"/>
          <w:sz w:val="24"/>
          <w:szCs w:val="24"/>
        </w:rPr>
        <w:t>万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color w:val="auto"/>
          <w:spacing w:val="-3"/>
          <w:sz w:val="24"/>
          <w:szCs w:val="24"/>
          <w:lang w:val="en-US" w:eastAsia="zh-CN"/>
        </w:rPr>
        <w:t>2025年度的运维合同目标为1750万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。</w:t>
      </w:r>
      <w:r>
        <w:rPr>
          <w:rFonts w:ascii="宋体" w:hAnsi="宋体" w:eastAsia="宋体" w:cs="宋体"/>
          <w:spacing w:val="-3"/>
          <w:sz w:val="24"/>
          <w:szCs w:val="24"/>
        </w:rPr>
        <w:t>目前公司业务已经覆盖全山东地区，，促进公司业务的多元化发展。通过引入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ITSS，运维服务企业可以以运维服务业务目标为导向，完善流程化的运维服务管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理体系，分析运维服务过程，为进一步提升运维服务效率找到提升空间。运维服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务企业可以建立运维业务与运维服务成本之间的关系，梳理各项运维服务成本，</w:t>
      </w:r>
      <w:r>
        <w:rPr>
          <w:rFonts w:ascii="宋体" w:hAnsi="宋体" w:eastAsia="宋体" w:cs="宋体"/>
          <w:sz w:val="24"/>
          <w:szCs w:val="24"/>
        </w:rPr>
        <w:t xml:space="preserve"> 准确掌握运维服务资源使用情况，平衡资源配置</w:t>
      </w:r>
      <w:r>
        <w:rPr>
          <w:rFonts w:ascii="宋体" w:hAnsi="宋体" w:eastAsia="宋体" w:cs="宋体"/>
          <w:spacing w:val="-1"/>
          <w:sz w:val="24"/>
          <w:szCs w:val="24"/>
        </w:rPr>
        <w:t>，有效降低运维服务成本。</w:t>
      </w:r>
    </w:p>
    <w:p w14:paraId="1AD6A618">
      <w:pPr>
        <w:spacing w:before="313" w:line="225" w:lineRule="auto"/>
        <w:ind w:left="1805"/>
        <w:outlineLvl w:val="0"/>
        <w:rPr>
          <w:rFonts w:ascii="宋体" w:hAnsi="宋体" w:eastAsia="宋体" w:cs="宋体"/>
          <w:sz w:val="31"/>
          <w:szCs w:val="31"/>
        </w:rPr>
      </w:pPr>
      <w:bookmarkStart w:id="2" w:name="bookmark3"/>
      <w:bookmarkEnd w:id="2"/>
      <w:r>
        <w:rPr>
          <w:rFonts w:ascii="Times New Roman" w:hAnsi="Times New Roman" w:eastAsia="Times New Roman" w:cs="Times New Roman"/>
          <w:b/>
          <w:bCs/>
          <w:spacing w:val="3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b/>
          <w:bCs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、服务能力提升情况</w:t>
      </w:r>
    </w:p>
    <w:p w14:paraId="3C0856D9">
      <w:pPr>
        <w:pStyle w:val="2"/>
        <w:spacing w:line="405" w:lineRule="auto"/>
      </w:pPr>
    </w:p>
    <w:p w14:paraId="798D6B71">
      <w:pPr>
        <w:spacing w:before="78" w:line="290" w:lineRule="auto"/>
        <w:ind w:left="1813" w:right="722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3.1.内部审核，公司每年定期组织运维服务管理体系的内部审核，</w:t>
      </w:r>
      <w:r>
        <w:rPr>
          <w:rFonts w:ascii="宋体" w:hAnsi="宋体" w:eastAsia="宋体" w:cs="宋体"/>
          <w:spacing w:val="-4"/>
          <w:sz w:val="24"/>
          <w:szCs w:val="24"/>
        </w:rPr>
        <w:t>并对内审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发现的不符合进行完善，避免下次发生。</w:t>
      </w:r>
    </w:p>
    <w:p w14:paraId="6FD78080">
      <w:pPr>
        <w:pStyle w:val="2"/>
        <w:spacing w:line="384" w:lineRule="auto"/>
      </w:pPr>
    </w:p>
    <w:p w14:paraId="4FEF80E7">
      <w:pPr>
        <w:spacing w:before="78" w:line="289" w:lineRule="auto"/>
        <w:ind w:left="1810" w:right="868" w:firstLine="48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3.2.管理评审，公司总经理每年定期组织运维相关部门进行了管理评审工</w:t>
      </w:r>
      <w:r>
        <w:rPr>
          <w:rFonts w:ascii="宋体" w:hAnsi="宋体" w:eastAsia="宋体" w:cs="宋体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作，每年发布新的改进措施，近三年的改进措施均已实现。</w:t>
      </w:r>
    </w:p>
    <w:p w14:paraId="50EB0D86">
      <w:pPr>
        <w:pStyle w:val="2"/>
        <w:spacing w:line="385" w:lineRule="auto"/>
      </w:pPr>
    </w:p>
    <w:p w14:paraId="6D9FCF92">
      <w:pPr>
        <w:spacing w:before="78" w:line="289" w:lineRule="auto"/>
        <w:ind w:left="1815" w:right="722" w:firstLine="47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3.3.满意度调查，公司每半年定期进行一次满意度调查和评价，最</w:t>
      </w:r>
      <w:r>
        <w:rPr>
          <w:rFonts w:ascii="宋体" w:hAnsi="宋体" w:eastAsia="宋体" w:cs="宋体"/>
          <w:spacing w:val="-4"/>
          <w:sz w:val="24"/>
          <w:szCs w:val="24"/>
        </w:rPr>
        <w:t>近一次满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意度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98.4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分，已赢得客户青睐。</w:t>
      </w:r>
    </w:p>
    <w:p w14:paraId="6DC2B367">
      <w:pPr>
        <w:pStyle w:val="2"/>
        <w:spacing w:line="380" w:lineRule="auto"/>
      </w:pPr>
    </w:p>
    <w:p w14:paraId="734FFB58">
      <w:pPr>
        <w:spacing w:before="79" w:line="290" w:lineRule="auto"/>
        <w:ind w:left="1811" w:right="722" w:firstLine="48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3.4.质量目标，管理体系持续有效运行，目标也逐年增加，公司对</w:t>
      </w:r>
      <w:r>
        <w:rPr>
          <w:rFonts w:ascii="宋体" w:hAnsi="宋体" w:eastAsia="宋体" w:cs="宋体"/>
          <w:spacing w:val="-4"/>
          <w:sz w:val="24"/>
          <w:szCs w:val="24"/>
        </w:rPr>
        <w:t>自身的要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求也越来越高。</w:t>
      </w:r>
    </w:p>
    <w:p w14:paraId="34B51CB8">
      <w:pPr>
        <w:pStyle w:val="2"/>
        <w:spacing w:line="382" w:lineRule="auto"/>
      </w:pPr>
    </w:p>
    <w:p w14:paraId="0B802386">
      <w:pPr>
        <w:spacing w:before="79" w:line="313" w:lineRule="auto"/>
        <w:ind w:left="1810" w:right="668" w:firstLine="48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3.5.人员，公司现有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运维相关人员</w:t>
      </w:r>
      <w:r>
        <w:rPr>
          <w:rFonts w:ascii="宋体" w:hAnsi="宋体" w:eastAsia="宋体" w:cs="宋体"/>
          <w:spacing w:val="-2"/>
          <w:sz w:val="24"/>
          <w:szCs w:val="24"/>
        </w:rPr>
        <w:t>5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spacing w:val="-2"/>
          <w:sz w:val="24"/>
          <w:szCs w:val="24"/>
        </w:rPr>
        <w:t>人，其中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运维部</w:t>
      </w:r>
      <w:r>
        <w:rPr>
          <w:rFonts w:ascii="宋体" w:hAnsi="宋体" w:eastAsia="宋体" w:cs="宋体"/>
          <w:spacing w:val="-2"/>
          <w:sz w:val="24"/>
          <w:szCs w:val="24"/>
        </w:rPr>
        <w:t>人员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30</w:t>
      </w:r>
      <w:r>
        <w:rPr>
          <w:rFonts w:ascii="宋体" w:hAnsi="宋体" w:eastAsia="宋体" w:cs="宋体"/>
          <w:spacing w:val="-2"/>
          <w:sz w:val="24"/>
          <w:szCs w:val="24"/>
        </w:rPr>
        <w:t>人，</w:t>
      </w:r>
      <w:r>
        <w:rPr>
          <w:rFonts w:ascii="宋体" w:hAnsi="宋体" w:eastAsia="宋体" w:cs="宋体"/>
          <w:sz w:val="24"/>
          <w:szCs w:val="24"/>
        </w:rPr>
        <w:t>并且定期与厂商合作，对公司的运维人员分批次进行培</w:t>
      </w:r>
      <w:r>
        <w:rPr>
          <w:rFonts w:ascii="宋体" w:hAnsi="宋体" w:eastAsia="宋体" w:cs="宋体"/>
          <w:spacing w:val="-3"/>
          <w:sz w:val="24"/>
          <w:szCs w:val="24"/>
        </w:rPr>
        <w:t>训。目前正在对人员晋升渠道进行改进，为运维人员的晋升提供更宽广的道</w:t>
      </w:r>
      <w:r>
        <w:rPr>
          <w:rFonts w:ascii="宋体" w:hAnsi="宋体" w:eastAsia="宋体" w:cs="宋体"/>
          <w:spacing w:val="-4"/>
          <w:sz w:val="24"/>
          <w:szCs w:val="24"/>
        </w:rPr>
        <w:t>路。</w:t>
      </w:r>
    </w:p>
    <w:p w14:paraId="59A55A69">
      <w:pPr>
        <w:pStyle w:val="2"/>
        <w:spacing w:line="384" w:lineRule="auto"/>
      </w:pPr>
    </w:p>
    <w:p w14:paraId="29BA4A81">
      <w:pPr>
        <w:spacing w:line="313" w:lineRule="auto"/>
        <w:rPr>
          <w:rFonts w:ascii="宋体" w:hAnsi="宋体" w:eastAsia="宋体" w:cs="宋体"/>
          <w:sz w:val="24"/>
          <w:szCs w:val="24"/>
        </w:rPr>
        <w:sectPr>
          <w:headerReference r:id="rId10" w:type="default"/>
          <w:footerReference r:id="rId11" w:type="default"/>
          <w:pgSz w:w="11906" w:h="16839"/>
          <w:pgMar w:top="1166" w:right="1077" w:bottom="1434" w:left="0" w:header="829" w:footer="1272" w:gutter="0"/>
          <w:cols w:space="720" w:num="1"/>
        </w:sectPr>
      </w:pPr>
    </w:p>
    <w:p w14:paraId="04E25A80">
      <w:pPr>
        <w:spacing w:before="79" w:line="313" w:lineRule="auto"/>
        <w:ind w:left="1808" w:right="722" w:firstLine="48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3.6.服务台，公司设立服务台至今，每年服务台接通上万次热线，</w:t>
      </w:r>
      <w:r>
        <w:rPr>
          <w:rFonts w:ascii="宋体" w:hAnsi="宋体" w:eastAsia="宋体" w:cs="宋体"/>
          <w:spacing w:val="-4"/>
          <w:sz w:val="24"/>
          <w:szCs w:val="24"/>
        </w:rPr>
        <w:t>服务台直</w:t>
      </w:r>
      <w:r>
        <w:rPr>
          <w:rFonts w:ascii="宋体" w:hAnsi="宋体" w:eastAsia="宋体" w:cs="宋体"/>
          <w:spacing w:val="-3"/>
          <w:sz w:val="24"/>
          <w:szCs w:val="24"/>
        </w:rPr>
        <w:t>接解决率提升不少。目前依旧存在保障时，客户直接联系熟悉的运维工程师的情况，目前正在进行服务台人员的培训并与客户沟通。</w:t>
      </w:r>
    </w:p>
    <w:p w14:paraId="71D49FC8">
      <w:pPr>
        <w:spacing w:before="78" w:line="313" w:lineRule="auto"/>
        <w:ind w:right="722"/>
        <w:rPr>
          <w:rFonts w:ascii="宋体" w:hAnsi="宋体" w:eastAsia="宋体" w:cs="宋体"/>
          <w:spacing w:val="-3"/>
          <w:sz w:val="24"/>
          <w:szCs w:val="24"/>
        </w:rPr>
      </w:pPr>
    </w:p>
    <w:p w14:paraId="6FCAEF4E">
      <w:pPr>
        <w:spacing w:before="78" w:line="313" w:lineRule="auto"/>
        <w:ind w:left="1813" w:right="722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3.7.知识库，体系运行至今，知识库条目已累计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上千</w:t>
      </w:r>
      <w:r>
        <w:rPr>
          <w:rFonts w:ascii="宋体" w:hAnsi="宋体" w:eastAsia="宋体" w:cs="宋体"/>
          <w:spacing w:val="-3"/>
          <w:sz w:val="24"/>
          <w:szCs w:val="24"/>
        </w:rPr>
        <w:t>条，已成为工</w:t>
      </w:r>
      <w:r>
        <w:rPr>
          <w:rFonts w:ascii="宋体" w:hAnsi="宋体" w:eastAsia="宋体" w:cs="宋体"/>
          <w:spacing w:val="-4"/>
          <w:sz w:val="24"/>
          <w:szCs w:val="24"/>
        </w:rPr>
        <w:t>程师解决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问题或者故障常用手段。目前有许多知识条目已经无用，目前正在对知识</w:t>
      </w:r>
      <w:r>
        <w:rPr>
          <w:rFonts w:ascii="宋体" w:hAnsi="宋体" w:eastAsia="宋体" w:cs="宋体"/>
          <w:spacing w:val="-4"/>
          <w:sz w:val="24"/>
          <w:szCs w:val="24"/>
        </w:rPr>
        <w:t>条目进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行审计。</w:t>
      </w:r>
    </w:p>
    <w:p w14:paraId="74FD15C2">
      <w:pPr>
        <w:pStyle w:val="2"/>
        <w:spacing w:line="382" w:lineRule="auto"/>
      </w:pPr>
    </w:p>
    <w:p w14:paraId="651B74F5">
      <w:pPr>
        <w:spacing w:before="78" w:line="313" w:lineRule="auto"/>
        <w:ind w:left="1811" w:right="748" w:firstLine="48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3.8.服务级别，公司逐步完善服务目录定义</w:t>
      </w:r>
      <w:r>
        <w:rPr>
          <w:rFonts w:ascii="宋体" w:hAnsi="宋体" w:eastAsia="宋体" w:cs="宋体"/>
          <w:spacing w:val="-1"/>
          <w:sz w:val="24"/>
          <w:szCs w:val="24"/>
        </w:rPr>
        <w:t>的完整性，签订SLA文件的规</w:t>
      </w:r>
      <w:r>
        <w:rPr>
          <w:rFonts w:ascii="宋体" w:hAnsi="宋体" w:eastAsia="宋体" w:cs="宋体"/>
          <w:spacing w:val="-3"/>
          <w:sz w:val="24"/>
          <w:szCs w:val="24"/>
        </w:rPr>
        <w:t>范性；保证服务级别SLA的达成；目前各项目服务级别达成率接近100</w:t>
      </w:r>
      <w:r>
        <w:rPr>
          <w:rFonts w:ascii="宋体" w:hAnsi="宋体" w:eastAsia="宋体" w:cs="宋体"/>
          <w:spacing w:val="-25"/>
          <w:sz w:val="24"/>
          <w:szCs w:val="24"/>
        </w:rPr>
        <w:t>％，</w:t>
      </w:r>
      <w:r>
        <w:rPr>
          <w:rFonts w:ascii="宋体" w:hAnsi="宋体" w:eastAsia="宋体" w:cs="宋体"/>
          <w:spacing w:val="-3"/>
          <w:sz w:val="24"/>
          <w:szCs w:val="24"/>
        </w:rPr>
        <w:t>服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务级别达成率得到很好的执行。</w:t>
      </w:r>
    </w:p>
    <w:p w14:paraId="5ECD46CD">
      <w:pPr>
        <w:pStyle w:val="2"/>
        <w:spacing w:line="383" w:lineRule="auto"/>
      </w:pPr>
    </w:p>
    <w:p w14:paraId="59C1D5BB">
      <w:pPr>
        <w:spacing w:before="78" w:line="289" w:lineRule="auto"/>
        <w:ind w:left="1811" w:right="642" w:firstLine="48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3.9.服务报告，公司加强对服务报告的</w:t>
      </w:r>
      <w:r>
        <w:rPr>
          <w:rFonts w:ascii="宋体" w:hAnsi="宋体" w:eastAsia="宋体" w:cs="宋体"/>
          <w:spacing w:val="-8"/>
          <w:sz w:val="24"/>
          <w:szCs w:val="24"/>
        </w:rPr>
        <w:t>完整性管理，保证服务报告的及时性、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准确性，服务报告的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按时提交</w:t>
      </w:r>
      <w:r>
        <w:rPr>
          <w:rFonts w:ascii="宋体" w:hAnsi="宋体" w:eastAsia="宋体" w:cs="宋体"/>
          <w:spacing w:val="-1"/>
          <w:sz w:val="24"/>
          <w:szCs w:val="24"/>
        </w:rPr>
        <w:t>率达到 100%。</w:t>
      </w:r>
    </w:p>
    <w:p w14:paraId="0A7C5908">
      <w:pPr>
        <w:pStyle w:val="2"/>
        <w:spacing w:line="383" w:lineRule="auto"/>
      </w:pPr>
    </w:p>
    <w:p w14:paraId="490CA473">
      <w:pPr>
        <w:spacing w:before="78" w:line="313" w:lineRule="auto"/>
        <w:ind w:left="1809" w:right="722" w:firstLine="48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3.10.事件管理:保证事件管理过程的完整性、有效性，加强事件解决评估机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制的有效性；事件响应时间≤15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分钟，事件平均解决时间4.5小时，已经</w:t>
      </w:r>
      <w:r>
        <w:rPr>
          <w:rFonts w:ascii="宋体" w:hAnsi="宋体" w:eastAsia="宋体" w:cs="宋体"/>
          <w:spacing w:val="-2"/>
          <w:sz w:val="24"/>
          <w:szCs w:val="24"/>
        </w:rPr>
        <w:t>大大减少解决时间。</w:t>
      </w:r>
    </w:p>
    <w:p w14:paraId="6FF5A215">
      <w:pPr>
        <w:pStyle w:val="2"/>
        <w:spacing w:line="383" w:lineRule="auto"/>
      </w:pPr>
    </w:p>
    <w:p w14:paraId="796039D0">
      <w:pPr>
        <w:spacing w:before="78" w:line="313" w:lineRule="auto"/>
        <w:ind w:left="1809" w:right="722" w:firstLine="48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3.11.问题管理:公司目前对于问题的分类、分级进行了明确的定义，并在问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题管理程序中指派了知识审核人员对问题处理过程进行知识收集，大大增加了工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作效率。</w:t>
      </w:r>
    </w:p>
    <w:p w14:paraId="1E4B812A">
      <w:pPr>
        <w:pStyle w:val="2"/>
        <w:spacing w:line="383" w:lineRule="auto"/>
      </w:pPr>
    </w:p>
    <w:p w14:paraId="001A44A9">
      <w:pPr>
        <w:spacing w:before="78" w:line="290" w:lineRule="auto"/>
        <w:ind w:left="1810" w:right="722" w:firstLine="48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3.12.配置管理:公司定期对配置项进行审计，并于变更后及时对配置项进行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重新审计。</w:t>
      </w:r>
    </w:p>
    <w:p w14:paraId="2984C845">
      <w:pPr>
        <w:pStyle w:val="2"/>
        <w:spacing w:line="380" w:lineRule="auto"/>
      </w:pPr>
    </w:p>
    <w:p w14:paraId="037F0BC9">
      <w:pPr>
        <w:spacing w:before="78" w:line="290" w:lineRule="auto"/>
        <w:ind w:left="1813" w:right="722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3.13.变更发布管理:</w:t>
      </w:r>
      <w:r>
        <w:rPr>
          <w:rFonts w:ascii="宋体" w:hAnsi="宋体" w:eastAsia="宋体" w:cs="宋体"/>
          <w:spacing w:val="-4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目前公司的变更发布基本为资源的降配和增配，均按相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关规定实行。</w:t>
      </w:r>
    </w:p>
    <w:p w14:paraId="442AA24D">
      <w:pPr>
        <w:pStyle w:val="2"/>
        <w:spacing w:line="382" w:lineRule="auto"/>
      </w:pPr>
    </w:p>
    <w:p w14:paraId="0E2E33EB">
      <w:pPr>
        <w:spacing w:before="79" w:line="219" w:lineRule="auto"/>
        <w:ind w:left="22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3.14.安全管理:ITSS 体系运行</w:t>
      </w:r>
      <w:r>
        <w:rPr>
          <w:rFonts w:ascii="宋体" w:hAnsi="宋体" w:eastAsia="宋体" w:cs="宋体"/>
          <w:spacing w:val="-1"/>
          <w:sz w:val="24"/>
          <w:szCs w:val="24"/>
        </w:rPr>
        <w:t>至今未发生任何信息安全威胁事件。</w:t>
      </w:r>
    </w:p>
    <w:p w14:paraId="43B40256">
      <w:pPr>
        <w:pStyle w:val="2"/>
        <w:spacing w:line="382" w:lineRule="auto"/>
      </w:pPr>
    </w:p>
    <w:p w14:paraId="1D38D401">
      <w:pPr>
        <w:spacing w:before="79" w:line="290" w:lineRule="auto"/>
        <w:ind w:left="1813" w:right="668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3.15.技术，ITSS</w:t>
      </w:r>
      <w:bookmarkStart w:id="4" w:name="_GoBack"/>
      <w:bookmarkEnd w:id="4"/>
      <w:r>
        <w:rPr>
          <w:rFonts w:ascii="宋体" w:hAnsi="宋体" w:eastAsia="宋体" w:cs="宋体"/>
          <w:spacing w:val="-3"/>
          <w:sz w:val="24"/>
          <w:szCs w:val="24"/>
        </w:rPr>
        <w:t>体系运行至今，公司持续对过程工具、监控工具等功能进</w:t>
      </w:r>
      <w:r>
        <w:rPr>
          <w:rFonts w:ascii="宋体" w:hAnsi="宋体" w:eastAsia="宋体" w:cs="宋体"/>
          <w:spacing w:val="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行完善，通过近三年运维技术研发成果，在多方面提高运维人员解决故障效率。</w:t>
      </w:r>
    </w:p>
    <w:p w14:paraId="0F2322AE">
      <w:pPr>
        <w:pStyle w:val="2"/>
        <w:spacing w:line="403" w:lineRule="auto"/>
      </w:pPr>
    </w:p>
    <w:p w14:paraId="4431586D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headerReference r:id="rId12" w:type="default"/>
          <w:footerReference r:id="rId13" w:type="default"/>
          <w:pgSz w:w="11906" w:h="16839"/>
          <w:pgMar w:top="1166" w:right="1077" w:bottom="1434" w:left="0" w:header="829" w:footer="1272" w:gutter="0"/>
          <w:cols w:space="720" w:num="1"/>
        </w:sectPr>
      </w:pPr>
      <w:bookmarkStart w:id="3" w:name="bookmark4"/>
      <w:bookmarkEnd w:id="3"/>
    </w:p>
    <w:p w14:paraId="6CDA6AAE">
      <w:pPr>
        <w:pStyle w:val="2"/>
        <w:spacing w:line="305" w:lineRule="auto"/>
      </w:pPr>
    </w:p>
    <w:p w14:paraId="11AD29B7">
      <w:pPr>
        <w:spacing w:before="101" w:line="222" w:lineRule="auto"/>
        <w:ind w:left="1807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1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b/>
          <w:bCs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1"/>
          <w:sz w:val="31"/>
          <w:szCs w:val="31"/>
        </w:rPr>
        <w:t>、</w:t>
      </w: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总结与改进</w:t>
      </w:r>
    </w:p>
    <w:p w14:paraId="5BF34A6E">
      <w:pPr>
        <w:pStyle w:val="2"/>
        <w:spacing w:line="405" w:lineRule="auto"/>
      </w:pPr>
    </w:p>
    <w:p w14:paraId="4DB1A9C2">
      <w:pPr>
        <w:spacing w:before="78" w:line="219" w:lineRule="auto"/>
        <w:ind w:left="2289"/>
      </w:pPr>
      <w:r>
        <w:rPr>
          <w:rFonts w:ascii="宋体" w:hAnsi="宋体" w:eastAsia="宋体" w:cs="宋体"/>
          <w:spacing w:val="-3"/>
          <w:sz w:val="24"/>
          <w:szCs w:val="24"/>
        </w:rPr>
        <w:t>通过ITSS运维服务管理体系在公司的落地实施，促使公司的运维服务管理</w:t>
      </w:r>
    </w:p>
    <w:p w14:paraId="2AC357D0">
      <w:pPr>
        <w:spacing w:before="78" w:line="361" w:lineRule="auto"/>
        <w:ind w:left="1810" w:right="722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方式不断完善。纵观公司近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三</w:t>
      </w:r>
      <w:r>
        <w:rPr>
          <w:rFonts w:ascii="宋体" w:hAnsi="宋体" w:eastAsia="宋体" w:cs="宋体"/>
          <w:spacing w:val="-3"/>
          <w:sz w:val="24"/>
          <w:szCs w:val="24"/>
        </w:rPr>
        <w:t>年的运维数据，在人员、资源、技术、过程</w:t>
      </w:r>
      <w:r>
        <w:rPr>
          <w:rFonts w:ascii="宋体" w:hAnsi="宋体" w:eastAsia="宋体" w:cs="宋体"/>
          <w:spacing w:val="-4"/>
          <w:sz w:val="24"/>
          <w:szCs w:val="24"/>
        </w:rPr>
        <w:t>、质量</w:t>
      </w:r>
      <w:r>
        <w:rPr>
          <w:rFonts w:ascii="宋体" w:hAnsi="宋体" w:eastAsia="宋体" w:cs="宋体"/>
          <w:spacing w:val="-3"/>
          <w:sz w:val="24"/>
          <w:szCs w:val="24"/>
        </w:rPr>
        <w:t>等方面均有不同程度的提升。公司积极改变传统集成服务管理特征，引入更多的新技术、新方法，通过信息化手段来进行数据化的组织管理。通过多个维度去保障公司服务能力的持续优化，使得客户满意度和忠诚度不断提升，从而为公司的</w:t>
      </w:r>
      <w:r>
        <w:rPr>
          <w:rFonts w:ascii="宋体" w:hAnsi="宋体" w:eastAsia="宋体" w:cs="宋体"/>
          <w:spacing w:val="-1"/>
          <w:sz w:val="24"/>
          <w:szCs w:val="24"/>
        </w:rPr>
        <w:t>规模化、规范化提供有效支撑和保障。</w:t>
      </w:r>
    </w:p>
    <w:sectPr>
      <w:headerReference r:id="rId14" w:type="default"/>
      <w:footerReference r:id="rId15" w:type="default"/>
      <w:pgSz w:w="11906" w:h="16839"/>
      <w:pgMar w:top="1166" w:right="1077" w:bottom="1434" w:left="0" w:header="829" w:footer="127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1018C4">
    <w:pPr>
      <w:spacing w:line="176" w:lineRule="auto"/>
      <w:ind w:left="599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0"/>
        <w:sz w:val="18"/>
        <w:szCs w:val="18"/>
      </w:rPr>
      <w:t>-</w:t>
    </w:r>
    <w:r>
      <w:rPr>
        <w:rFonts w:ascii="Times New Roman" w:hAnsi="Times New Roman" w:eastAsia="Times New Roman" w:cs="Times New Roman"/>
        <w:spacing w:val="19"/>
        <w:w w:val="101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10"/>
        <w:sz w:val="18"/>
        <w:szCs w:val="18"/>
      </w:rPr>
      <w:t>1</w:t>
    </w:r>
    <w:r>
      <w:rPr>
        <w:rFonts w:ascii="Times New Roman" w:hAnsi="Times New Roman" w:eastAsia="Times New Roman" w:cs="Times New Roman"/>
        <w:spacing w:val="7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10"/>
        <w:sz w:val="18"/>
        <w:szCs w:val="18"/>
      </w:rPr>
      <w:t>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A03FCC">
    <w:pPr>
      <w:spacing w:line="176" w:lineRule="auto"/>
      <w:ind w:left="599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-</w:t>
    </w:r>
    <w:r>
      <w:rPr>
        <w:rFonts w:ascii="Times New Roman" w:hAnsi="Times New Roman" w:eastAsia="Times New Roman" w:cs="Times New Roman"/>
        <w:spacing w:val="2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2</w:t>
    </w:r>
    <w:r>
      <w:rPr>
        <w:rFonts w:ascii="Times New Roman" w:hAnsi="Times New Roman" w:eastAsia="Times New Roman" w:cs="Times New Roman"/>
        <w:spacing w:val="6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-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DAD5C8">
    <w:pPr>
      <w:spacing w:line="176" w:lineRule="auto"/>
      <w:ind w:left="599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5"/>
        <w:sz w:val="18"/>
        <w:szCs w:val="18"/>
      </w:rPr>
      <w:t>-</w:t>
    </w:r>
    <w:r>
      <w:rPr>
        <w:rFonts w:ascii="Times New Roman" w:hAnsi="Times New Roman" w:eastAsia="Times New Roman" w:cs="Times New Roman"/>
        <w:spacing w:val="5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5"/>
        <w:sz w:val="18"/>
        <w:szCs w:val="18"/>
      </w:rPr>
      <w:t>3</w:t>
    </w:r>
    <w:r>
      <w:rPr>
        <w:rFonts w:ascii="Times New Roman" w:hAnsi="Times New Roman" w:eastAsia="Times New Roman" w:cs="Times New Roman"/>
        <w:spacing w:val="6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5"/>
        <w:sz w:val="18"/>
        <w:szCs w:val="18"/>
      </w:rPr>
      <w:t>-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B77266">
    <w:pPr>
      <w:spacing w:line="176" w:lineRule="auto"/>
      <w:ind w:left="599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-</w:t>
    </w:r>
    <w:r>
      <w:rPr>
        <w:rFonts w:ascii="Times New Roman" w:hAnsi="Times New Roman" w:eastAsia="Times New Roman" w:cs="Times New Roman"/>
        <w:spacing w:val="1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4</w:t>
    </w:r>
    <w:r>
      <w:rPr>
        <w:rFonts w:ascii="Times New Roman" w:hAnsi="Times New Roman" w:eastAsia="Times New Roman" w:cs="Times New Roman"/>
        <w:spacing w:val="7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D53E4">
    <w:pPr>
      <w:pStyle w:val="2"/>
      <w:spacing w:line="46" w:lineRule="auto"/>
      <w:rPr>
        <w:sz w:val="2"/>
      </w:rPr>
    </w:pPr>
    <w:r>
      <w:pict>
        <v:shape id="_x0000_s2049" o:spid="_x0000_s2049" style="position:absolute;left:0pt;margin-left:72pt;margin-top:71.35pt;height:0.75pt;width:451.3pt;mso-position-horizontal-relative:page;mso-position-vertical-relative:page;z-index:251661312;mso-width-relative:page;mso-height-relative:page;" fillcolor="#000000" filled="t" stroked="f" coordsize="9025,15" o:allowincell="f" path="m0,0l9025,0,9025,14,0,14,0,0xe">
          <v:path/>
          <v:fill on="t" focussize="0,0"/>
          <v:stroke on="f"/>
          <v:imagedata o:title=""/>
          <o:lock v:ext="edi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DFB4E">
    <w:pPr>
      <w:spacing w:before="48" w:line="219" w:lineRule="auto"/>
      <w:ind w:left="3443"/>
      <w:rPr>
        <w:rFonts w:ascii="宋体" w:hAnsi="宋体" w:eastAsia="宋体" w:cs="宋体"/>
        <w:sz w:val="18"/>
        <w:szCs w:val="18"/>
      </w:rPr>
    </w:pPr>
    <w:r>
      <w:pict>
        <v:shape id="_x0000_s2072" o:spid="_x0000_s2072" style="position:absolute;left:0pt;margin-left:72pt;margin-top:46.65pt;height:0.75pt;width:451.3pt;mso-position-horizontal-relative:page;mso-position-vertical-relative:page;z-index:251662336;mso-width-relative:page;mso-height-relative:page;" fillcolor="#000000" filled="t" stroked="f" coordsize="9025,15" o:allowincell="f" path="m0,0l9025,0,9025,14,0,14,0,0xe">
          <v:path/>
          <v:fill on="t" focussize="0,0"/>
          <v:stroke on="f"/>
          <v:imagedata o:title=""/>
          <o:lock v:ext="edit"/>
        </v:shape>
      </w:pict>
    </w:r>
    <w:r>
      <w:rPr>
        <w:rFonts w:ascii="宋体" w:hAnsi="宋体" w:eastAsia="宋体" w:cs="宋体"/>
        <w:spacing w:val="-1"/>
        <w:sz w:val="18"/>
        <w:szCs w:val="18"/>
      </w:rPr>
      <w:t>实施运维服务能力成熟度对服务能力提升及业务发展的促进情况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4ABBF9">
    <w:pPr>
      <w:spacing w:before="48" w:line="219" w:lineRule="auto"/>
      <w:ind w:left="3443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实施运维服务能力成熟度对服务能力提升及业务发展的促进情况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630EE0">
    <w:pPr>
      <w:spacing w:before="48" w:line="219" w:lineRule="auto"/>
      <w:ind w:left="3443"/>
      <w:rPr>
        <w:rFonts w:ascii="宋体" w:hAnsi="宋体" w:eastAsia="宋体" w:cs="宋体"/>
        <w:sz w:val="18"/>
        <w:szCs w:val="18"/>
      </w:rPr>
    </w:pPr>
    <w:r>
      <w:pict>
        <v:shape id="_x0000_s2097" o:spid="_x0000_s2097" style="position:absolute;left:0pt;margin-left:90pt;margin-top:55.2pt;height:0.75pt;width:415.3pt;mso-position-horizontal-relative:page;mso-position-vertical-relative:page;z-index:251663360;mso-width-relative:page;mso-height-relative:page;" fillcolor="#000000" filled="t" stroked="f" coordsize="8305,15" o:allowincell="f" path="m0,0l8305,0,8305,14,0,14,0,0xe">
          <v:path/>
          <v:fill on="t" focussize="0,0"/>
          <v:stroke on="f"/>
          <v:imagedata o:title=""/>
          <o:lock v:ext="edit"/>
        </v:shape>
      </w:pict>
    </w:r>
    <w:r>
      <w:rPr>
        <w:rFonts w:ascii="宋体" w:hAnsi="宋体" w:eastAsia="宋体" w:cs="宋体"/>
        <w:spacing w:val="-1"/>
        <w:sz w:val="18"/>
        <w:szCs w:val="18"/>
      </w:rPr>
      <w:t>实施运维服务能力成熟度对服务能力提升及业务发展的促进情况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C91E0">
    <w:pPr>
      <w:spacing w:before="48" w:line="219" w:lineRule="auto"/>
      <w:ind w:left="3443"/>
      <w:rPr>
        <w:rFonts w:ascii="宋体" w:hAnsi="宋体" w:eastAsia="宋体" w:cs="宋体"/>
        <w:sz w:val="18"/>
        <w:szCs w:val="18"/>
      </w:rPr>
    </w:pPr>
    <w:r>
      <w:pict>
        <v:shape id="_x0000_s2110" o:spid="_x0000_s2110" style="position:absolute;left:0pt;margin-left:90pt;margin-top:55.2pt;height:0.75pt;width:415.3pt;mso-position-horizontal-relative:page;mso-position-vertical-relative:page;z-index:251664384;mso-width-relative:page;mso-height-relative:page;" fillcolor="#000000" filled="t" stroked="f" coordsize="8305,15" o:allowincell="f" path="m0,0l8305,0,8305,14,0,14,0,0xe">
          <v:path/>
          <v:fill on="t" focussize="0,0"/>
          <v:stroke on="f"/>
          <v:imagedata o:title=""/>
          <o:lock v:ext="edit"/>
        </v:shape>
      </w:pict>
    </w:r>
    <w:r>
      <w:rPr>
        <w:rFonts w:ascii="宋体" w:hAnsi="宋体" w:eastAsia="宋体" w:cs="宋体"/>
        <w:spacing w:val="-1"/>
        <w:sz w:val="18"/>
        <w:szCs w:val="18"/>
      </w:rPr>
      <w:t>实施运维服务能力成熟度对服务能力提升及业务发展的促进情况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B9C1E6">
    <w:pPr>
      <w:spacing w:before="48" w:line="219" w:lineRule="auto"/>
      <w:ind w:left="3443"/>
      <w:rPr>
        <w:rFonts w:ascii="宋体" w:hAnsi="宋体" w:eastAsia="宋体" w:cs="宋体"/>
        <w:sz w:val="18"/>
        <w:szCs w:val="18"/>
      </w:rPr>
    </w:pPr>
    <w:r>
      <w:pict>
        <v:shape id="_x0000_s2123" o:spid="_x0000_s2123" style="position:absolute;left:0pt;margin-left:90pt;margin-top:55.2pt;height:0.75pt;width:415.3pt;mso-position-horizontal-relative:page;mso-position-vertical-relative:page;z-index:251665408;mso-width-relative:page;mso-height-relative:page;" fillcolor="#000000" filled="t" stroked="f" coordsize="8305,15" o:allowincell="f" path="m0,0l8305,0,8305,14,0,14,0,0xe">
          <v:path/>
          <v:fill on="t" focussize="0,0"/>
          <v:stroke on="f"/>
          <v:imagedata o:title=""/>
          <o:lock v:ext="edit"/>
        </v:shape>
      </w:pict>
    </w:r>
    <w:r>
      <w:rPr>
        <w:rFonts w:ascii="宋体" w:hAnsi="宋体" w:eastAsia="宋体" w:cs="宋体"/>
        <w:spacing w:val="-1"/>
        <w:sz w:val="18"/>
        <w:szCs w:val="18"/>
      </w:rPr>
      <w:t>实施运维服务能力成熟度对服务能力提升及业务发展的促进情况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DF2D8">
    <w:pPr>
      <w:spacing w:before="48" w:line="219" w:lineRule="auto"/>
      <w:ind w:left="3443"/>
      <w:rPr>
        <w:rFonts w:ascii="宋体" w:hAnsi="宋体" w:eastAsia="宋体" w:cs="宋体"/>
        <w:sz w:val="18"/>
        <w:szCs w:val="18"/>
      </w:rPr>
    </w:pPr>
    <w:r>
      <w:pict>
        <v:shape id="_x0000_s2136" o:spid="_x0000_s2136" style="position:absolute;left:0pt;margin-left:90pt;margin-top:55.2pt;height:0.75pt;width:415.3pt;mso-position-horizontal-relative:page;mso-position-vertical-relative:page;z-index:251666432;mso-width-relative:page;mso-height-relative:page;" fillcolor="#000000" filled="t" stroked="f" coordsize="8305,15" o:allowincell="f" path="m0,0l8305,0,8305,14,0,14,0,0xe">
          <v:path/>
          <v:fill on="t" focussize="0,0"/>
          <v:stroke on="f"/>
          <v:imagedata o:title=""/>
          <o:lock v:ext="edit"/>
        </v:shape>
      </w:pict>
    </w:r>
    <w:r>
      <w:rPr>
        <w:rFonts w:ascii="宋体" w:hAnsi="宋体" w:eastAsia="宋体" w:cs="宋体"/>
        <w:spacing w:val="-1"/>
        <w:sz w:val="18"/>
        <w:szCs w:val="18"/>
      </w:rPr>
      <w:t>实施运维服务能力成熟度对服务能力提升及业务发展的促进情况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30263FD"/>
    <w:rsid w:val="0361440A"/>
    <w:rsid w:val="03C30C20"/>
    <w:rsid w:val="07336A8A"/>
    <w:rsid w:val="07610E7C"/>
    <w:rsid w:val="0B824CE1"/>
    <w:rsid w:val="0F725151"/>
    <w:rsid w:val="107F0CA7"/>
    <w:rsid w:val="121B58F5"/>
    <w:rsid w:val="1BFD77CB"/>
    <w:rsid w:val="1CCB0E1A"/>
    <w:rsid w:val="1DE101C9"/>
    <w:rsid w:val="1DE1641B"/>
    <w:rsid w:val="202820DF"/>
    <w:rsid w:val="214D44F3"/>
    <w:rsid w:val="216830DB"/>
    <w:rsid w:val="21E32762"/>
    <w:rsid w:val="240942C5"/>
    <w:rsid w:val="27AC5CEC"/>
    <w:rsid w:val="28844573"/>
    <w:rsid w:val="2D1B777C"/>
    <w:rsid w:val="2F6875EF"/>
    <w:rsid w:val="2FFB15BE"/>
    <w:rsid w:val="32011228"/>
    <w:rsid w:val="32FD5495"/>
    <w:rsid w:val="33B0446E"/>
    <w:rsid w:val="3AE0388B"/>
    <w:rsid w:val="3CDF4258"/>
    <w:rsid w:val="429D17C3"/>
    <w:rsid w:val="42C16F83"/>
    <w:rsid w:val="460348D1"/>
    <w:rsid w:val="46855D68"/>
    <w:rsid w:val="46D00C57"/>
    <w:rsid w:val="47A92F02"/>
    <w:rsid w:val="486A0C38"/>
    <w:rsid w:val="4C2E4820"/>
    <w:rsid w:val="4CBD5B50"/>
    <w:rsid w:val="4CD46FC7"/>
    <w:rsid w:val="4F4C1097"/>
    <w:rsid w:val="4FA91D57"/>
    <w:rsid w:val="5118442F"/>
    <w:rsid w:val="512F2A1E"/>
    <w:rsid w:val="54CE7F36"/>
    <w:rsid w:val="5B3B5AAC"/>
    <w:rsid w:val="5F6F6BEE"/>
    <w:rsid w:val="5F984EEC"/>
    <w:rsid w:val="61A7575F"/>
    <w:rsid w:val="62397BA1"/>
    <w:rsid w:val="64502F80"/>
    <w:rsid w:val="6510045E"/>
    <w:rsid w:val="65E16DC4"/>
    <w:rsid w:val="661C136B"/>
    <w:rsid w:val="686D5EAE"/>
    <w:rsid w:val="6A184540"/>
    <w:rsid w:val="6D1014FE"/>
    <w:rsid w:val="717F70F5"/>
    <w:rsid w:val="744877CF"/>
    <w:rsid w:val="76DD06A3"/>
    <w:rsid w:val="77A45665"/>
    <w:rsid w:val="78236589"/>
    <w:rsid w:val="7A4B0019"/>
    <w:rsid w:val="7EC55F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theme" Target="theme/theme1.xml"/><Relationship Id="rId15" Type="http://schemas.openxmlformats.org/officeDocument/2006/relationships/footer" Target="footer4.xml"/><Relationship Id="rId14" Type="http://schemas.openxmlformats.org/officeDocument/2006/relationships/header" Target="header7.xml"/><Relationship Id="rId13" Type="http://schemas.openxmlformats.org/officeDocument/2006/relationships/footer" Target="footer3.xml"/><Relationship Id="rId12" Type="http://schemas.openxmlformats.org/officeDocument/2006/relationships/header" Target="header6.xml"/><Relationship Id="rId11" Type="http://schemas.openxmlformats.org/officeDocument/2006/relationships/footer" Target="footer2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2049"/>
    <customShpInfo spid="_x0000_s2072"/>
    <customShpInfo spid="_x0000_s2097"/>
    <customShpInfo spid="_x0000_s2110"/>
    <customShpInfo spid="_x0000_s2123"/>
    <customShpInfo spid="_x0000_s2136"/>
    <customShpInfo spid="_x0000_s1026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2272</Words>
  <Characters>2403</Characters>
  <TotalTime>41</TotalTime>
  <ScaleCrop>false</ScaleCrop>
  <LinksUpToDate>false</LinksUpToDate>
  <CharactersWithSpaces>2596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2025-09-26T11:32:00Z</dcterms:created>
  <dc:creator>SYSTEM</dc:creator>
  <cp:lastModifiedBy>郝宇</cp:lastModifiedBy>
  <dcterms:modified xsi:type="dcterms:W3CDTF">2025-10-27T04:19:38Z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2025-09-26T11:35:45Z</vt:filetime>
  </property>
  <property fmtid="{D5CDD505-2E9C-101B-9397-08002B2CF9AE}" pid="4" name="KSOTemplateDocerSaveRecord">
    <vt:lpwstr>eyJoZGlkIjoiMDY5NmFjMmM4ZTljMGJiZDAxN2JmYTc0NGI0NmFiNDgiLCJ1c2VySWQiOiIxMDc1MzgyOSJ9</vt:lpwstr>
  </property>
  <property fmtid="{D5CDD505-2E9C-101B-9397-08002B2CF9AE}" pid="5" name="KSOProductBuildVer">
    <vt:lpwstr>2052-12.1.0.23125</vt:lpwstr>
  </property>
  <property fmtid="{D5CDD505-2E9C-101B-9397-08002B2CF9AE}" pid="6" name="ICV">
    <vt:lpwstr>977015C283BB419F9D0D7CD538542720_13</vt:lpwstr>
  </property>
</Properties>
</file>