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9529A">
      <w:pPr>
        <w:ind w:right="-30" w:firstLine="12331" w:firstLineChars="5138"/>
        <w:jc w:val="right"/>
        <w:rPr>
          <w:color w:val="000000"/>
          <w:kern w:val="0"/>
          <w:sz w:val="24"/>
          <w:highlight w:val="none"/>
        </w:rPr>
      </w:pPr>
      <w:r>
        <w:rPr>
          <w:rFonts w:hint="eastAsia"/>
          <w:color w:val="000000"/>
          <w:kern w:val="0"/>
          <w:sz w:val="24"/>
          <w:highlight w:val="none"/>
        </w:rPr>
        <w:t>表格编号：PG-06</w:t>
      </w:r>
    </w:p>
    <w:p w14:paraId="65732F02">
      <w:pPr>
        <w:ind w:right="120"/>
        <w:jc w:val="right"/>
        <w:rPr>
          <w:rFonts w:ascii="微软雅黑" w:hAnsi="微软雅黑" w:eastAsia="微软雅黑" w:cs="宋体"/>
          <w:b/>
          <w:bCs/>
          <w:color w:val="000000"/>
          <w:kern w:val="0"/>
          <w:sz w:val="44"/>
          <w:szCs w:val="32"/>
          <w:highlight w:val="none"/>
        </w:rPr>
      </w:pPr>
      <w:r>
        <w:rPr>
          <w:rFonts w:hint="eastAsia"/>
          <w:color w:val="000000"/>
          <w:kern w:val="0"/>
          <w:sz w:val="24"/>
          <w:highlight w:val="none"/>
        </w:rPr>
        <w:t>版本：V2.0</w:t>
      </w:r>
    </w:p>
    <w:p w14:paraId="5D90C55A">
      <w:pPr>
        <w:jc w:val="center"/>
        <w:rPr>
          <w:rFonts w:ascii="微软雅黑" w:hAnsi="微软雅黑" w:eastAsia="微软雅黑" w:cs="宋体"/>
          <w:b/>
          <w:bCs/>
          <w:color w:val="000000"/>
          <w:kern w:val="0"/>
          <w:sz w:val="44"/>
          <w:szCs w:val="32"/>
          <w:highlight w:val="none"/>
        </w:rPr>
      </w:pPr>
      <w:r>
        <w:rPr>
          <w:rFonts w:ascii="微软雅黑" w:hAnsi="微软雅黑" w:eastAsia="微软雅黑" w:cs="宋体"/>
          <w:b/>
          <w:color w:val="000000"/>
          <w:kern w:val="0"/>
          <w:sz w:val="44"/>
          <w:szCs w:val="32"/>
          <w:highlight w:val="none"/>
        </w:rPr>
        <w:drawing>
          <wp:inline distT="0" distB="0" distL="0" distR="0">
            <wp:extent cx="1470660" cy="556260"/>
            <wp:effectExtent l="19050" t="0" r="0" b="0"/>
            <wp:docPr id="1" name="图片 1" descr="说明: 20120327 ITS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说明: 20120327 ITSS_LOGO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0660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C4D713">
      <w:pPr>
        <w:jc w:val="center"/>
        <w:rPr>
          <w:rFonts w:ascii="微软雅黑" w:hAnsi="微软雅黑" w:eastAsia="微软雅黑" w:cs="宋体"/>
          <w:b/>
          <w:bCs/>
          <w:color w:val="000000"/>
          <w:kern w:val="0"/>
          <w:sz w:val="44"/>
          <w:szCs w:val="32"/>
          <w:highlight w:val="none"/>
        </w:rPr>
      </w:pPr>
      <w:r>
        <w:rPr>
          <w:rFonts w:hint="eastAsia" w:ascii="微软雅黑" w:hAnsi="微软雅黑" w:eastAsia="微软雅黑" w:cs="宋体"/>
          <w:b/>
          <w:bCs/>
          <w:color w:val="000000"/>
          <w:kern w:val="0"/>
          <w:sz w:val="44"/>
          <w:szCs w:val="32"/>
          <w:highlight w:val="none"/>
        </w:rPr>
        <w:t>《信息技术服务运维服务</w:t>
      </w:r>
      <w:r>
        <w:rPr>
          <w:rFonts w:ascii="微软雅黑" w:hAnsi="微软雅黑" w:eastAsia="微软雅黑" w:cs="宋体"/>
          <w:b/>
          <w:bCs/>
          <w:color w:val="000000"/>
          <w:kern w:val="0"/>
          <w:sz w:val="44"/>
          <w:szCs w:val="32"/>
          <w:highlight w:val="none"/>
        </w:rPr>
        <w:t>能力成熟度模型</w:t>
      </w:r>
      <w:r>
        <w:rPr>
          <w:rFonts w:hint="eastAsia" w:ascii="微软雅黑" w:hAnsi="微软雅黑" w:eastAsia="微软雅黑" w:cs="宋体"/>
          <w:b/>
          <w:bCs/>
          <w:color w:val="000000"/>
          <w:kern w:val="0"/>
          <w:sz w:val="44"/>
          <w:szCs w:val="32"/>
          <w:highlight w:val="none"/>
        </w:rPr>
        <w:t>》符合性评估检查表</w:t>
      </w:r>
    </w:p>
    <w:p w14:paraId="1B350172">
      <w:pPr>
        <w:jc w:val="center"/>
        <w:rPr>
          <w:rFonts w:ascii="微软雅黑" w:hAnsi="微软雅黑" w:eastAsia="微软雅黑" w:cs="宋体"/>
          <w:b/>
          <w:bCs/>
          <w:color w:val="000000"/>
          <w:kern w:val="0"/>
          <w:sz w:val="44"/>
          <w:szCs w:val="32"/>
          <w:highlight w:val="none"/>
        </w:rPr>
      </w:pPr>
      <w:r>
        <w:rPr>
          <w:rFonts w:hint="eastAsia" w:ascii="微软雅黑" w:hAnsi="微软雅黑" w:eastAsia="微软雅黑" w:cs="宋体"/>
          <w:b/>
          <w:bCs/>
          <w:color w:val="000000"/>
          <w:kern w:val="0"/>
          <w:sz w:val="44"/>
          <w:szCs w:val="32"/>
          <w:highlight w:val="none"/>
        </w:rPr>
        <w:t>（运维服务</w:t>
      </w:r>
      <w:r>
        <w:rPr>
          <w:rFonts w:ascii="微软雅黑" w:hAnsi="微软雅黑" w:eastAsia="微软雅黑" w:cs="宋体"/>
          <w:b/>
          <w:bCs/>
          <w:color w:val="000000"/>
          <w:kern w:val="0"/>
          <w:sz w:val="44"/>
          <w:szCs w:val="32"/>
          <w:highlight w:val="none"/>
        </w:rPr>
        <w:t>能力成熟度</w:t>
      </w:r>
      <w:r>
        <w:rPr>
          <w:rFonts w:hint="eastAsia" w:ascii="微软雅黑" w:hAnsi="微软雅黑" w:eastAsia="微软雅黑" w:cs="宋体"/>
          <w:b/>
          <w:bCs/>
          <w:color w:val="000000"/>
          <w:kern w:val="0"/>
          <w:sz w:val="44"/>
          <w:szCs w:val="32"/>
          <w:highlight w:val="none"/>
        </w:rPr>
        <w:t>三</w:t>
      </w:r>
      <w:r>
        <w:rPr>
          <w:rFonts w:ascii="微软雅黑" w:hAnsi="微软雅黑" w:eastAsia="微软雅黑" w:cs="宋体"/>
          <w:b/>
          <w:bCs/>
          <w:color w:val="000000"/>
          <w:kern w:val="0"/>
          <w:sz w:val="44"/>
          <w:szCs w:val="32"/>
          <w:highlight w:val="none"/>
        </w:rPr>
        <w:t>级</w:t>
      </w:r>
      <w:r>
        <w:rPr>
          <w:rFonts w:hint="eastAsia" w:ascii="微软雅黑" w:hAnsi="微软雅黑" w:eastAsia="微软雅黑" w:cs="宋体"/>
          <w:b/>
          <w:bCs/>
          <w:color w:val="000000"/>
          <w:kern w:val="0"/>
          <w:sz w:val="44"/>
          <w:szCs w:val="32"/>
          <w:highlight w:val="none"/>
        </w:rPr>
        <w:t>）</w:t>
      </w:r>
    </w:p>
    <w:p w14:paraId="619C9D74">
      <w:pPr>
        <w:spacing w:line="240" w:lineRule="atLeast"/>
        <w:ind w:firstLine="424" w:firstLineChars="151"/>
        <w:jc w:val="left"/>
        <w:rPr>
          <w:b/>
          <w:color w:val="000000"/>
          <w:kern w:val="0"/>
          <w:sz w:val="28"/>
          <w:szCs w:val="28"/>
          <w:highlight w:val="none"/>
        </w:rPr>
      </w:pPr>
      <w:bookmarkStart w:id="0" w:name="_Toc280584860"/>
      <w:bookmarkStart w:id="1" w:name="_Toc280583679"/>
    </w:p>
    <w:p w14:paraId="1D5DC7FD">
      <w:pPr>
        <w:spacing w:line="240" w:lineRule="atLeast"/>
        <w:ind w:firstLine="424" w:firstLineChars="151"/>
        <w:jc w:val="left"/>
        <w:rPr>
          <w:b/>
          <w:color w:val="000000"/>
          <w:kern w:val="0"/>
          <w:sz w:val="28"/>
          <w:szCs w:val="28"/>
          <w:highlight w:val="none"/>
        </w:rPr>
      </w:pPr>
    </w:p>
    <w:p w14:paraId="0CCC2D89">
      <w:pPr>
        <w:spacing w:line="240" w:lineRule="atLeast"/>
        <w:ind w:firstLine="3828" w:firstLineChars="1362"/>
        <w:rPr>
          <w:rFonts w:ascii="宋体"/>
          <w:color w:val="000000"/>
          <w:kern w:val="0"/>
          <w:sz w:val="28"/>
          <w:szCs w:val="28"/>
          <w:highlight w:val="none"/>
          <w:u w:val="single"/>
        </w:rPr>
      </w:pPr>
      <w:r>
        <w:rPr>
          <w:rFonts w:hint="eastAsia"/>
          <w:b/>
          <w:color w:val="000000"/>
          <w:kern w:val="0"/>
          <w:sz w:val="28"/>
          <w:szCs w:val="28"/>
          <w:highlight w:val="none"/>
        </w:rPr>
        <w:t>申报企业</w:t>
      </w:r>
      <w:r>
        <w:rPr>
          <w:rFonts w:hint="eastAsia" w:ascii="宋体"/>
          <w:color w:val="000000"/>
          <w:kern w:val="0"/>
          <w:sz w:val="28"/>
          <w:szCs w:val="28"/>
          <w:highlight w:val="none"/>
        </w:rPr>
        <w:t>：</w:t>
      </w:r>
      <w:r>
        <w:rPr>
          <w:rFonts w:hint="eastAsia" w:ascii="宋体"/>
          <w:color w:val="000000"/>
          <w:kern w:val="0"/>
          <w:sz w:val="28"/>
          <w:szCs w:val="28"/>
          <w:highlight w:val="none"/>
          <w:u w:val="single"/>
        </w:rPr>
        <w:t xml:space="preserve"> 青岛鑫华泽丰电子科技有限公司  </w:t>
      </w:r>
      <w:bookmarkEnd w:id="0"/>
      <w:bookmarkEnd w:id="1"/>
    </w:p>
    <w:p w14:paraId="58A3A8A5">
      <w:pPr>
        <w:spacing w:line="240" w:lineRule="atLeast"/>
        <w:ind w:firstLine="3813" w:firstLineChars="1362"/>
        <w:rPr>
          <w:rFonts w:ascii="宋体"/>
          <w:color w:val="000000"/>
          <w:kern w:val="0"/>
          <w:sz w:val="28"/>
          <w:szCs w:val="28"/>
          <w:highlight w:val="none"/>
        </w:rPr>
      </w:pPr>
    </w:p>
    <w:p w14:paraId="1A506773">
      <w:pPr>
        <w:spacing w:line="240" w:lineRule="atLeast"/>
        <w:ind w:firstLine="3828" w:firstLineChars="1362"/>
        <w:jc w:val="left"/>
        <w:rPr>
          <w:rFonts w:ascii="宋体"/>
          <w:color w:val="000000"/>
          <w:kern w:val="0"/>
          <w:sz w:val="28"/>
          <w:szCs w:val="28"/>
          <w:highlight w:val="none"/>
          <w:u w:val="single"/>
        </w:rPr>
      </w:pPr>
      <w:r>
        <w:rPr>
          <w:rFonts w:hint="eastAsia"/>
          <w:b/>
          <w:color w:val="000000"/>
          <w:kern w:val="0"/>
          <w:sz w:val="28"/>
          <w:szCs w:val="28"/>
          <w:highlight w:val="none"/>
        </w:rPr>
        <w:t>评估组成员</w:t>
      </w:r>
      <w:r>
        <w:rPr>
          <w:rFonts w:hint="eastAsia" w:ascii="宋体"/>
          <w:color w:val="000000"/>
          <w:kern w:val="0"/>
          <w:sz w:val="28"/>
          <w:szCs w:val="28"/>
          <w:highlight w:val="none"/>
        </w:rPr>
        <w:t>：</w:t>
      </w:r>
      <w:r>
        <w:rPr>
          <w:rFonts w:hint="eastAsia" w:ascii="宋体"/>
          <w:color w:val="000000"/>
          <w:kern w:val="0"/>
          <w:sz w:val="28"/>
          <w:szCs w:val="28"/>
          <w:highlight w:val="none"/>
          <w:u w:val="single"/>
        </w:rPr>
        <w:t xml:space="preserve">   朱鹤</w:t>
      </w:r>
      <w:r>
        <w:rPr>
          <w:rFonts w:hint="eastAsia" w:ascii="宋体"/>
          <w:color w:val="000000"/>
          <w:kern w:val="0"/>
          <w:sz w:val="28"/>
          <w:szCs w:val="28"/>
          <w:highlight w:val="none"/>
          <w:u w:val="single"/>
          <w:lang w:eastAsia="zh-Hans"/>
        </w:rPr>
        <w:t>、</w:t>
      </w:r>
      <w:r>
        <w:rPr>
          <w:rFonts w:hint="eastAsia" w:ascii="宋体"/>
          <w:color w:val="000000"/>
          <w:kern w:val="0"/>
          <w:sz w:val="28"/>
          <w:szCs w:val="28"/>
          <w:highlight w:val="none"/>
          <w:u w:val="single"/>
        </w:rPr>
        <w:t>刘薇</w:t>
      </w:r>
      <w:r>
        <w:rPr>
          <w:rFonts w:hint="eastAsia" w:ascii="宋体"/>
          <w:color w:val="000000"/>
          <w:kern w:val="0"/>
          <w:sz w:val="28"/>
          <w:szCs w:val="28"/>
          <w:highlight w:val="none"/>
          <w:u w:val="single"/>
          <w:lang w:eastAsia="zh-Hans"/>
        </w:rPr>
        <w:t>（</w:t>
      </w:r>
      <w:r>
        <w:rPr>
          <w:rFonts w:hint="eastAsia" w:ascii="宋体"/>
          <w:color w:val="000000"/>
          <w:kern w:val="0"/>
          <w:sz w:val="28"/>
          <w:szCs w:val="28"/>
          <w:highlight w:val="none"/>
          <w:u w:val="single"/>
          <w:lang w:val="en-US" w:eastAsia="zh-Hans"/>
        </w:rPr>
        <w:t>独立评估师</w:t>
      </w:r>
      <w:r>
        <w:rPr>
          <w:rFonts w:hint="eastAsia" w:ascii="宋体"/>
          <w:color w:val="000000"/>
          <w:kern w:val="0"/>
          <w:sz w:val="28"/>
          <w:szCs w:val="28"/>
          <w:highlight w:val="none"/>
          <w:u w:val="single"/>
          <w:lang w:eastAsia="zh-Hans"/>
        </w:rPr>
        <w:t>）</w:t>
      </w:r>
      <w:r>
        <w:rPr>
          <w:rFonts w:hint="eastAsia" w:ascii="宋体"/>
          <w:color w:val="000000"/>
          <w:kern w:val="0"/>
          <w:sz w:val="28"/>
          <w:szCs w:val="28"/>
          <w:highlight w:val="none"/>
          <w:u w:val="single"/>
        </w:rPr>
        <w:t xml:space="preserve">     </w:t>
      </w:r>
    </w:p>
    <w:p w14:paraId="74DEAB6C">
      <w:pPr>
        <w:spacing w:line="240" w:lineRule="atLeast"/>
        <w:ind w:firstLine="3828" w:firstLineChars="1362"/>
        <w:jc w:val="left"/>
        <w:rPr>
          <w:b/>
          <w:color w:val="000000"/>
          <w:kern w:val="0"/>
          <w:sz w:val="28"/>
          <w:szCs w:val="28"/>
          <w:highlight w:val="none"/>
        </w:rPr>
      </w:pPr>
    </w:p>
    <w:p w14:paraId="32E4CC61">
      <w:pPr>
        <w:spacing w:line="240" w:lineRule="atLeast"/>
        <w:ind w:firstLine="3828" w:firstLineChars="1362"/>
        <w:jc w:val="left"/>
        <w:rPr>
          <w:rFonts w:hint="default" w:eastAsia="宋体" w:asciiTheme="minorEastAsia" w:hAnsiTheme="minorEastAsia" w:cstheme="minorEastAsia"/>
          <w:bCs/>
          <w:color w:val="000000"/>
          <w:kern w:val="0"/>
          <w:sz w:val="28"/>
          <w:szCs w:val="28"/>
          <w:highlight w:val="none"/>
          <w:u w:val="single"/>
          <w:lang w:val="en-US" w:eastAsia="zh-CN"/>
        </w:rPr>
      </w:pPr>
      <w:r>
        <w:rPr>
          <w:rFonts w:hint="eastAsia"/>
          <w:b/>
          <w:color w:val="000000"/>
          <w:kern w:val="0"/>
          <w:sz w:val="28"/>
          <w:szCs w:val="28"/>
          <w:highlight w:val="none"/>
        </w:rPr>
        <w:t>评估</w:t>
      </w:r>
      <w:r>
        <w:rPr>
          <w:b/>
          <w:color w:val="000000"/>
          <w:kern w:val="0"/>
          <w:sz w:val="28"/>
          <w:szCs w:val="28"/>
          <w:highlight w:val="none"/>
        </w:rPr>
        <w:t>地点</w:t>
      </w:r>
      <w:r>
        <w:rPr>
          <w:rFonts w:hint="eastAsia"/>
          <w:b/>
          <w:color w:val="000000"/>
          <w:kern w:val="0"/>
          <w:sz w:val="28"/>
          <w:szCs w:val="28"/>
          <w:highlight w:val="none"/>
        </w:rPr>
        <w:t>：</w:t>
      </w:r>
      <w:r>
        <w:rPr>
          <w:rFonts w:hint="default"/>
          <w:bCs/>
          <w:color w:val="000000"/>
          <w:kern w:val="0"/>
          <w:sz w:val="28"/>
          <w:szCs w:val="28"/>
          <w:highlight w:val="none"/>
          <w:u w:val="single"/>
        </w:rPr>
        <w:t xml:space="preserve">  </w:t>
      </w:r>
      <w:r>
        <w:rPr>
          <w:rFonts w:hint="default"/>
          <w:bCs/>
          <w:color w:val="000000"/>
          <w:w w:val="80"/>
          <w:kern w:val="0"/>
          <w:sz w:val="28"/>
          <w:szCs w:val="28"/>
          <w:highlight w:val="none"/>
          <w:u w:val="single"/>
        </w:rPr>
        <w:t>山东省青岛市黄岛区江山南路116号1栋3单元2203室（腾讯会议远程审核）</w:t>
      </w:r>
      <w:r>
        <w:rPr>
          <w:rFonts w:hint="eastAsia"/>
          <w:bCs/>
          <w:color w:val="000000"/>
          <w:kern w:val="0"/>
          <w:sz w:val="28"/>
          <w:szCs w:val="28"/>
          <w:highlight w:val="none"/>
          <w:u w:val="single"/>
          <w:lang w:val="en-US" w:eastAsia="zh-CN"/>
        </w:rPr>
        <w:t xml:space="preserve"> </w:t>
      </w:r>
    </w:p>
    <w:p w14:paraId="2BA3BF26">
      <w:pPr>
        <w:spacing w:line="240" w:lineRule="atLeast"/>
        <w:jc w:val="left"/>
        <w:rPr>
          <w:rFonts w:asciiTheme="minorEastAsia" w:hAnsiTheme="minorEastAsia" w:eastAsiaTheme="minorEastAsia" w:cstheme="minorEastAsia"/>
          <w:bCs/>
          <w:color w:val="000000"/>
          <w:kern w:val="0"/>
          <w:sz w:val="28"/>
          <w:szCs w:val="28"/>
          <w:highlight w:val="none"/>
          <w:u w:val="single"/>
        </w:rPr>
      </w:pPr>
    </w:p>
    <w:p w14:paraId="5F8F8449">
      <w:pPr>
        <w:spacing w:line="240" w:lineRule="atLeast"/>
        <w:ind w:firstLine="3828" w:firstLineChars="1362"/>
        <w:jc w:val="left"/>
        <w:rPr>
          <w:rFonts w:ascii="宋体"/>
          <w:b/>
          <w:color w:val="000000"/>
          <w:kern w:val="0"/>
          <w:sz w:val="28"/>
          <w:szCs w:val="28"/>
          <w:highlight w:val="none"/>
        </w:rPr>
      </w:pPr>
      <w:r>
        <w:rPr>
          <w:rFonts w:hint="eastAsia"/>
          <w:b/>
          <w:color w:val="000000"/>
          <w:kern w:val="0"/>
          <w:sz w:val="28"/>
          <w:szCs w:val="28"/>
          <w:highlight w:val="none"/>
        </w:rPr>
        <w:t>评估日期</w:t>
      </w:r>
      <w:r>
        <w:rPr>
          <w:rFonts w:hint="eastAsia" w:ascii="宋体"/>
          <w:color w:val="000000"/>
          <w:kern w:val="0"/>
          <w:sz w:val="28"/>
          <w:szCs w:val="28"/>
          <w:highlight w:val="none"/>
        </w:rPr>
        <w:t>：</w:t>
      </w:r>
      <w:r>
        <w:rPr>
          <w:rFonts w:hint="eastAsia" w:ascii="宋体"/>
          <w:color w:val="000000"/>
          <w:kern w:val="0"/>
          <w:sz w:val="28"/>
          <w:szCs w:val="28"/>
          <w:highlight w:val="none"/>
          <w:u w:val="single"/>
        </w:rPr>
        <w:t>202</w:t>
      </w:r>
      <w:r>
        <w:rPr>
          <w:rFonts w:hint="eastAsia" w:ascii="宋体"/>
          <w:color w:val="000000"/>
          <w:kern w:val="0"/>
          <w:sz w:val="28"/>
          <w:szCs w:val="28"/>
          <w:highlight w:val="none"/>
          <w:u w:val="single"/>
          <w:lang w:val="en-US" w:eastAsia="zh-CN"/>
        </w:rPr>
        <w:t>5</w:t>
      </w:r>
      <w:r>
        <w:rPr>
          <w:rFonts w:hint="eastAsia" w:ascii="宋体"/>
          <w:color w:val="000000"/>
          <w:kern w:val="0"/>
          <w:sz w:val="28"/>
          <w:szCs w:val="28"/>
          <w:highlight w:val="none"/>
          <w:u w:val="single"/>
        </w:rPr>
        <w:t xml:space="preserve"> </w:t>
      </w:r>
      <w:r>
        <w:rPr>
          <w:rFonts w:hint="eastAsia" w:ascii="宋体"/>
          <w:b/>
          <w:color w:val="000000"/>
          <w:kern w:val="0"/>
          <w:sz w:val="28"/>
          <w:szCs w:val="28"/>
          <w:highlight w:val="none"/>
        </w:rPr>
        <w:t>年</w:t>
      </w:r>
      <w:r>
        <w:rPr>
          <w:rFonts w:hint="eastAsia" w:ascii="宋体"/>
          <w:b/>
          <w:color w:val="000000"/>
          <w:kern w:val="0"/>
          <w:sz w:val="28"/>
          <w:szCs w:val="28"/>
          <w:highlight w:val="none"/>
          <w:u w:val="single"/>
        </w:rPr>
        <w:t xml:space="preserve"> </w:t>
      </w:r>
      <w:r>
        <w:rPr>
          <w:rFonts w:hint="default" w:ascii="宋体"/>
          <w:b w:val="0"/>
          <w:bCs/>
          <w:color w:val="000000"/>
          <w:kern w:val="0"/>
          <w:sz w:val="28"/>
          <w:szCs w:val="28"/>
          <w:highlight w:val="none"/>
          <w:u w:val="single"/>
        </w:rPr>
        <w:t xml:space="preserve"> </w:t>
      </w:r>
      <w:r>
        <w:rPr>
          <w:rFonts w:hint="eastAsia" w:ascii="宋体"/>
          <w:b w:val="0"/>
          <w:bCs/>
          <w:color w:val="000000"/>
          <w:kern w:val="0"/>
          <w:sz w:val="28"/>
          <w:szCs w:val="28"/>
          <w:highlight w:val="none"/>
          <w:u w:val="single"/>
          <w:lang w:val="en-US" w:eastAsia="zh-CN"/>
        </w:rPr>
        <w:t>10</w:t>
      </w:r>
      <w:r>
        <w:rPr>
          <w:rFonts w:hint="default" w:ascii="宋体"/>
          <w:b w:val="0"/>
          <w:bCs/>
          <w:color w:val="000000"/>
          <w:kern w:val="0"/>
          <w:sz w:val="28"/>
          <w:szCs w:val="28"/>
          <w:highlight w:val="none"/>
          <w:u w:val="single"/>
        </w:rPr>
        <w:t xml:space="preserve"> </w:t>
      </w:r>
      <w:r>
        <w:rPr>
          <w:rFonts w:hint="eastAsia" w:ascii="宋体"/>
          <w:b/>
          <w:color w:val="000000"/>
          <w:kern w:val="0"/>
          <w:sz w:val="28"/>
          <w:szCs w:val="28"/>
          <w:highlight w:val="none"/>
          <w:u w:val="single"/>
        </w:rPr>
        <w:t xml:space="preserve"> </w:t>
      </w:r>
      <w:r>
        <w:rPr>
          <w:rFonts w:hint="eastAsia" w:ascii="宋体"/>
          <w:b/>
          <w:color w:val="000000"/>
          <w:kern w:val="0"/>
          <w:sz w:val="28"/>
          <w:szCs w:val="28"/>
          <w:highlight w:val="none"/>
        </w:rPr>
        <w:t>月</w:t>
      </w:r>
      <w:r>
        <w:rPr>
          <w:rFonts w:hint="eastAsia" w:ascii="宋体"/>
          <w:b/>
          <w:color w:val="000000"/>
          <w:kern w:val="0"/>
          <w:sz w:val="28"/>
          <w:szCs w:val="28"/>
          <w:highlight w:val="none"/>
          <w:u w:val="single"/>
        </w:rPr>
        <w:t xml:space="preserve">  </w:t>
      </w:r>
      <w:r>
        <w:rPr>
          <w:rFonts w:hint="eastAsia" w:ascii="宋体"/>
          <w:b w:val="0"/>
          <w:bCs/>
          <w:color w:val="000000"/>
          <w:kern w:val="0"/>
          <w:sz w:val="28"/>
          <w:szCs w:val="28"/>
          <w:highlight w:val="none"/>
          <w:u w:val="single"/>
          <w:lang w:val="en-US" w:eastAsia="zh-CN"/>
        </w:rPr>
        <w:t xml:space="preserve"> </w:t>
      </w:r>
      <w:r>
        <w:rPr>
          <w:rFonts w:hint="default" w:ascii="宋体"/>
          <w:b/>
          <w:color w:val="000000"/>
          <w:kern w:val="0"/>
          <w:sz w:val="28"/>
          <w:szCs w:val="28"/>
          <w:highlight w:val="none"/>
          <w:u w:val="single"/>
        </w:rPr>
        <w:t xml:space="preserve"> </w:t>
      </w:r>
      <w:r>
        <w:rPr>
          <w:rFonts w:hint="eastAsia" w:ascii="宋体"/>
          <w:b/>
          <w:color w:val="000000"/>
          <w:kern w:val="0"/>
          <w:sz w:val="28"/>
          <w:szCs w:val="28"/>
          <w:highlight w:val="none"/>
          <w:u w:val="single"/>
        </w:rPr>
        <w:t xml:space="preserve"> </w:t>
      </w:r>
      <w:r>
        <w:rPr>
          <w:rFonts w:hint="eastAsia" w:ascii="宋体"/>
          <w:b/>
          <w:color w:val="000000"/>
          <w:kern w:val="0"/>
          <w:sz w:val="28"/>
          <w:szCs w:val="28"/>
          <w:highlight w:val="none"/>
        </w:rPr>
        <w:t>日</w:t>
      </w:r>
    </w:p>
    <w:p w14:paraId="471228F2">
      <w:pPr>
        <w:spacing w:after="360"/>
        <w:jc w:val="both"/>
        <w:outlineLvl w:val="0"/>
        <w:rPr>
          <w:rFonts w:ascii="Times New Roman" w:hAnsi="Times New Roman" w:eastAsia="楷体" w:cs="Times New Roman"/>
          <w:b/>
          <w:bCs/>
          <w:color w:val="CC3300"/>
          <w:kern w:val="0"/>
          <w:sz w:val="44"/>
          <w:szCs w:val="36"/>
          <w:highlight w:val="none"/>
        </w:rPr>
      </w:pPr>
    </w:p>
    <w:p w14:paraId="5C87A85E">
      <w:pPr>
        <w:widowControl/>
        <w:outlineLvl w:val="1"/>
        <w:rPr>
          <w:rFonts w:ascii="黑体" w:hAnsi="Times New Roman" w:eastAsia="黑体" w:cs="Times New Roman"/>
          <w:kern w:val="0"/>
          <w:szCs w:val="24"/>
          <w:highlight w:val="none"/>
        </w:rPr>
      </w:pPr>
      <w:r>
        <w:rPr>
          <w:rFonts w:hint="eastAsia" w:ascii="黑体" w:hAnsi="Times New Roman" w:eastAsia="黑体" w:cs="Times New Roman"/>
          <w:kern w:val="0"/>
          <w:szCs w:val="24"/>
          <w:highlight w:val="none"/>
        </w:rPr>
        <w:t>1、管理要求</w:t>
      </w:r>
    </w:p>
    <w:tbl>
      <w:tblPr>
        <w:tblStyle w:val="85"/>
        <w:tblW w:w="1496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3850"/>
        <w:gridCol w:w="1843"/>
        <w:gridCol w:w="3946"/>
        <w:gridCol w:w="4050"/>
      </w:tblGrid>
      <w:tr w14:paraId="26F54F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75" w:type="dxa"/>
            <w:tcMar>
              <w:left w:w="85" w:type="dxa"/>
              <w:right w:w="85" w:type="dxa"/>
            </w:tcMar>
            <w:vAlign w:val="center"/>
          </w:tcPr>
          <w:p w14:paraId="73F650B8">
            <w:pPr>
              <w:widowControl/>
              <w:jc w:val="center"/>
              <w:rPr>
                <w:rFonts w:ascii="Times New Roman" w:hAnsi="Arial Unicode MS" w:eastAsia="Arial Unicode MS" w:cs="Arial Unicode MS"/>
                <w:sz w:val="18"/>
                <w:szCs w:val="18"/>
                <w:highlight w:val="none"/>
                <w:u w:color="000000"/>
              </w:rPr>
            </w:pPr>
            <w:r>
              <w:rPr>
                <w:rFonts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标准</w:t>
            </w: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/>
              </w:rPr>
              <w:t>条款号</w:t>
            </w:r>
          </w:p>
        </w:tc>
        <w:tc>
          <w:tcPr>
            <w:tcW w:w="3850" w:type="dxa"/>
            <w:tcMar>
              <w:left w:w="85" w:type="dxa"/>
              <w:right w:w="85" w:type="dxa"/>
            </w:tcMar>
            <w:vAlign w:val="center"/>
          </w:tcPr>
          <w:p w14:paraId="0AC13A6E">
            <w:pPr>
              <w:widowControl/>
              <w:jc w:val="center"/>
              <w:rPr>
                <w:rFonts w:ascii="Times New Roman" w:hAnsi="Arial Unicode MS" w:eastAsia="Arial Unicode MS" w:cs="Arial Unicode MS"/>
                <w:sz w:val="18"/>
                <w:szCs w:val="18"/>
                <w:highlight w:val="none"/>
                <w:u w:color="000000"/>
              </w:rPr>
            </w:pPr>
            <w:r>
              <w:rPr>
                <w:rFonts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成熟度要求</w:t>
            </w:r>
          </w:p>
        </w:tc>
        <w:tc>
          <w:tcPr>
            <w:tcW w:w="1843" w:type="dxa"/>
            <w:vAlign w:val="center"/>
          </w:tcPr>
          <w:p w14:paraId="72D84EB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</w:pPr>
            <w:r>
              <w:rPr>
                <w:rFonts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关键指标</w:t>
            </w:r>
          </w:p>
        </w:tc>
        <w:tc>
          <w:tcPr>
            <w:tcW w:w="3946" w:type="dxa"/>
          </w:tcPr>
          <w:p w14:paraId="7DE04BC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/>
              </w:rPr>
              <w:t>审核要点</w:t>
            </w:r>
          </w:p>
        </w:tc>
        <w:tc>
          <w:tcPr>
            <w:tcW w:w="4050" w:type="dxa"/>
          </w:tcPr>
          <w:p w14:paraId="27F3DEF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/>
              </w:rPr>
              <w:t>评估情况说明</w:t>
            </w:r>
          </w:p>
        </w:tc>
      </w:tr>
      <w:tr w14:paraId="7015D2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8" w:hRule="atLeast"/>
          <w:jc w:val="center"/>
        </w:trPr>
        <w:tc>
          <w:tcPr>
            <w:tcW w:w="1275" w:type="dxa"/>
            <w:vMerge w:val="restart"/>
            <w:tcMar>
              <w:left w:w="85" w:type="dxa"/>
              <w:right w:w="85" w:type="dxa"/>
            </w:tcMar>
            <w:vAlign w:val="center"/>
          </w:tcPr>
          <w:p w14:paraId="08D2895D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val="zh-TW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GB/T 28827.1-2012</w:t>
            </w:r>
          </w:p>
          <w:p w14:paraId="68878F6D">
            <w:pPr>
              <w:widowControl/>
              <w:jc w:val="center"/>
              <w:rPr>
                <w:rFonts w:cs="Arial Unicode MS" w:asciiTheme="minorEastAsia" w:hAnsiTheme="minorEastAsia" w:eastAsiaTheme="minorEastAsia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 xml:space="preserve">5.2 </w:t>
            </w: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策划</w:t>
            </w:r>
          </w:p>
        </w:tc>
        <w:tc>
          <w:tcPr>
            <w:tcW w:w="3850" w:type="dxa"/>
            <w:tcMar>
              <w:left w:w="85" w:type="dxa"/>
              <w:right w:w="85" w:type="dxa"/>
            </w:tcMar>
            <w:vAlign w:val="center"/>
          </w:tcPr>
          <w:p w14:paraId="0D559C43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48D05226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) 制定服务目录的管理流程，包括服务目录管理</w:t>
            </w: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的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相关角色和职责，明确服务目录管理流程与其他流程的关系，如SLA等；</w:t>
            </w:r>
          </w:p>
          <w:p w14:paraId="6E163652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) 服务目录应包括服务列表，列表层次结构需符合GB/T 29264-2012的要求；</w:t>
            </w:r>
          </w:p>
          <w:p w14:paraId="7D317E1E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c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) 服务目录应包括服务产品的详细描述内容，如服务名称、服务简介、服务目标，以及服务对象、服务内容、服务频度、服务时间、交付方式、交付成果等；</w:t>
            </w:r>
          </w:p>
          <w:p w14:paraId="2C88CED4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d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) 建立起服务目录与运维服务业务的关联关系。</w:t>
            </w:r>
          </w:p>
        </w:tc>
        <w:tc>
          <w:tcPr>
            <w:tcW w:w="1843" w:type="dxa"/>
            <w:vAlign w:val="center"/>
          </w:tcPr>
          <w:p w14:paraId="08A84088">
            <w:pPr>
              <w:spacing w:line="240" w:lineRule="exac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服务目录制度性、符合性、完整性和适宜性。、</w:t>
            </w:r>
          </w:p>
        </w:tc>
        <w:tc>
          <w:tcPr>
            <w:tcW w:w="3946" w:type="dxa"/>
            <w:vAlign w:val="center"/>
          </w:tcPr>
          <w:p w14:paraId="56BBFFF2">
            <w:pPr>
              <w:spacing w:line="300" w:lineRule="exact"/>
              <w:rPr>
                <w:rFonts w:cs="宋体" w:asciiTheme="minorEastAsia" w:hAnsiTheme="minorEastAsia" w:eastAsiaTheme="minorEastAsia"/>
                <w:sz w:val="18"/>
                <w:szCs w:val="18"/>
                <w:highlight w:val="none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a）服务目录应包括服务列表，需符合分类代码的要求；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br w:type="textWrapping"/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b）对服务基本要素需包括“目录要求”的内容，如服务产品的名称、特性描述和基本目标等；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br w:type="textWrapping"/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c）运维服务合同中的服务项应来自于服务目录当中，检查组织级服务目录，抽查服务合同。</w:t>
            </w:r>
          </w:p>
        </w:tc>
        <w:tc>
          <w:tcPr>
            <w:tcW w:w="4050" w:type="dxa"/>
          </w:tcPr>
          <w:p w14:paraId="69758A49">
            <w:pPr>
              <w:widowControl/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访谈对象及内容: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运维部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部经理 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崔新国</w:t>
            </w:r>
          </w:p>
          <w:p w14:paraId="432E141C">
            <w:pPr>
              <w:widowControl/>
              <w:ind w:firstLine="1440" w:firstLineChars="800"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质量部经理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高阳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 xml:space="preserve"> </w:t>
            </w:r>
          </w:p>
          <w:p w14:paraId="5A16135C">
            <w:pPr>
              <w:widowControl/>
              <w:rPr>
                <w:rFonts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检查的文件或记录: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《CYYH-ITSS-04-02-组织级运维服务目录》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《山东省工业和信息化厅业务系统信创适配改造项目(2)》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《CYYH-ITSS-04-01-运维服务目录管理制度》</w:t>
            </w:r>
          </w:p>
          <w:p w14:paraId="50156E71">
            <w:pPr>
              <w:widowControl/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评估情况说明: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《CYYH-ITSS-04-02-组织级运维服务目录》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包括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0401基础环境运维服务（0401基础环境运维）、0402硬件运维服务（040201 网络运维服务、040202 主机运维服务、040203 存储运维服务、040204 桌面运维服务）、040299 其他硬件运维服务）0403 软件运维服务（040301 基础软件运维服务）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，符合分类代码要求，查看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《服务目录管理制度》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，对服务目录的的建立、评审、发布、使用、修订、年审做了制度</w:t>
            </w:r>
            <w:r>
              <w:rPr>
                <w:rFonts w:hint="eastAsia" w:cs="宋体" w:asciiTheme="minorEastAsia" w:hAnsiTheme="minorEastAsia" w:eastAsiaTheme="minorEastAsia"/>
                <w:bCs/>
                <w:kern w:val="0"/>
                <w:sz w:val="18"/>
                <w:szCs w:val="18"/>
                <w:highlight w:val="none"/>
              </w:rPr>
              <w:t>。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抽查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《山东省工业和信息化厅业务系统信创适配改造项目(2)》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，服务项均来自于服务目录中。</w:t>
            </w:r>
          </w:p>
          <w:p w14:paraId="7FC51AFB">
            <w:pPr>
              <w:widowControl/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val="en-US" w:eastAsia="zh-Hans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val="en-US" w:eastAsia="zh-Hans"/>
              </w:rPr>
              <w:t>采用腾讯会议远程审核</w:t>
            </w:r>
          </w:p>
          <w:p w14:paraId="6E22FB09">
            <w:pPr>
              <w:widowControl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评估发现：</w:t>
            </w:r>
          </w:p>
          <w:p w14:paraId="031CDFEB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■满足要求</w:t>
            </w:r>
          </w:p>
          <w:p w14:paraId="5F13AB86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□改进项</w:t>
            </w:r>
          </w:p>
          <w:p w14:paraId="3C6AE160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□一般不符合</w:t>
            </w:r>
          </w:p>
          <w:p w14:paraId="6781D20B">
            <w:pPr>
              <w:widowControl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□严重不符合</w:t>
            </w:r>
          </w:p>
        </w:tc>
      </w:tr>
      <w:tr w14:paraId="6483F4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5" w:type="dxa"/>
            <w:vMerge w:val="continue"/>
            <w:tcMar>
              <w:left w:w="85" w:type="dxa"/>
              <w:right w:w="85" w:type="dxa"/>
            </w:tcMar>
            <w:vAlign w:val="center"/>
          </w:tcPr>
          <w:p w14:paraId="64FB5B68">
            <w:pPr>
              <w:ind w:firstLine="420"/>
              <w:jc w:val="center"/>
              <w:rPr>
                <w:rFonts w:cs="Times New Roman" w:asciiTheme="minorEastAsia" w:hAnsiTheme="minorEastAsia" w:eastAsiaTheme="minorEastAsia"/>
                <w:sz w:val="18"/>
                <w:szCs w:val="18"/>
                <w:highlight w:val="none"/>
              </w:rPr>
            </w:pPr>
          </w:p>
        </w:tc>
        <w:tc>
          <w:tcPr>
            <w:tcW w:w="3850" w:type="dxa"/>
            <w:tcMar>
              <w:left w:w="85" w:type="dxa"/>
              <w:right w:w="85" w:type="dxa"/>
            </w:tcMar>
            <w:vAlign w:val="center"/>
          </w:tcPr>
          <w:p w14:paraId="2D75E703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212AC746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a) 运维服务团队相对独立，并建立运维管理制度；</w:t>
            </w:r>
          </w:p>
          <w:p w14:paraId="6CA298B9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b) 服务目录有实施保障措施。</w:t>
            </w:r>
          </w:p>
        </w:tc>
        <w:tc>
          <w:tcPr>
            <w:tcW w:w="1843" w:type="dxa"/>
            <w:vAlign w:val="center"/>
          </w:tcPr>
          <w:p w14:paraId="41CC20C5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服务团队的独立性。</w:t>
            </w:r>
          </w:p>
        </w:tc>
        <w:tc>
          <w:tcPr>
            <w:tcW w:w="3946" w:type="dxa"/>
            <w:vAlign w:val="center"/>
          </w:tcPr>
          <w:p w14:paraId="1FEA46A6">
            <w:pPr>
              <w:spacing w:line="300" w:lineRule="exact"/>
              <w:rPr>
                <w:rFonts w:asciiTheme="minorEastAsia" w:hAnsiTheme="minorEastAsia" w:eastAsiaTheme="minorEastAsia"/>
                <w:sz w:val="18"/>
                <w:szCs w:val="18"/>
                <w:highlight w:val="none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a） 检查服务目录中服务项的交付是否有相关的管理制度；</w:t>
            </w:r>
          </w:p>
          <w:p w14:paraId="135FC95E">
            <w:pPr>
              <w:spacing w:line="300" w:lineRule="exact"/>
              <w:rPr>
                <w:rFonts w:asciiTheme="minorEastAsia" w:hAnsiTheme="minorEastAsia" w:eastAsiaTheme="minorEastAsia"/>
                <w:sz w:val="18"/>
                <w:szCs w:val="18"/>
                <w:highlight w:val="none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b）抽查组织架构和服务管理制度，通过访谈了解：服务目录中的服务项是否能够落地实施，包括组织单位、资源以及制度等。</w:t>
            </w:r>
          </w:p>
        </w:tc>
        <w:tc>
          <w:tcPr>
            <w:tcW w:w="4050" w:type="dxa"/>
          </w:tcPr>
          <w:p w14:paraId="09A737F9">
            <w:pPr>
              <w:widowControl/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访谈对象及内容: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运维部经理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崔新国</w:t>
            </w:r>
          </w:p>
          <w:p w14:paraId="3EF78B84">
            <w:pPr>
              <w:widowControl/>
              <w:ind w:firstLine="1440" w:firstLineChars="800"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质量部经理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高阳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 xml:space="preserve"> </w:t>
            </w:r>
          </w:p>
          <w:p w14:paraId="30DB7F7E">
            <w:pPr>
              <w:widowControl/>
              <w:spacing w:line="240" w:lineRule="exact"/>
              <w:jc w:val="left"/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检查的文件或记录: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CYYH-ITSS-05-01 组织架构及职责说明</w:t>
            </w:r>
          </w:p>
          <w:p w14:paraId="1948995B">
            <w:pPr>
              <w:widowControl/>
              <w:rPr>
                <w:rFonts w:cs="宋体" w:asciiTheme="minorEastAsia" w:hAnsiTheme="minorEastAsia" w:eastAsiaTheme="minorEastAsia"/>
                <w:bCs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评估情况说明:</w:t>
            </w:r>
          </w:p>
          <w:p w14:paraId="2D4B9A7A">
            <w:pPr>
              <w:widowControl/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val="en-US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公司现有员工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78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人，其中运维人员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28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人，公司运维业务涉及到的部门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val="en-US" w:eastAsia="zh-Hans"/>
              </w:rPr>
              <w:t>为：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开发部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人力行政部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运维部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、质量部、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市场商务部</w:t>
            </w:r>
          </w:p>
          <w:p w14:paraId="20A3A042">
            <w:pPr>
              <w:widowControl/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val="en-US" w:eastAsia="zh-Hans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val="en-US" w:eastAsia="zh-Hans"/>
              </w:rPr>
              <w:t>采用腾讯会议远程审核</w:t>
            </w:r>
          </w:p>
          <w:p w14:paraId="1B3FA125">
            <w:pPr>
              <w:widowControl/>
              <w:rPr>
                <w:rFonts w:cs="宋体" w:asciiTheme="minorEastAsia" w:hAnsiTheme="minorEastAsia" w:eastAsiaTheme="minorEastAsia"/>
                <w:b/>
                <w:bCs w:val="0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 w:val="0"/>
                <w:color w:val="000000"/>
                <w:kern w:val="0"/>
                <w:sz w:val="18"/>
                <w:szCs w:val="18"/>
                <w:highlight w:val="none"/>
              </w:rPr>
              <w:t>评估发现：</w:t>
            </w:r>
          </w:p>
          <w:p w14:paraId="35A936CD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■满足要求</w:t>
            </w:r>
          </w:p>
          <w:p w14:paraId="5F4E8EE1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□改进项</w:t>
            </w:r>
          </w:p>
          <w:p w14:paraId="088978BB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□一般不符合</w:t>
            </w:r>
          </w:p>
          <w:p w14:paraId="16EA409C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□严重不符合</w:t>
            </w:r>
          </w:p>
        </w:tc>
      </w:tr>
      <w:tr w14:paraId="19A215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5" w:hRule="atLeast"/>
          <w:jc w:val="center"/>
        </w:trPr>
        <w:tc>
          <w:tcPr>
            <w:tcW w:w="1275" w:type="dxa"/>
            <w:vMerge w:val="continue"/>
            <w:tcMar>
              <w:left w:w="85" w:type="dxa"/>
              <w:right w:w="85" w:type="dxa"/>
            </w:tcMar>
            <w:vAlign w:val="center"/>
          </w:tcPr>
          <w:p w14:paraId="36857516">
            <w:pPr>
              <w:ind w:firstLine="420"/>
              <w:jc w:val="center"/>
              <w:rPr>
                <w:rFonts w:cs="Times New Roman" w:asciiTheme="minorEastAsia" w:hAnsiTheme="minorEastAsia" w:eastAsiaTheme="minorEastAsia"/>
                <w:sz w:val="18"/>
                <w:szCs w:val="18"/>
                <w:highlight w:val="none"/>
              </w:rPr>
            </w:pPr>
          </w:p>
        </w:tc>
        <w:tc>
          <w:tcPr>
            <w:tcW w:w="3850" w:type="dxa"/>
            <w:tcMar>
              <w:left w:w="85" w:type="dxa"/>
              <w:right w:w="85" w:type="dxa"/>
            </w:tcMar>
            <w:vAlign w:val="center"/>
          </w:tcPr>
          <w:p w14:paraId="4CAE6D1F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493A2A48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a) 组织应对组织级运维服务能力管理进行策划，围绕人员、资源、技术和过程四要素进行考虑，形成组织级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eastAsia="zh-CN"/>
              </w:rPr>
              <w:t>CYYH-ITSS-06-02 运维服务能力规划及实施计划（2025年）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；</w:t>
            </w:r>
          </w:p>
          <w:p w14:paraId="6325ABD1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b) 组织应建立与能力策划相适应的能力指标体系；</w:t>
            </w:r>
          </w:p>
          <w:p w14:paraId="0E11A81B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c) 建立能力管理计划和能力指标体系的考核方法及考核准则。</w:t>
            </w:r>
          </w:p>
        </w:tc>
        <w:tc>
          <w:tcPr>
            <w:tcW w:w="1843" w:type="dxa"/>
            <w:vAlign w:val="center"/>
          </w:tcPr>
          <w:p w14:paraId="165981A0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 xml:space="preserve">a) 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能力管理计划的适宜性和完整性；</w:t>
            </w:r>
          </w:p>
          <w:p w14:paraId="0093A88D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b) 能力指标体系的适宜性和完整性。</w:t>
            </w:r>
          </w:p>
        </w:tc>
        <w:tc>
          <w:tcPr>
            <w:tcW w:w="3946" w:type="dxa"/>
            <w:vAlign w:val="center"/>
          </w:tcPr>
          <w:p w14:paraId="3DEDAD3B">
            <w:pPr>
              <w:spacing w:line="300" w:lineRule="exact"/>
              <w:rPr>
                <w:rFonts w:cs="宋体" w:asciiTheme="minorEastAsia" w:hAnsiTheme="minorEastAsia" w:eastAsiaTheme="minorEastAsia"/>
                <w:sz w:val="18"/>
                <w:szCs w:val="18"/>
                <w:highlight w:val="none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a） 审核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  <w:lang w:eastAsia="zh-CN"/>
              </w:rPr>
              <w:t>CYYH-ITSS-06-02 运维服务能力规划及实施计划（2025年）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（包含人员、资源、技术和过程的相关指标）；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br w:type="textWrapping"/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指标体系：组织为评估服务能力管理而定义的关键指标和度量方法；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br w:type="textWrapping"/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保障体系：包括与服务业务和服务目录相配套的资源，以及客户投诉处理、满意度调查、客户回访、备品备件管理等制度。</w:t>
            </w:r>
          </w:p>
        </w:tc>
        <w:tc>
          <w:tcPr>
            <w:tcW w:w="4050" w:type="dxa"/>
          </w:tcPr>
          <w:p w14:paraId="5749E4AC">
            <w:pPr>
              <w:widowControl/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访谈对象及内容: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运维部经理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崔新国</w:t>
            </w:r>
          </w:p>
          <w:p w14:paraId="49D1D337">
            <w:pPr>
              <w:widowControl/>
              <w:ind w:firstLine="1440" w:firstLineChars="800"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质量部经理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高阳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 xml:space="preserve">  </w:t>
            </w:r>
          </w:p>
          <w:p w14:paraId="2AC99230">
            <w:pPr>
              <w:spacing w:line="360" w:lineRule="auto"/>
              <w:jc w:val="both"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检查的文件或记录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: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CYYH-ITSS-06-02 运维服务能力规划及实施计划（2025年）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》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《CYYH-ITSS-06-04 运维服务总体要求和服务目标指标达成情况跟踪表（2025年1-9月）</w:t>
            </w:r>
            <w:bookmarkStart w:id="5" w:name="_GoBack"/>
            <w:bookmarkEnd w:id="5"/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》</w:t>
            </w:r>
          </w:p>
          <w:p w14:paraId="21FC39E3">
            <w:pPr>
              <w:spacing w:line="300" w:lineRule="exact"/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评估情况说明: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查看</w:t>
            </w:r>
            <w:r>
              <w:rPr>
                <w:rFonts w:hint="default" w:asciiTheme="minorEastAsia" w:hAnsiTheme="minorEastAsia" w:eastAsiaTheme="minorEastAsia"/>
                <w:sz w:val="18"/>
                <w:szCs w:val="18"/>
                <w:highlight w:val="none"/>
              </w:rPr>
              <w:t>《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  <w:lang w:eastAsia="zh-CN"/>
              </w:rPr>
              <w:t>CYYH-ITSS-06-02 运维服务能力规划及实施计划（2025年）</w:t>
            </w:r>
            <w:r>
              <w:rPr>
                <w:rFonts w:hint="default" w:asciiTheme="minorEastAsia" w:hAnsiTheme="minorEastAsia" w:eastAsiaTheme="minorEastAsia"/>
                <w:sz w:val="18"/>
                <w:szCs w:val="18"/>
                <w:highlight w:val="none"/>
              </w:rPr>
              <w:t>》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，包括公司运维业务发展规划、规划目标，对人员、资源、技术、过程、质量均作了详细规划。查看公司</w:t>
            </w:r>
            <w:r>
              <w:rPr>
                <w:rFonts w:hint="default" w:asciiTheme="minorEastAsia" w:hAnsiTheme="minorEastAsia" w:eastAsiaTheme="minorEastAsia"/>
                <w:sz w:val="18"/>
                <w:szCs w:val="18"/>
                <w:highlight w:val="none"/>
              </w:rPr>
              <w:t>《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  <w:lang w:eastAsia="zh-CN"/>
              </w:rPr>
              <w:t>CYYH-ITSS-06-03 运维服务总体要求和服务目标（2025年）</w:t>
            </w:r>
            <w:r>
              <w:rPr>
                <w:rFonts w:hint="default" w:asciiTheme="minorEastAsia" w:hAnsiTheme="minorEastAsia" w:eastAsiaTheme="minorEastAsia"/>
                <w:sz w:val="18"/>
                <w:szCs w:val="18"/>
                <w:highlight w:val="none"/>
              </w:rPr>
              <w:t>》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，指标能够覆盖四要素，包括了指标名称、指标计算公式、目标值、考核部门、考核周期。</w:t>
            </w:r>
          </w:p>
          <w:p w14:paraId="6B103EFB">
            <w:pPr>
              <w:spacing w:line="300" w:lineRule="exact"/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  <w:lang w:val="en-US" w:eastAsia="zh-Hans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  <w:lang w:val="en-US" w:eastAsia="zh-Hans"/>
              </w:rPr>
              <w:t>采用腾讯会议远程审核</w:t>
            </w:r>
          </w:p>
          <w:p w14:paraId="21E0E00C">
            <w:pPr>
              <w:widowControl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评估发现：</w:t>
            </w:r>
          </w:p>
          <w:p w14:paraId="515F87DA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■满足要求</w:t>
            </w:r>
          </w:p>
          <w:p w14:paraId="18B6C259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□改进项</w:t>
            </w:r>
          </w:p>
          <w:p w14:paraId="24318E9D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□一般不符合</w:t>
            </w:r>
          </w:p>
          <w:p w14:paraId="1BB3714E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□严重不符合</w:t>
            </w:r>
          </w:p>
        </w:tc>
      </w:tr>
      <w:tr w14:paraId="4F59B1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  <w:jc w:val="center"/>
        </w:trPr>
        <w:tc>
          <w:tcPr>
            <w:tcW w:w="1275" w:type="dxa"/>
            <w:vMerge w:val="continue"/>
            <w:tcMar>
              <w:left w:w="85" w:type="dxa"/>
              <w:right w:w="85" w:type="dxa"/>
            </w:tcMar>
            <w:vAlign w:val="center"/>
          </w:tcPr>
          <w:p w14:paraId="24973AFB">
            <w:pPr>
              <w:ind w:firstLine="420"/>
              <w:jc w:val="center"/>
              <w:rPr>
                <w:rFonts w:cs="Times New Roman" w:asciiTheme="minorEastAsia" w:hAnsiTheme="minorEastAsia" w:eastAsiaTheme="minorEastAsia"/>
                <w:sz w:val="18"/>
                <w:szCs w:val="18"/>
                <w:highlight w:val="none"/>
              </w:rPr>
            </w:pPr>
          </w:p>
        </w:tc>
        <w:tc>
          <w:tcPr>
            <w:tcW w:w="3850" w:type="dxa"/>
            <w:tcMar>
              <w:left w:w="85" w:type="dxa"/>
              <w:right w:w="85" w:type="dxa"/>
            </w:tcMar>
            <w:vAlign w:val="center"/>
          </w:tcPr>
          <w:p w14:paraId="10061911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080E61ED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a)建立内部审核评估机制；</w:t>
            </w:r>
          </w:p>
          <w:p w14:paraId="3BC585C3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b) 策划内部审核评估，明确审核评估团队及审核周期；</w:t>
            </w:r>
          </w:p>
          <w:p w14:paraId="74EC0DCB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c) 内部审核评估计划应覆盖运维业务相关部门及项目层。</w:t>
            </w:r>
          </w:p>
        </w:tc>
        <w:tc>
          <w:tcPr>
            <w:tcW w:w="1843" w:type="dxa"/>
            <w:vAlign w:val="center"/>
          </w:tcPr>
          <w:p w14:paraId="0284C6CE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a) 内部审核机制的制度性；</w:t>
            </w:r>
          </w:p>
          <w:p w14:paraId="6F633411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b) 内部审核评估计划的覆盖范围。</w:t>
            </w:r>
          </w:p>
        </w:tc>
        <w:tc>
          <w:tcPr>
            <w:tcW w:w="3946" w:type="dxa"/>
            <w:vAlign w:val="center"/>
          </w:tcPr>
          <w:p w14:paraId="003B6F34">
            <w:pPr>
              <w:spacing w:line="300" w:lineRule="exact"/>
              <w:rPr>
                <w:rFonts w:cs="宋体" w:asciiTheme="minorEastAsia" w:hAnsiTheme="minorEastAsia" w:eastAsiaTheme="minorEastAsia"/>
                <w:sz w:val="18"/>
                <w:szCs w:val="18"/>
                <w:highlight w:val="none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a)服务质量管理制度（包括定期服务质量评审、内部审核和服务能力改进管理制度等）；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br w:type="textWrapping"/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b)服务质量管理计划（包括年度的服务质量管理目标、主要活动和内审安排等）；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br w:type="textWrapping"/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c）需要对企业的服务质量管理机构（如）或岗位进行审核，服务质量管理可覆盖到运维业务部门及项目层。</w:t>
            </w:r>
          </w:p>
        </w:tc>
        <w:tc>
          <w:tcPr>
            <w:tcW w:w="4050" w:type="dxa"/>
          </w:tcPr>
          <w:p w14:paraId="782D8C04">
            <w:pPr>
              <w:widowControl/>
              <w:spacing w:line="240" w:lineRule="exact"/>
              <w:jc w:val="left"/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访谈对象及内容: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运维部经理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崔新国</w:t>
            </w:r>
          </w:p>
          <w:p w14:paraId="4AD70BE1">
            <w:pPr>
              <w:widowControl/>
              <w:spacing w:line="240" w:lineRule="exact"/>
              <w:ind w:firstLine="1440" w:firstLineChars="800"/>
              <w:jc w:val="left"/>
              <w:rPr>
                <w:rFonts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质量部经理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高阳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</w:t>
            </w:r>
          </w:p>
          <w:p w14:paraId="45078F1C">
            <w:pPr>
              <w:keepNext w:val="0"/>
              <w:keepLines w:val="0"/>
              <w:widowControl/>
              <w:suppressLineNumbers w:val="0"/>
              <w:jc w:val="left"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检查的文件或记录: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CYYH-ITSS-08-01运维服务质量管理制度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》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CYYH-ITSS-06-06 -2025年1-9月运维服务能力改进计划及跟踪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》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CYYH-ITSS-07-01 运维服务能力管理内审制度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》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CYYH-ITSS-08-03运维服务质量管理计划（2025年）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》</w:t>
            </w:r>
          </w:p>
          <w:p w14:paraId="038DAFAC">
            <w:pPr>
              <w:spacing w:line="300" w:lineRule="exact"/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评估情况说明: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查阅了</w:t>
            </w:r>
            <w:r>
              <w:rPr>
                <w:rFonts w:hint="default" w:asciiTheme="minorEastAsia" w:hAnsiTheme="minorEastAsia" w:eastAsiaTheme="minorEastAsia"/>
                <w:sz w:val="18"/>
                <w:szCs w:val="18"/>
                <w:highlight w:val="none"/>
              </w:rPr>
              <w:t>《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  <w:lang w:eastAsia="zh-CN"/>
              </w:rPr>
              <w:t>CYYH-ITSS-08-01运维服务质量管理制度</w:t>
            </w:r>
            <w:r>
              <w:rPr>
                <w:rFonts w:hint="default" w:asciiTheme="minorEastAsia" w:hAnsiTheme="minorEastAsia" w:eastAsiaTheme="minorEastAsia"/>
                <w:sz w:val="18"/>
                <w:szCs w:val="18"/>
                <w:highlight w:val="none"/>
              </w:rPr>
              <w:t>》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，包括过程控制要点、过程测量指标、质量目标、质量方针、质量跟踪检查和监督、持续改进。公司质量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  <w:lang w:val="en-US" w:eastAsia="zh-Hans"/>
              </w:rPr>
              <w:t>管理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由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  <w:lang w:eastAsia="zh-CN"/>
              </w:rPr>
              <w:t>质量部负责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，配备质量人员2人。查看</w:t>
            </w:r>
            <w:r>
              <w:rPr>
                <w:rFonts w:hint="default" w:asciiTheme="minorEastAsia" w:hAnsiTheme="minorEastAsia" w:eastAsiaTheme="minorEastAsia"/>
                <w:sz w:val="18"/>
                <w:szCs w:val="18"/>
                <w:highlight w:val="none"/>
              </w:rPr>
              <w:t>《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  <w:lang w:eastAsia="zh-CN"/>
              </w:rPr>
              <w:t>CYYH-ITSS-06-06 -2025年1-9月运维服务能力改进计划及跟踪</w:t>
            </w:r>
            <w:r>
              <w:rPr>
                <w:rFonts w:hint="default" w:asciiTheme="minorEastAsia" w:hAnsiTheme="minorEastAsia" w:eastAsiaTheme="minorEastAsia"/>
                <w:sz w:val="18"/>
                <w:szCs w:val="18"/>
                <w:highlight w:val="none"/>
              </w:rPr>
              <w:t>》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、《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  <w:lang w:eastAsia="zh-CN"/>
              </w:rPr>
              <w:t>CYYH-ITSS-07-01 运维服务能力管理内审制度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》。查阅了</w:t>
            </w:r>
            <w:r>
              <w:rPr>
                <w:rFonts w:hint="default" w:asciiTheme="minorEastAsia" w:hAnsiTheme="minorEastAsia" w:eastAsiaTheme="minorEastAsia"/>
                <w:sz w:val="18"/>
                <w:szCs w:val="18"/>
                <w:highlight w:val="none"/>
              </w:rPr>
              <w:t>《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  <w:lang w:eastAsia="zh-CN"/>
              </w:rPr>
              <w:t>CYYH-ITSS-08-03运维服务质量管理计划（2025年）</w:t>
            </w:r>
            <w:r>
              <w:rPr>
                <w:rFonts w:hint="default" w:asciiTheme="minorEastAsia" w:hAnsiTheme="minorEastAsia" w:eastAsiaTheme="minorEastAsia"/>
                <w:sz w:val="18"/>
                <w:szCs w:val="18"/>
                <w:highlight w:val="none"/>
              </w:rPr>
              <w:t>》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，包含了指标体系、人员组成、质量保证目标、服务过程保证与审计质量保证活动等内容。</w:t>
            </w:r>
          </w:p>
          <w:p w14:paraId="616F4921">
            <w:pPr>
              <w:spacing w:line="300" w:lineRule="exact"/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  <w:lang w:val="en-US" w:eastAsia="zh-Hans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  <w:lang w:val="en-US" w:eastAsia="zh-Hans"/>
              </w:rPr>
              <w:t>采用腾讯会议远程审核</w:t>
            </w:r>
          </w:p>
          <w:p w14:paraId="58AD1701">
            <w:pPr>
              <w:widowControl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评估发现：</w:t>
            </w:r>
          </w:p>
          <w:p w14:paraId="0A8F4038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■满足要求</w:t>
            </w:r>
          </w:p>
          <w:p w14:paraId="1F7C5C4E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□改进项</w:t>
            </w:r>
          </w:p>
          <w:p w14:paraId="4EECC4BB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□一般不符合</w:t>
            </w:r>
          </w:p>
          <w:p w14:paraId="1E89DE37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□严重不符合</w:t>
            </w:r>
          </w:p>
        </w:tc>
      </w:tr>
      <w:tr w14:paraId="0551D3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1275" w:type="dxa"/>
            <w:vMerge w:val="restart"/>
            <w:tcMar>
              <w:left w:w="85" w:type="dxa"/>
              <w:right w:w="85" w:type="dxa"/>
            </w:tcMar>
            <w:vAlign w:val="center"/>
          </w:tcPr>
          <w:p w14:paraId="6E96452A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GB/T 28827.1-2012</w:t>
            </w:r>
          </w:p>
          <w:p w14:paraId="796AC227">
            <w:pPr>
              <w:ind w:firstLine="420"/>
              <w:jc w:val="center"/>
              <w:rPr>
                <w:rFonts w:cs="Times New Roman" w:asciiTheme="minorEastAsia" w:hAnsiTheme="minorEastAsia" w:eastAsiaTheme="minorEastAsia"/>
                <w:sz w:val="18"/>
                <w:szCs w:val="18"/>
                <w:highlight w:val="none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 xml:space="preserve">5.3 </w:t>
            </w: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实施</w:t>
            </w:r>
          </w:p>
        </w:tc>
        <w:tc>
          <w:tcPr>
            <w:tcW w:w="3850" w:type="dxa"/>
            <w:tcMar>
              <w:left w:w="85" w:type="dxa"/>
              <w:right w:w="85" w:type="dxa"/>
            </w:tcMar>
            <w:vAlign w:val="center"/>
          </w:tcPr>
          <w:p w14:paraId="380F45AE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0F754CA5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) 实施计划/方案应覆盖四要素，包括具体的任务、责任人、日程安排以及预期的目标或结果；</w:t>
            </w:r>
          </w:p>
          <w:p w14:paraId="303BC72E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b) 管理实施记录以验证实施过程与实施计划的一致性。</w:t>
            </w:r>
          </w:p>
        </w:tc>
        <w:tc>
          <w:tcPr>
            <w:tcW w:w="1843" w:type="dxa"/>
            <w:vAlign w:val="center"/>
          </w:tcPr>
          <w:p w14:paraId="0C8CB6A0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实施计划的合理性；</w:t>
            </w:r>
          </w:p>
          <w:p w14:paraId="190AC8DA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</w:p>
        </w:tc>
        <w:tc>
          <w:tcPr>
            <w:tcW w:w="3946" w:type="dxa"/>
            <w:vAlign w:val="center"/>
          </w:tcPr>
          <w:p w14:paraId="043DBF94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a) 重点检查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CYYH-ITSS-06-02 运维服务能力规划及实施计划（2025年）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的实施情况，实施方案应覆盖4要素，包括：具体的任务、责任人、日程安排以及预期要达到的目标或结果；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br w:type="textWrapping"/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b) 通过同具体人员的沟通，确认计划与实施的一致性；</w:t>
            </w:r>
          </w:p>
          <w:p w14:paraId="07EC1E89">
            <w:pPr>
              <w:widowControl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c)审查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CYYH-ITSS-06-02 运维服务能力规划及实施计划（2025年）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的具体实施方案及跟踪记录；</w:t>
            </w:r>
          </w:p>
        </w:tc>
        <w:tc>
          <w:tcPr>
            <w:tcW w:w="4050" w:type="dxa"/>
          </w:tcPr>
          <w:p w14:paraId="70AECE8B">
            <w:pPr>
              <w:widowControl/>
              <w:spacing w:line="240" w:lineRule="exact"/>
              <w:jc w:val="left"/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访谈对象及内容: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运维部经理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崔新国</w:t>
            </w:r>
          </w:p>
          <w:p w14:paraId="331E5804">
            <w:pPr>
              <w:widowControl/>
              <w:spacing w:line="240" w:lineRule="exact"/>
              <w:ind w:firstLine="1440" w:firstLineChars="800"/>
              <w:jc w:val="left"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质量部经理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高阳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 xml:space="preserve"> </w:t>
            </w:r>
          </w:p>
          <w:p w14:paraId="7D3AE28A">
            <w:pPr>
              <w:widowControl/>
              <w:spacing w:line="240" w:lineRule="exact"/>
              <w:jc w:val="left"/>
              <w:rPr>
                <w:rFonts w:hint="eastAsia" w:cs="宋体" w:asciiTheme="minorEastAsia" w:hAnsiTheme="minorEastAsia" w:eastAsiaTheme="minorEastAsia"/>
                <w:bCs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检查的文件或记录:</w:t>
            </w:r>
            <w:r>
              <w:rPr>
                <w:rFonts w:hint="default" w:asciiTheme="minorEastAsia" w:hAnsiTheme="minorEastAsia" w:eastAsiaTheme="minorEastAsia"/>
                <w:sz w:val="18"/>
                <w:szCs w:val="18"/>
                <w:highlight w:val="none"/>
              </w:rPr>
              <w:t>《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  <w:lang w:eastAsia="zh-CN"/>
              </w:rPr>
              <w:t>CYYH-ITSS-06-02 运维服务能力规划及实施计划（2025年）</w:t>
            </w:r>
            <w:r>
              <w:rPr>
                <w:rFonts w:hint="default" w:asciiTheme="minorEastAsia" w:hAnsiTheme="minorEastAsia" w:eastAsiaTheme="minorEastAsia"/>
                <w:sz w:val="18"/>
                <w:szCs w:val="18"/>
                <w:highlight w:val="none"/>
              </w:rPr>
              <w:t>》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、</w:t>
            </w:r>
            <w:r>
              <w:rPr>
                <w:rFonts w:hint="default" w:asciiTheme="minorEastAsia" w:hAnsiTheme="minorEastAsia" w:eastAsiaTheme="minorEastAsia"/>
                <w:sz w:val="18"/>
                <w:szCs w:val="18"/>
                <w:highlight w:val="none"/>
              </w:rPr>
              <w:t>《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  <w:lang w:eastAsia="zh-CN"/>
              </w:rPr>
              <w:t>CYYH-ITSS-06-03 运维服务总体要求和服务目标（2025年）</w:t>
            </w:r>
            <w:r>
              <w:rPr>
                <w:rFonts w:hint="default" w:asciiTheme="minorEastAsia" w:hAnsiTheme="minorEastAsia" w:eastAsiaTheme="minorEastAsia"/>
                <w:sz w:val="18"/>
                <w:szCs w:val="18"/>
                <w:highlight w:val="none"/>
              </w:rPr>
              <w:t>》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、《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  <w:lang w:eastAsia="zh-CN"/>
              </w:rPr>
              <w:t>CYYH-ITSS-06-03 运维服务总体要求和服务目标（2025年）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》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  <w:lang w:eastAsia="zh-Hans"/>
              </w:rPr>
              <w:t>、</w:t>
            </w:r>
            <w:r>
              <w:rPr>
                <w:rFonts w:hint="default" w:asciiTheme="minorEastAsia" w:hAnsiTheme="minorEastAsia" w:eastAsiaTheme="minorEastAsia"/>
                <w:sz w:val="18"/>
                <w:szCs w:val="18"/>
                <w:highlight w:val="none"/>
              </w:rPr>
              <w:t>《CYYH-ITSS-06-05 运维服务能力总结报告（2025年1月-9月）》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、</w:t>
            </w:r>
            <w:r>
              <w:rPr>
                <w:rFonts w:hint="default" w:asciiTheme="minorEastAsia" w:hAnsiTheme="minorEastAsia" w:eastAsiaTheme="minorEastAsia"/>
                <w:sz w:val="18"/>
                <w:szCs w:val="18"/>
                <w:highlight w:val="none"/>
              </w:rPr>
              <w:t>《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  <w:lang w:eastAsia="zh-CN"/>
              </w:rPr>
              <w:t>CYYH-ITSS-09-08 人员岗位备份及储备计划（2025年）</w:t>
            </w:r>
            <w:r>
              <w:rPr>
                <w:rFonts w:hint="default" w:asciiTheme="minorEastAsia" w:hAnsiTheme="minorEastAsia" w:eastAsiaTheme="minorEastAsia"/>
                <w:sz w:val="18"/>
                <w:szCs w:val="18"/>
                <w:highlight w:val="none"/>
              </w:rPr>
              <w:t>》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、</w:t>
            </w:r>
            <w:r>
              <w:rPr>
                <w:rFonts w:hint="default" w:asciiTheme="minorEastAsia" w:hAnsiTheme="minorEastAsia" w:eastAsiaTheme="minorEastAsia"/>
                <w:sz w:val="18"/>
                <w:szCs w:val="18"/>
                <w:highlight w:val="none"/>
              </w:rPr>
              <w:t>《CYYH-ITSS-14-02 运维服务技术研发规划（2025年）》</w:t>
            </w:r>
          </w:p>
          <w:p w14:paraId="57194AB9">
            <w:pPr>
              <w:spacing w:line="300" w:lineRule="exact"/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评估情况说明: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查看</w:t>
            </w:r>
            <w:r>
              <w:rPr>
                <w:rFonts w:hint="default" w:asciiTheme="minorEastAsia" w:hAnsiTheme="minorEastAsia" w:eastAsiaTheme="minorEastAsia"/>
                <w:sz w:val="18"/>
                <w:szCs w:val="18"/>
                <w:highlight w:val="none"/>
              </w:rPr>
              <w:t>《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  <w:lang w:eastAsia="zh-CN"/>
              </w:rPr>
              <w:t>CYYH-ITSS-06-02 运维服务能力规划及实施计划（2025年）</w:t>
            </w:r>
            <w:r>
              <w:rPr>
                <w:rFonts w:hint="default" w:asciiTheme="minorEastAsia" w:hAnsiTheme="minorEastAsia" w:eastAsiaTheme="minorEastAsia"/>
                <w:sz w:val="18"/>
                <w:szCs w:val="18"/>
                <w:highlight w:val="none"/>
              </w:rPr>
              <w:t>》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覆盖四要素和PDCA的内容。</w:t>
            </w:r>
          </w:p>
          <w:p w14:paraId="100B5E23">
            <w:pPr>
              <w:spacing w:line="300" w:lineRule="exact"/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查看各部门实施计划，能够结合能力计划要求对四要素的具体实施做出安排，内容包括：工作内容、完成时间、责任人、需协调的事宜以及完成标准或输出物等。查看《CYYH-ITSS-06-05 运维服务能力总结报告（2025年1月-9月）》、《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  <w:lang w:eastAsia="zh-CN"/>
              </w:rPr>
              <w:t>CYYH-ITSS-06-04 运维服务总体要求和服务目标指标达成情况跟踪表（2025年1-9月）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》，公司按运维计划开展实施，并对服务能力管理指标达成情况进行了统计和分析。</w:t>
            </w:r>
          </w:p>
          <w:p w14:paraId="378A4E79">
            <w:pPr>
              <w:spacing w:line="300" w:lineRule="exact"/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  <w:lang w:val="en-US" w:eastAsia="zh-Hans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  <w:lang w:val="en-US" w:eastAsia="zh-Hans"/>
              </w:rPr>
              <w:t>采用腾讯会议远程审核</w:t>
            </w:r>
          </w:p>
          <w:p w14:paraId="4DE09A00">
            <w:pPr>
              <w:widowControl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评估发现：</w:t>
            </w:r>
          </w:p>
          <w:p w14:paraId="53E79D97">
            <w:pPr>
              <w:widowControl/>
              <w:rPr>
                <w:rFonts w:cs="宋体" w:asciiTheme="minorEastAsia" w:hAnsiTheme="minorEastAsia" w:eastAsiaTheme="minorEastAsia"/>
                <w:b w:val="0"/>
                <w:bCs w:val="0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000000"/>
                <w:kern w:val="0"/>
                <w:sz w:val="18"/>
                <w:szCs w:val="18"/>
                <w:highlight w:val="none"/>
              </w:rPr>
              <w:t>■满足要求</w:t>
            </w:r>
          </w:p>
          <w:p w14:paraId="5ED93790">
            <w:pPr>
              <w:widowControl/>
              <w:rPr>
                <w:rFonts w:cs="宋体" w:asciiTheme="minorEastAsia" w:hAnsiTheme="minorEastAsia" w:eastAsiaTheme="minorEastAsia"/>
                <w:b w:val="0"/>
                <w:bCs w:val="0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000000"/>
                <w:kern w:val="0"/>
                <w:sz w:val="18"/>
                <w:szCs w:val="18"/>
                <w:highlight w:val="none"/>
              </w:rPr>
              <w:t>□改进项</w:t>
            </w:r>
          </w:p>
          <w:p w14:paraId="52A0CCCA">
            <w:pPr>
              <w:widowControl/>
              <w:rPr>
                <w:rFonts w:cs="宋体" w:asciiTheme="minorEastAsia" w:hAnsiTheme="minorEastAsia" w:eastAsiaTheme="minorEastAsia"/>
                <w:b w:val="0"/>
                <w:bCs w:val="0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000000"/>
                <w:kern w:val="0"/>
                <w:sz w:val="18"/>
                <w:szCs w:val="18"/>
                <w:highlight w:val="none"/>
              </w:rPr>
              <w:t>□一般不符合</w:t>
            </w:r>
          </w:p>
          <w:p w14:paraId="224DE451">
            <w:pPr>
              <w:widowControl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000000"/>
                <w:kern w:val="0"/>
                <w:sz w:val="18"/>
                <w:szCs w:val="18"/>
                <w:highlight w:val="none"/>
              </w:rPr>
              <w:t>□严重不符合</w:t>
            </w:r>
          </w:p>
        </w:tc>
      </w:tr>
      <w:tr w14:paraId="556DC2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1275" w:type="dxa"/>
            <w:vMerge w:val="continue"/>
            <w:tcMar>
              <w:left w:w="85" w:type="dxa"/>
              <w:right w:w="85" w:type="dxa"/>
            </w:tcMar>
            <w:vAlign w:val="center"/>
          </w:tcPr>
          <w:p w14:paraId="12089576">
            <w:pPr>
              <w:ind w:firstLine="420"/>
              <w:jc w:val="center"/>
              <w:rPr>
                <w:rFonts w:cs="Times New Roman" w:asciiTheme="minorEastAsia" w:hAnsiTheme="minorEastAsia" w:eastAsiaTheme="minorEastAsia"/>
                <w:sz w:val="18"/>
                <w:szCs w:val="18"/>
                <w:highlight w:val="none"/>
              </w:rPr>
            </w:pPr>
          </w:p>
        </w:tc>
        <w:tc>
          <w:tcPr>
            <w:tcW w:w="3850" w:type="dxa"/>
            <w:tcMar>
              <w:left w:w="85" w:type="dxa"/>
              <w:right w:w="85" w:type="dxa"/>
            </w:tcMar>
            <w:vAlign w:val="center"/>
          </w:tcPr>
          <w:p w14:paraId="3DB0FB06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1B870C96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a) 识别与需方沟通的干系人；</w:t>
            </w:r>
          </w:p>
          <w:p w14:paraId="2337D5BD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b) 建立与需方有效的沟通渠道，如定期访谈、邮件等；</w:t>
            </w:r>
          </w:p>
          <w:p w14:paraId="3B21AD74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c) 建立组织级与需方的沟通制度。</w:t>
            </w:r>
          </w:p>
        </w:tc>
        <w:tc>
          <w:tcPr>
            <w:tcW w:w="1843" w:type="dxa"/>
            <w:vAlign w:val="center"/>
          </w:tcPr>
          <w:p w14:paraId="4C9C0948">
            <w:pPr>
              <w:spacing w:line="240" w:lineRule="exac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沟通协调机制的完整性、适宜性。</w:t>
            </w:r>
          </w:p>
        </w:tc>
        <w:tc>
          <w:tcPr>
            <w:tcW w:w="3946" w:type="dxa"/>
            <w:vAlign w:val="center"/>
          </w:tcPr>
          <w:p w14:paraId="266B9C1A">
            <w:pPr>
              <w:spacing w:line="300" w:lineRule="exact"/>
              <w:rPr>
                <w:rFonts w:cs="宋体" w:asciiTheme="minorEastAsia" w:hAnsiTheme="minorEastAsia" w:eastAsiaTheme="minorEastAsia"/>
                <w:sz w:val="18"/>
                <w:szCs w:val="18"/>
                <w:highlight w:val="none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a) 审查与需方有关的组织级沟通要求和沟通记录；</w:t>
            </w:r>
          </w:p>
        </w:tc>
        <w:tc>
          <w:tcPr>
            <w:tcW w:w="4050" w:type="dxa"/>
          </w:tcPr>
          <w:p w14:paraId="23E5A87C">
            <w:pPr>
              <w:widowControl/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访谈对象及内容: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运维部经理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崔新国</w:t>
            </w:r>
          </w:p>
          <w:p w14:paraId="2BD162BC">
            <w:pPr>
              <w:widowControl/>
              <w:ind w:firstLine="1440" w:firstLineChars="800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质量部经理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高阳</w:t>
            </w:r>
          </w:p>
          <w:p w14:paraId="47713C7D">
            <w:pPr>
              <w:widowControl/>
              <w:rPr>
                <w:rFonts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检查的文件或记录: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 xml:space="preserve"> 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</w:rPr>
              <w:t>《沟通汇报管理制度》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</w:rPr>
              <w:t>《客户满意度调查管理制度》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</w:rPr>
              <w:t>《客户满意度调查分析报告》</w:t>
            </w:r>
            <w:r>
              <w:rPr>
                <w:rFonts w:hint="eastAsia" w:cs="宋体" w:asciiTheme="minorEastAsia" w:hAnsiTheme="minorEastAsia" w:eastAsiaTheme="minorEastAsia"/>
                <w:bCs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《青岛北琪实业有限公司信息化应用软件联合维保项目》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《山东恒特重工有限公司应用软件维保服务项目》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沟通会议纪要</w:t>
            </w:r>
          </w:p>
          <w:p w14:paraId="6E9FB49D">
            <w:pPr>
              <w:widowControl/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评估情况说明: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val="en-US" w:eastAsia="zh-Hans"/>
              </w:rPr>
              <w:t>查看了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</w:rPr>
              <w:t>《沟通汇报管理制度》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Hans"/>
              </w:rPr>
              <w:t>。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除了调查客户满意度之外，双方主要是通过电话、现场沟通，来往邮件、会议纪要的形式进行项目交流。查看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《青岛北琪实业有限公司信息化应用软件联合维保项目》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《山东恒特重工有限公司应用软件维保服务项目》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沟通会议纪要、往来邮件、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</w:rPr>
              <w:t>《客户满意度调查分析报告》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。</w:t>
            </w:r>
          </w:p>
          <w:p w14:paraId="6664D40F">
            <w:pPr>
              <w:widowControl/>
              <w:rPr>
                <w:rFonts w:hint="eastAsia" w:ascii="宋体" w:hAnsi="宋体" w:eastAsia="宋体" w:cs="宋体"/>
                <w:kern w:val="0"/>
                <w:sz w:val="18"/>
                <w:szCs w:val="18"/>
                <w:highlight w:val="none"/>
                <w:lang w:val="en-US" w:eastAsia="zh-Hans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val="en-US" w:eastAsia="zh-Hans"/>
              </w:rPr>
              <w:t>采用腾讯会议远程审核</w:t>
            </w:r>
          </w:p>
          <w:p w14:paraId="310F4818">
            <w:pPr>
              <w:widowControl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评估发现：</w:t>
            </w:r>
          </w:p>
          <w:p w14:paraId="2903CAFB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■满足要求</w:t>
            </w:r>
          </w:p>
          <w:p w14:paraId="04054366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□改进项</w:t>
            </w:r>
          </w:p>
          <w:p w14:paraId="5BF07AF9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□一般不符合</w:t>
            </w:r>
          </w:p>
          <w:p w14:paraId="034D4528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□严重不符合</w:t>
            </w:r>
          </w:p>
        </w:tc>
      </w:tr>
      <w:tr w14:paraId="6F4DD1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1275" w:type="dxa"/>
            <w:vMerge w:val="continue"/>
            <w:tcMar>
              <w:left w:w="85" w:type="dxa"/>
              <w:right w:w="85" w:type="dxa"/>
            </w:tcMar>
            <w:vAlign w:val="center"/>
          </w:tcPr>
          <w:p w14:paraId="7EA2E080">
            <w:pPr>
              <w:ind w:firstLine="420"/>
              <w:jc w:val="center"/>
              <w:rPr>
                <w:rFonts w:cs="Times New Roman" w:asciiTheme="minorEastAsia" w:hAnsiTheme="minorEastAsia" w:eastAsiaTheme="minorEastAsia"/>
                <w:sz w:val="18"/>
                <w:szCs w:val="18"/>
                <w:highlight w:val="none"/>
              </w:rPr>
            </w:pPr>
          </w:p>
        </w:tc>
        <w:tc>
          <w:tcPr>
            <w:tcW w:w="3850" w:type="dxa"/>
            <w:tcMar>
              <w:left w:w="85" w:type="dxa"/>
              <w:right w:w="85" w:type="dxa"/>
            </w:tcMar>
            <w:vAlign w:val="center"/>
          </w:tcPr>
          <w:p w14:paraId="7BFCE11F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63FD7018">
            <w:pPr>
              <w:spacing w:line="240" w:lineRule="exac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按照服务</w:t>
            </w: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能力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管理实施</w:t>
            </w: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计划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进行实施，做好过程监督考核，重点关注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eastAsia="zh-CN"/>
              </w:rPr>
              <w:t>CYYH-ITSS-06-02 运维服务能力规划及实施计划（2025年）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落实的相关记录。</w:t>
            </w:r>
          </w:p>
        </w:tc>
        <w:tc>
          <w:tcPr>
            <w:tcW w:w="1843" w:type="dxa"/>
            <w:vAlign w:val="center"/>
          </w:tcPr>
          <w:p w14:paraId="61EEDA30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实施记录的完整性。</w:t>
            </w:r>
          </w:p>
        </w:tc>
        <w:tc>
          <w:tcPr>
            <w:tcW w:w="3946" w:type="dxa"/>
            <w:vMerge w:val="restart"/>
            <w:vAlign w:val="center"/>
          </w:tcPr>
          <w:p w14:paraId="7688B3B6">
            <w:pPr>
              <w:spacing w:line="300" w:lineRule="exact"/>
              <w:rPr>
                <w:rFonts w:cs="宋体" w:asciiTheme="minorEastAsia" w:hAnsiTheme="minorEastAsia" w:eastAsiaTheme="minorEastAsia"/>
                <w:sz w:val="18"/>
                <w:szCs w:val="18"/>
                <w:highlight w:val="none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a) 审查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  <w:lang w:eastAsia="zh-CN"/>
              </w:rPr>
              <w:t>CYYH-ITSS-06-02 运维服务能力规划及实施计划（2025年）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落实的相关记录（包括与四要素相关的报告和记录等）；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br w:type="textWrapping"/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b) 审查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  <w:lang w:eastAsia="zh-CN"/>
              </w:rPr>
              <w:t>CYYH-ITSS-06-02 运维服务能力规划及实施计划（2025年）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的实施结果或交付物的评审记录或总结报告；运维项目验收管理制度、服务质量报告（包括服务满意度报告、服务评审记录等）；</w:t>
            </w:r>
          </w:p>
        </w:tc>
        <w:tc>
          <w:tcPr>
            <w:tcW w:w="4050" w:type="dxa"/>
            <w:vMerge w:val="restart"/>
          </w:tcPr>
          <w:p w14:paraId="4A5877F7">
            <w:pPr>
              <w:widowControl/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访谈对象及内容: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运维部经理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崔新国</w:t>
            </w:r>
          </w:p>
          <w:p w14:paraId="0C0100F3">
            <w:pPr>
              <w:widowControl/>
              <w:ind w:firstLine="1440" w:firstLineChars="800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质量部经理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高阳</w:t>
            </w:r>
          </w:p>
          <w:p w14:paraId="510AB3B9">
            <w:pPr>
              <w:spacing w:line="300" w:lineRule="exact"/>
              <w:rPr>
                <w:rFonts w:ascii="宋体" w:hAnsi="宋体" w:cs="宋体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检查的文件或记录: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《青岛北琪实业有限公司信息化应用软件联合维保项目》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《山东恒特重工有限公司应用软件维保服务项目》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技术服务报告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、《</w:t>
            </w:r>
            <w:r>
              <w:rPr>
                <w:rFonts w:hint="eastAsia" w:cs="宋体" w:asciiTheme="minorEastAsia" w:hAnsiTheme="minorEastAsia" w:eastAsiaTheme="minorEastAsia"/>
                <w:bCs/>
                <w:kern w:val="0"/>
                <w:sz w:val="18"/>
                <w:szCs w:val="18"/>
                <w:highlight w:val="none"/>
              </w:rPr>
              <w:t>运维服务能力管理报告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》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eastAsia="zh-Hans"/>
              </w:rPr>
              <w:t>、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</w:rPr>
              <w:t>《客户满意度调查分析报告》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Hans"/>
              </w:rPr>
              <w:t>、《运维服务质量管理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val="en-US" w:eastAsia="zh-Hans"/>
              </w:rPr>
              <w:t>报告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Hans"/>
              </w:rPr>
              <w:t>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 xml:space="preserve"> </w:t>
            </w:r>
          </w:p>
          <w:p w14:paraId="612A5028">
            <w:pPr>
              <w:widowControl/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评估情况说明: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 xml:space="preserve"> 查看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《</w:t>
            </w:r>
            <w:r>
              <w:rPr>
                <w:rFonts w:hint="eastAsia" w:cs="宋体" w:asciiTheme="minorEastAsia" w:hAnsiTheme="minorEastAsia" w:eastAsiaTheme="minorEastAsia"/>
                <w:bCs/>
                <w:kern w:val="0"/>
                <w:sz w:val="18"/>
                <w:szCs w:val="18"/>
                <w:highlight w:val="none"/>
              </w:rPr>
              <w:t>运维服务能力管理报告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，四要素以及体系建设的实施情况，按策划要求进行了实施。检查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《青岛北琪实业有限公司信息化应用软件联合维保项目》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《山东恒特重工有限公司应用软件维保服务项目》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月度、季度运维服务报告及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</w:rPr>
              <w:t>《客户满意度调查分析报告》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，内含运维执行过程信息、运维质量问题分析、运维满意度情况、服务总结及建议等。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val="en-US" w:eastAsia="zh-Hans"/>
              </w:rPr>
              <w:t>查看了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《</w:t>
            </w:r>
            <w:r>
              <w:rPr>
                <w:rFonts w:hint="eastAsia" w:cs="宋体" w:asciiTheme="minorEastAsia" w:hAnsiTheme="minorEastAsia" w:eastAsiaTheme="minorEastAsia"/>
                <w:bCs/>
                <w:kern w:val="0"/>
                <w:sz w:val="18"/>
                <w:szCs w:val="18"/>
                <w:highlight w:val="none"/>
              </w:rPr>
              <w:t>运维服务能力管理报告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》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eastAsia="zh-Hans"/>
              </w:rPr>
              <w:t>、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Hans"/>
              </w:rPr>
              <w:t>《运维服务质量管理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val="en-US" w:eastAsia="zh-Hans"/>
              </w:rPr>
              <w:t>报告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Hans"/>
              </w:rPr>
              <w:t>》。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val="en-US" w:eastAsia="zh-Hans"/>
              </w:rPr>
              <w:t>按照计划进行了实施。</w:t>
            </w:r>
          </w:p>
          <w:p w14:paraId="416390A5">
            <w:pPr>
              <w:widowControl/>
              <w:rPr>
                <w:rFonts w:hint="eastAsia" w:ascii="宋体" w:hAnsi="宋体" w:eastAsia="宋体" w:cs="宋体"/>
                <w:kern w:val="0"/>
                <w:sz w:val="18"/>
                <w:szCs w:val="18"/>
                <w:highlight w:val="none"/>
                <w:lang w:val="en-US" w:eastAsia="zh-Hans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val="en-US" w:eastAsia="zh-Hans"/>
              </w:rPr>
              <w:t>采用腾讯会议远程审核</w:t>
            </w:r>
          </w:p>
          <w:p w14:paraId="791A7DEF">
            <w:pPr>
              <w:widowControl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评估发现：</w:t>
            </w:r>
          </w:p>
          <w:p w14:paraId="39BFAA1F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■满足要求</w:t>
            </w:r>
          </w:p>
          <w:p w14:paraId="0602F096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□改进项</w:t>
            </w:r>
          </w:p>
          <w:p w14:paraId="0BEF9FC2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□一般不符合</w:t>
            </w:r>
          </w:p>
          <w:p w14:paraId="49710B12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□严重不符合</w:t>
            </w:r>
          </w:p>
        </w:tc>
      </w:tr>
      <w:tr w14:paraId="77B37A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1275" w:type="dxa"/>
            <w:vMerge w:val="continue"/>
            <w:tcMar>
              <w:left w:w="85" w:type="dxa"/>
              <w:right w:w="85" w:type="dxa"/>
            </w:tcMar>
            <w:vAlign w:val="center"/>
          </w:tcPr>
          <w:p w14:paraId="2F89A17B">
            <w:pPr>
              <w:ind w:firstLine="420"/>
              <w:jc w:val="center"/>
              <w:rPr>
                <w:rFonts w:cs="Times New Roman" w:asciiTheme="minorEastAsia" w:hAnsiTheme="minorEastAsia" w:eastAsiaTheme="minorEastAsia"/>
                <w:sz w:val="18"/>
                <w:szCs w:val="18"/>
                <w:highlight w:val="none"/>
              </w:rPr>
            </w:pPr>
          </w:p>
        </w:tc>
        <w:tc>
          <w:tcPr>
            <w:tcW w:w="3850" w:type="dxa"/>
            <w:tcMar>
              <w:left w:w="85" w:type="dxa"/>
              <w:right w:w="85" w:type="dxa"/>
            </w:tcMar>
            <w:vAlign w:val="center"/>
          </w:tcPr>
          <w:p w14:paraId="44688207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1D181EF5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) 能力</w:t>
            </w: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管理过程中的交付物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满足</w:t>
            </w: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能力质量要求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；</w:t>
            </w:r>
          </w:p>
          <w:p w14:paraId="4A24E2EE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 xml:space="preserve">b) 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服务</w:t>
            </w: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过程中的交付物满足服务质量要求。</w:t>
            </w:r>
          </w:p>
        </w:tc>
        <w:tc>
          <w:tcPr>
            <w:tcW w:w="1843" w:type="dxa"/>
            <w:vAlign w:val="center"/>
          </w:tcPr>
          <w:p w14:paraId="2167546C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交付物的完整性和符合性。</w:t>
            </w:r>
          </w:p>
        </w:tc>
        <w:tc>
          <w:tcPr>
            <w:tcW w:w="3946" w:type="dxa"/>
            <w:vMerge w:val="continue"/>
            <w:vAlign w:val="center"/>
          </w:tcPr>
          <w:p w14:paraId="5B0919CD">
            <w:pPr>
              <w:spacing w:line="300" w:lineRule="exact"/>
              <w:rPr>
                <w:rFonts w:cs="宋体" w:asciiTheme="minorEastAsia" w:hAnsiTheme="minorEastAsia" w:eastAsiaTheme="minorEastAsia"/>
                <w:sz w:val="18"/>
                <w:szCs w:val="18"/>
                <w:highlight w:val="none"/>
              </w:rPr>
            </w:pPr>
          </w:p>
        </w:tc>
        <w:tc>
          <w:tcPr>
            <w:tcW w:w="4050" w:type="dxa"/>
            <w:vMerge w:val="continue"/>
          </w:tcPr>
          <w:p w14:paraId="590394A3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</w:p>
        </w:tc>
      </w:tr>
      <w:tr w14:paraId="255739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1275" w:type="dxa"/>
            <w:vMerge w:val="restart"/>
            <w:tcMar>
              <w:left w:w="85" w:type="dxa"/>
              <w:right w:w="85" w:type="dxa"/>
            </w:tcMar>
            <w:vAlign w:val="center"/>
          </w:tcPr>
          <w:p w14:paraId="58CE3FEC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val="zh-TW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GB/T 28827.1-2012</w:t>
            </w:r>
          </w:p>
          <w:p w14:paraId="57BAFC93">
            <w:pPr>
              <w:ind w:firstLine="420"/>
              <w:jc w:val="center"/>
              <w:rPr>
                <w:rFonts w:cs="Times New Roman" w:asciiTheme="minorEastAsia" w:hAnsiTheme="minorEastAsia" w:eastAsiaTheme="minorEastAsia"/>
                <w:sz w:val="18"/>
                <w:szCs w:val="18"/>
                <w:highlight w:val="none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 xml:space="preserve">5.4 </w:t>
            </w: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检查</w:t>
            </w:r>
          </w:p>
        </w:tc>
        <w:tc>
          <w:tcPr>
            <w:tcW w:w="3850" w:type="dxa"/>
            <w:tcMar>
              <w:left w:w="85" w:type="dxa"/>
              <w:right w:w="85" w:type="dxa"/>
            </w:tcMar>
            <w:vAlign w:val="center"/>
          </w:tcPr>
          <w:p w14:paraId="1040B7FC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3B6ABF7B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) 组织定期评审，并保存评审记录，如评审检查表、服务过程及管理体系评审记录、内审记录等；</w:t>
            </w:r>
          </w:p>
          <w:p w14:paraId="740F7D1D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b) 依据评审结果形成评审报告；</w:t>
            </w:r>
          </w:p>
          <w:p w14:paraId="28144D6F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c) 评审应覆盖全部运维服务业务。</w:t>
            </w:r>
          </w:p>
        </w:tc>
        <w:tc>
          <w:tcPr>
            <w:tcW w:w="1843" w:type="dxa"/>
            <w:vAlign w:val="center"/>
          </w:tcPr>
          <w:p w14:paraId="7B689F35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a) 评审检查表对标准条款的覆盖范围；</w:t>
            </w:r>
          </w:p>
          <w:p w14:paraId="67E63A09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b) 评审报告的完整性；</w:t>
            </w:r>
          </w:p>
          <w:p w14:paraId="69CCF631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c) 评审发现的有效</w:t>
            </w: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问题数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。</w:t>
            </w:r>
          </w:p>
        </w:tc>
        <w:tc>
          <w:tcPr>
            <w:tcW w:w="3946" w:type="dxa"/>
            <w:vAlign w:val="center"/>
          </w:tcPr>
          <w:p w14:paraId="55D3999A">
            <w:pPr>
              <w:spacing w:line="300" w:lineRule="exact"/>
              <w:rPr>
                <w:rFonts w:cs="宋体" w:asciiTheme="minorEastAsia" w:hAnsiTheme="minorEastAsia" w:eastAsiaTheme="minorEastAsia"/>
                <w:sz w:val="18"/>
                <w:szCs w:val="18"/>
                <w:highlight w:val="none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a)  审查服务能力管理的评审和内审审核控制程序（包括评审检查表、服务过程及管理体系评审记录、内审记录等）；</w:t>
            </w:r>
          </w:p>
        </w:tc>
        <w:tc>
          <w:tcPr>
            <w:tcW w:w="4050" w:type="dxa"/>
          </w:tcPr>
          <w:p w14:paraId="7B53AB40">
            <w:pPr>
              <w:widowControl/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访谈对象及内容: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运维部经理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崔新国</w:t>
            </w:r>
          </w:p>
          <w:p w14:paraId="4DEF5D76">
            <w:pPr>
              <w:widowControl/>
              <w:ind w:firstLine="1440" w:firstLineChars="800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质量部经理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高阳</w:t>
            </w:r>
          </w:p>
          <w:p w14:paraId="3C8E19FC">
            <w:pPr>
              <w:widowControl/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检</w:t>
            </w: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</w:rPr>
              <w:t>查的文件或记录:</w:t>
            </w:r>
          </w:p>
          <w:p w14:paraId="3C15F642">
            <w:pPr>
              <w:widowControl/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</w:rPr>
              <w:t>《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CYYH-ITSS-07-01 运维服务能力管理内审制度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</w:rPr>
              <w:t>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Hans"/>
              </w:rPr>
              <w:t>、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</w:rPr>
              <w:t>《管理评审制度》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《内部审核实施计划》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《内部审核检查表》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《内部审核不符合项报告》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《内部审核报告》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</w:rPr>
              <w:t>《管理评审计划》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</w:rPr>
              <w:t>《管理评审报告》</w:t>
            </w:r>
          </w:p>
          <w:p w14:paraId="106FD2ED">
            <w:pPr>
              <w:widowControl/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评估情况说明: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 xml:space="preserve"> 公司有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</w:rPr>
              <w:t>《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CYYH-ITSS-07-01 运维服务能力管理内审制度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</w:rPr>
              <w:t>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。查内部审核计划、内部审核检查表、内审报告等，公司按计划进行了内审，审核能覆盖相关条款。此次内审共发现1个一般不符合项，检查了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</w:rPr>
              <w:t>《内部审核不符合项报告》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，公司对不合格情况进行原因分析，提出纠正措施并整改，通过验证，实现持续改进。管理评审结论为该体系在组织内能够有效运行，并进行改进。</w:t>
            </w:r>
          </w:p>
          <w:p w14:paraId="51ADCD0F">
            <w:pPr>
              <w:widowControl/>
              <w:rPr>
                <w:rFonts w:hint="eastAsia" w:ascii="宋体" w:hAnsi="宋体" w:eastAsia="宋体" w:cs="宋体"/>
                <w:kern w:val="0"/>
                <w:sz w:val="18"/>
                <w:szCs w:val="18"/>
                <w:highlight w:val="none"/>
                <w:lang w:val="en-US" w:eastAsia="zh-Hans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val="en-US" w:eastAsia="zh-Hans"/>
              </w:rPr>
              <w:t>采用腾讯会议远程审核</w:t>
            </w:r>
          </w:p>
          <w:p w14:paraId="0D41CF2C">
            <w:pPr>
              <w:widowControl/>
              <w:rPr>
                <w:rFonts w:ascii="宋体" w:hAnsi="宋体" w:cs="宋体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评估发现：</w:t>
            </w:r>
          </w:p>
          <w:p w14:paraId="5E81EB3A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■满足要求</w:t>
            </w:r>
          </w:p>
          <w:p w14:paraId="43C403CA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□改进项</w:t>
            </w:r>
          </w:p>
          <w:p w14:paraId="41B764E6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□一般不符合</w:t>
            </w:r>
          </w:p>
          <w:p w14:paraId="4B418AAF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□严重不符合</w:t>
            </w:r>
          </w:p>
        </w:tc>
      </w:tr>
      <w:tr w14:paraId="76B3BD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1275" w:type="dxa"/>
            <w:vMerge w:val="continue"/>
            <w:tcMar>
              <w:left w:w="85" w:type="dxa"/>
              <w:right w:w="85" w:type="dxa"/>
            </w:tcMar>
            <w:vAlign w:val="center"/>
          </w:tcPr>
          <w:p w14:paraId="6AC87129">
            <w:pPr>
              <w:ind w:firstLine="420"/>
              <w:jc w:val="center"/>
              <w:rPr>
                <w:rFonts w:cs="Times New Roman" w:asciiTheme="minorEastAsia" w:hAnsiTheme="minorEastAsia" w:eastAsiaTheme="minorEastAsia"/>
                <w:sz w:val="18"/>
                <w:szCs w:val="18"/>
                <w:highlight w:val="none"/>
              </w:rPr>
            </w:pPr>
          </w:p>
        </w:tc>
        <w:tc>
          <w:tcPr>
            <w:tcW w:w="3850" w:type="dxa"/>
            <w:tcMar>
              <w:left w:w="85" w:type="dxa"/>
              <w:right w:w="85" w:type="dxa"/>
            </w:tcMar>
            <w:vAlign w:val="center"/>
          </w:tcPr>
          <w:p w14:paraId="60EC316D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70506BFB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) 调查需方满意度，检查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eastAsia="zh-CN"/>
              </w:rPr>
              <w:t>CYYH-ITSS-06-02 运维服务能力规划及实施计划（2025年）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的实施效果；</w:t>
            </w:r>
          </w:p>
          <w:p w14:paraId="3F35F89A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b) 制定客户客户满意度调查管理规程　；</w:t>
            </w:r>
          </w:p>
          <w:p w14:paraId="56046C9D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c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) 跟踪监督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eastAsia="zh-CN"/>
              </w:rPr>
              <w:t>CYYH-ITSS-06-02 运维服务能力规划及实施计划（2025年）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及实施计划执行情况，并保存跟踪监督记录及效果反馈；</w:t>
            </w:r>
          </w:p>
          <w:p w14:paraId="5BEDA15E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d) 满意度调查结果形成相关报告，内容应包括满意度指标、计算方法、分析结果等。</w:t>
            </w:r>
          </w:p>
        </w:tc>
        <w:tc>
          <w:tcPr>
            <w:tcW w:w="1843" w:type="dxa"/>
            <w:vAlign w:val="center"/>
          </w:tcPr>
          <w:p w14:paraId="4E83240F">
            <w:pPr>
              <w:spacing w:line="240" w:lineRule="exac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满意度调查制度的完整性、适宜性和有效性。</w:t>
            </w:r>
          </w:p>
        </w:tc>
        <w:tc>
          <w:tcPr>
            <w:tcW w:w="3946" w:type="dxa"/>
            <w:vAlign w:val="center"/>
          </w:tcPr>
          <w:p w14:paraId="2A4C5A56">
            <w:pPr>
              <w:spacing w:line="300" w:lineRule="exact"/>
              <w:rPr>
                <w:rFonts w:cs="宋体" w:asciiTheme="minorEastAsia" w:hAnsiTheme="minorEastAsia" w:eastAsiaTheme="minorEastAsia"/>
                <w:sz w:val="18"/>
                <w:szCs w:val="18"/>
                <w:highlight w:val="none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a) 审查对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  <w:lang w:eastAsia="zh-CN"/>
              </w:rPr>
              <w:t>CYYH-ITSS-06-02 运维服务能力规划及实施计划（2025年）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及实施计划执行情况的跟踪监督记录及效果反馈（前期对内部用户的满意度调查可不作为评估项）、客户满意度调查管理规程　、客户满意度报告（包括满意度指标、计算方法、分析结果）。</w:t>
            </w:r>
          </w:p>
        </w:tc>
        <w:tc>
          <w:tcPr>
            <w:tcW w:w="4050" w:type="dxa"/>
          </w:tcPr>
          <w:p w14:paraId="175DBFB0">
            <w:pPr>
              <w:widowControl/>
              <w:rPr>
                <w:rFonts w:hint="default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访谈对象及内容: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运维部经理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崔新国</w:t>
            </w:r>
            <w:r>
              <w:rPr>
                <w:rFonts w:hint="default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</w:t>
            </w:r>
          </w:p>
          <w:p w14:paraId="11F8E0D1">
            <w:pPr>
              <w:widowControl/>
              <w:ind w:firstLine="1440" w:firstLineChars="800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质量部经理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高阳</w:t>
            </w:r>
          </w:p>
          <w:p w14:paraId="452F2641">
            <w:pPr>
              <w:widowControl/>
              <w:spacing w:line="240" w:lineRule="exact"/>
              <w:jc w:val="left"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检查的文件或记录: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 xml:space="preserve"> 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</w:rPr>
              <w:t>《客户满意度调查管理制度》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</w:rPr>
              <w:t>《客户满意度调查分析报告》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、《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val="en-US" w:eastAsia="zh-Hans"/>
              </w:rPr>
              <w:t>顾客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满意度调查表》</w:t>
            </w:r>
          </w:p>
          <w:p w14:paraId="069B9A63">
            <w:pPr>
              <w:widowControl/>
              <w:spacing w:line="300" w:lineRule="exact"/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评估情况说明: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公司按照</w:t>
            </w:r>
            <w:r>
              <w:rPr>
                <w:rFonts w:hint="default" w:asciiTheme="minorEastAsia" w:hAnsiTheme="minorEastAsia" w:eastAsiaTheme="minorEastAsia"/>
                <w:sz w:val="18"/>
                <w:szCs w:val="18"/>
                <w:highlight w:val="none"/>
              </w:rPr>
              <w:t>《客户满意度调查管理制度》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要求实施了满意度调查，有《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  <w:lang w:val="en-US" w:eastAsia="zh-Hans"/>
              </w:rPr>
              <w:t>顾客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满意度调查表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  <w:lang w:eastAsia="zh-Hans"/>
              </w:rPr>
              <w:t>》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，并形成了</w:t>
            </w:r>
            <w:r>
              <w:rPr>
                <w:rFonts w:hint="default" w:asciiTheme="minorEastAsia" w:hAnsiTheme="minorEastAsia" w:eastAsiaTheme="minorEastAsia"/>
                <w:sz w:val="18"/>
                <w:szCs w:val="18"/>
                <w:highlight w:val="none"/>
              </w:rPr>
              <w:t>《客户满意度调查分析报告》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。查</w:t>
            </w:r>
            <w:r>
              <w:rPr>
                <w:rFonts w:hint="default" w:asciiTheme="minorEastAsia" w:hAnsiTheme="minorEastAsia" w:eastAsiaTheme="minorEastAsia"/>
                <w:sz w:val="18"/>
                <w:szCs w:val="18"/>
                <w:highlight w:val="none"/>
              </w:rPr>
              <w:t>《客户满意度调查分析报告》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，其中包括调查方法、客户满意度调查分析报告统计、调查情况简介、数据分析、意见建议和改进措施。</w:t>
            </w:r>
          </w:p>
          <w:p w14:paraId="1F2C9701">
            <w:pPr>
              <w:widowControl/>
              <w:spacing w:line="300" w:lineRule="exact"/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  <w:lang w:val="en-US" w:eastAsia="zh-Hans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  <w:lang w:val="en-US" w:eastAsia="zh-Hans"/>
              </w:rPr>
              <w:t>采用腾讯会议远程审核</w:t>
            </w:r>
          </w:p>
          <w:p w14:paraId="7A6F6650">
            <w:pPr>
              <w:widowControl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评估发现：</w:t>
            </w:r>
          </w:p>
          <w:p w14:paraId="5D1CA1A4">
            <w:pPr>
              <w:widowControl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■满足要求</w:t>
            </w:r>
          </w:p>
          <w:p w14:paraId="357827BB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□改进项</w:t>
            </w:r>
          </w:p>
          <w:p w14:paraId="4B662FD1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□一般不符合</w:t>
            </w:r>
          </w:p>
          <w:p w14:paraId="77E78D7D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□严重不符合</w:t>
            </w:r>
          </w:p>
        </w:tc>
      </w:tr>
      <w:tr w14:paraId="1A5BE8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1275" w:type="dxa"/>
            <w:vMerge w:val="continue"/>
            <w:tcMar>
              <w:left w:w="85" w:type="dxa"/>
              <w:right w:w="85" w:type="dxa"/>
            </w:tcMar>
            <w:vAlign w:val="center"/>
          </w:tcPr>
          <w:p w14:paraId="42087EE1">
            <w:pPr>
              <w:ind w:firstLine="420"/>
              <w:jc w:val="center"/>
              <w:rPr>
                <w:rFonts w:cs="Times New Roman" w:asciiTheme="minorEastAsia" w:hAnsiTheme="minorEastAsia" w:eastAsiaTheme="minorEastAsia"/>
                <w:sz w:val="18"/>
                <w:szCs w:val="18"/>
                <w:highlight w:val="none"/>
              </w:rPr>
            </w:pPr>
          </w:p>
        </w:tc>
        <w:tc>
          <w:tcPr>
            <w:tcW w:w="3850" w:type="dxa"/>
            <w:tcMar>
              <w:left w:w="85" w:type="dxa"/>
              <w:right w:w="85" w:type="dxa"/>
            </w:tcMar>
            <w:vAlign w:val="center"/>
          </w:tcPr>
          <w:p w14:paraId="7DD72CC5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369C3E22">
            <w:pPr>
              <w:widowControl/>
              <w:spacing w:line="240" w:lineRule="exact"/>
              <w:ind w:left="1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检查能力指标体系中相关指标的落实情况，并保存记录。</w:t>
            </w:r>
          </w:p>
        </w:tc>
        <w:tc>
          <w:tcPr>
            <w:tcW w:w="1843" w:type="dxa"/>
            <w:vAlign w:val="center"/>
          </w:tcPr>
          <w:p w14:paraId="53DD1F1D">
            <w:pPr>
              <w:spacing w:line="240" w:lineRule="exac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能力指标达成情况</w:t>
            </w:r>
          </w:p>
        </w:tc>
        <w:tc>
          <w:tcPr>
            <w:tcW w:w="3946" w:type="dxa"/>
            <w:vAlign w:val="center"/>
          </w:tcPr>
          <w:p w14:paraId="0B00FDD0">
            <w:pPr>
              <w:spacing w:line="300" w:lineRule="exact"/>
              <w:rPr>
                <w:rFonts w:asciiTheme="minorEastAsia" w:hAnsiTheme="minorEastAsia" w:eastAsiaTheme="minorEastAsia"/>
                <w:sz w:val="18"/>
                <w:szCs w:val="18"/>
                <w:highlight w:val="none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审查文档：标准条款5.2中相关指标的落实情况记录，包括“人员、资源、技术和过程的各项指标”；</w:t>
            </w:r>
          </w:p>
        </w:tc>
        <w:tc>
          <w:tcPr>
            <w:tcW w:w="4050" w:type="dxa"/>
          </w:tcPr>
          <w:p w14:paraId="49841D88">
            <w:pPr>
              <w:widowControl/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访谈对象及内容: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运维部经理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崔新国</w:t>
            </w:r>
          </w:p>
          <w:p w14:paraId="3DD99A48">
            <w:pPr>
              <w:widowControl/>
              <w:ind w:firstLine="1440" w:firstLineChars="800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质量部经理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高阳</w:t>
            </w:r>
          </w:p>
          <w:p w14:paraId="34BE1ACA">
            <w:pPr>
              <w:widowControl/>
              <w:spacing w:line="240" w:lineRule="exact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检查的文件或记录: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</w:rPr>
              <w:t>《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CYYH-ITSS-06-02 运维服务能力规划及实施计划（2025年）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</w:rPr>
              <w:t>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《运维服务能力管理报告》</w:t>
            </w:r>
            <w:r>
              <w:rPr>
                <w:rFonts w:hint="eastAsia" w:cs="宋体" w:asciiTheme="minorEastAsia" w:hAnsiTheme="minorEastAsia" w:eastAsiaTheme="minorEastAsia"/>
                <w:bCs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cs="宋体" w:asciiTheme="minorEastAsia" w:hAnsiTheme="minorEastAsia" w:eastAsiaTheme="minorEastAsia"/>
                <w:bCs/>
                <w:kern w:val="0"/>
                <w:sz w:val="18"/>
                <w:szCs w:val="18"/>
                <w:highlight w:val="none"/>
              </w:rPr>
              <w:t>《运</w:t>
            </w:r>
            <w:r>
              <w:rPr>
                <w:rFonts w:hint="eastAsia" w:cs="宋体" w:asciiTheme="minorEastAsia" w:hAnsiTheme="minorEastAsia" w:eastAsiaTheme="minorEastAsia"/>
                <w:bCs/>
                <w:kern w:val="0"/>
                <w:sz w:val="18"/>
                <w:szCs w:val="18"/>
                <w:highlight w:val="none"/>
                <w:lang w:eastAsia="zh-CN"/>
              </w:rPr>
              <w:t>CYYH-ITSS-06-03 运维服务总体要求和服务目标（2025年）</w:t>
            </w:r>
            <w:r>
              <w:rPr>
                <w:rFonts w:hint="default" w:cs="宋体" w:asciiTheme="minorEastAsia" w:hAnsiTheme="minorEastAsia" w:eastAsiaTheme="minorEastAsia"/>
                <w:bCs/>
                <w:kern w:val="0"/>
                <w:sz w:val="18"/>
                <w:szCs w:val="18"/>
                <w:highlight w:val="none"/>
              </w:rPr>
              <w:t>与跟踪》</w:t>
            </w:r>
          </w:p>
          <w:p w14:paraId="08AA5899">
            <w:pPr>
              <w:widowControl/>
              <w:spacing w:line="300" w:lineRule="exact"/>
              <w:rPr>
                <w:rFonts w:ascii="宋体" w:hAnsi="宋体" w:cs="宋体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评估情况说明: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 xml:space="preserve"> </w:t>
            </w:r>
          </w:p>
          <w:p w14:paraId="652A4199">
            <w:pP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查看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</w:rPr>
              <w:t>《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CYYH-ITSS-06-02 运维服务能力规划及实施计划（2025年）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</w:rPr>
              <w:t>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Hans"/>
              </w:rPr>
              <w:t>、</w:t>
            </w:r>
            <w:r>
              <w:rPr>
                <w:rFonts w:hint="default" w:cs="宋体" w:asciiTheme="minorEastAsia" w:hAnsiTheme="minorEastAsia" w:eastAsiaTheme="minorEastAsia"/>
                <w:bCs/>
                <w:kern w:val="0"/>
                <w:sz w:val="18"/>
                <w:szCs w:val="18"/>
                <w:highlight w:val="none"/>
              </w:rPr>
              <w:t>《运</w:t>
            </w:r>
            <w:r>
              <w:rPr>
                <w:rFonts w:hint="eastAsia" w:cs="宋体" w:asciiTheme="minorEastAsia" w:hAnsiTheme="minorEastAsia" w:eastAsiaTheme="minorEastAsia"/>
                <w:bCs/>
                <w:kern w:val="0"/>
                <w:sz w:val="18"/>
                <w:szCs w:val="18"/>
                <w:highlight w:val="none"/>
                <w:lang w:eastAsia="zh-CN"/>
              </w:rPr>
              <w:t>CYYH-ITSS-06-03 运维服务总体要求和服务目标（2025年）</w:t>
            </w:r>
            <w:r>
              <w:rPr>
                <w:rFonts w:hint="default" w:cs="宋体" w:asciiTheme="minorEastAsia" w:hAnsiTheme="minorEastAsia" w:eastAsiaTheme="minorEastAsia"/>
                <w:bCs/>
                <w:kern w:val="0"/>
                <w:sz w:val="18"/>
                <w:szCs w:val="18"/>
                <w:highlight w:val="none"/>
              </w:rPr>
              <w:t>与跟踪》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，公司按运维计划开展实施，并对服务能力管理指标达成情况进行了统计和分析。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《运维服务能力管理报告》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，对相关各指标的达成情况进行了日常监控和统计分析，有一个未达成指标，针对未达成指标进行了原因分析并制定改进措施。</w:t>
            </w:r>
          </w:p>
          <w:p w14:paraId="48120ED1">
            <w:pPr>
              <w:widowControl/>
              <w:spacing w:line="300" w:lineRule="exact"/>
              <w:rPr>
                <w:rFonts w:hint="eastAsia" w:ascii="宋体" w:hAnsi="宋体" w:eastAsia="宋体" w:cs="宋体"/>
                <w:kern w:val="0"/>
                <w:sz w:val="18"/>
                <w:szCs w:val="18"/>
                <w:highlight w:val="none"/>
                <w:lang w:val="en-US" w:eastAsia="zh-Hans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val="en-US" w:eastAsia="zh-Hans"/>
              </w:rPr>
              <w:t>采用腾讯会议远程审核</w:t>
            </w:r>
          </w:p>
          <w:p w14:paraId="6E079CF7">
            <w:pPr>
              <w:widowControl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评估发现： </w:t>
            </w:r>
          </w:p>
          <w:p w14:paraId="45B42B9A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■满足要求</w:t>
            </w:r>
          </w:p>
          <w:p w14:paraId="06C2B183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□改进项</w:t>
            </w:r>
          </w:p>
          <w:p w14:paraId="60C79241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□一般不符合</w:t>
            </w:r>
          </w:p>
          <w:p w14:paraId="2EB5B10E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□严重不符合</w:t>
            </w:r>
          </w:p>
        </w:tc>
      </w:tr>
      <w:tr w14:paraId="672F0A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1275" w:type="dxa"/>
            <w:vMerge w:val="restart"/>
            <w:tcMar>
              <w:left w:w="85" w:type="dxa"/>
              <w:right w:w="85" w:type="dxa"/>
            </w:tcMar>
            <w:vAlign w:val="center"/>
          </w:tcPr>
          <w:p w14:paraId="55263A4C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val="zh-TW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GB/T 28827.1-2012</w:t>
            </w:r>
          </w:p>
          <w:p w14:paraId="3FF67C88">
            <w:pPr>
              <w:ind w:firstLine="420"/>
              <w:jc w:val="center"/>
              <w:rPr>
                <w:rFonts w:cs="Times New Roman" w:asciiTheme="minorEastAsia" w:hAnsiTheme="minorEastAsia" w:eastAsiaTheme="minorEastAsia"/>
                <w:sz w:val="18"/>
                <w:szCs w:val="18"/>
                <w:highlight w:val="none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 xml:space="preserve">5.5 </w:t>
            </w: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改进</w:t>
            </w:r>
          </w:p>
        </w:tc>
        <w:tc>
          <w:tcPr>
            <w:tcW w:w="3850" w:type="dxa"/>
            <w:tcMar>
              <w:left w:w="85" w:type="dxa"/>
              <w:right w:w="85" w:type="dxa"/>
            </w:tcMar>
            <w:vAlign w:val="center"/>
          </w:tcPr>
          <w:p w14:paraId="36EDFA1E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62BB8383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a) 建立运维服务能力管理改进程序；</w:t>
            </w:r>
          </w:p>
          <w:p w14:paraId="6F837015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b) 运维服务能力管理改进程序至少包括改进流程、改进策略，以及对发现的问题和不符合项处理的相关制度；</w:t>
            </w:r>
          </w:p>
          <w:p w14:paraId="7DCD3FC1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 xml:space="preserve">c) 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eastAsia="zh-CN"/>
              </w:rPr>
              <w:t>CYYH-ITSS-06-02 运维服务能力规划及实施计划（2025年）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的跟踪监督应与内审和管理评审相结合。</w:t>
            </w:r>
          </w:p>
        </w:tc>
        <w:tc>
          <w:tcPr>
            <w:tcW w:w="1843" w:type="dxa"/>
            <w:vAlign w:val="center"/>
          </w:tcPr>
          <w:p w14:paraId="3BDD1040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改进机制的适宜性。</w:t>
            </w:r>
          </w:p>
        </w:tc>
        <w:tc>
          <w:tcPr>
            <w:tcW w:w="3946" w:type="dxa"/>
            <w:vAlign w:val="center"/>
          </w:tcPr>
          <w:p w14:paraId="1F3E6BA7">
            <w:pPr>
              <w:widowControl/>
              <w:spacing w:line="300" w:lineRule="exact"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a) 审查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服务能力管理改进程序（包括改进流程、改进策略等）；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br w:type="textWrapping"/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b) 审查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服务能力改进机制如何在本组织内运行。</w:t>
            </w:r>
          </w:p>
        </w:tc>
        <w:tc>
          <w:tcPr>
            <w:tcW w:w="4050" w:type="dxa"/>
          </w:tcPr>
          <w:p w14:paraId="59F544F8">
            <w:pPr>
              <w:widowControl/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访谈对象及内容: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运维部经理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崔新国</w:t>
            </w:r>
          </w:p>
          <w:p w14:paraId="2BC8695A">
            <w:pPr>
              <w:widowControl/>
              <w:ind w:firstLine="1440" w:firstLineChars="800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质量部经理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高阳</w:t>
            </w:r>
          </w:p>
          <w:p w14:paraId="47B7A3B8">
            <w:pPr>
              <w:widowControl/>
              <w:spacing w:line="240" w:lineRule="exact"/>
              <w:jc w:val="left"/>
              <w:rPr>
                <w:rFonts w:hint="eastAsia" w:ascii="宋体" w:hAnsi="宋体" w:eastAsia="宋体" w:cs="宋体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检查的文件或记录: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 xml:space="preserve"> 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CYYH-ITSS-08-01运维服务质量管理制度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CYYH-ITSS-06-06 -2025年1-9月运维服务能力改进计划及跟踪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</w:rPr>
              <w:t>《管理评审报告》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Hans"/>
              </w:rPr>
              <w:t>《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CYYH-ITSS-06-06 -2025年1-9月运维服务能力改进计划及跟踪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》</w:t>
            </w:r>
          </w:p>
          <w:p w14:paraId="6A07DC5D">
            <w:pPr>
              <w:widowControl/>
              <w:spacing w:line="240" w:lineRule="exact"/>
              <w:jc w:val="left"/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评估情况说明: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 xml:space="preserve"> 检查了公司《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CYYH-ITSS-08-01运维服务质量管理制度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CYYH-ITSS-06-06 -2025年1-9月运维服务能力改进计划及跟踪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等改进机制。检查了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</w:rPr>
              <w:t>《管理评审报告》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，公司针对体系当前的运行情况会进行综合分析并提出改进建议。针对内审及外审所发现的不符合进行原因分析并制定改进措施。</w:t>
            </w:r>
          </w:p>
          <w:p w14:paraId="26865218">
            <w:pPr>
              <w:widowControl/>
              <w:spacing w:line="240" w:lineRule="exact"/>
              <w:jc w:val="left"/>
              <w:rPr>
                <w:rFonts w:hint="eastAsia" w:ascii="宋体" w:hAnsi="宋体" w:eastAsia="宋体" w:cs="宋体"/>
                <w:kern w:val="0"/>
                <w:sz w:val="18"/>
                <w:szCs w:val="18"/>
                <w:highlight w:val="none"/>
                <w:lang w:val="en-US" w:eastAsia="zh-Hans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val="en-US" w:eastAsia="zh-Hans"/>
              </w:rPr>
              <w:t>采用腾讯会议远程审核</w:t>
            </w:r>
          </w:p>
          <w:p w14:paraId="04D6D9C5">
            <w:pPr>
              <w:widowControl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评估发现：</w:t>
            </w:r>
          </w:p>
          <w:p w14:paraId="021B4A3F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■满足要求</w:t>
            </w:r>
          </w:p>
          <w:p w14:paraId="0F71B490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□改进项</w:t>
            </w:r>
          </w:p>
          <w:p w14:paraId="3026BE33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□一般不符合</w:t>
            </w:r>
          </w:p>
          <w:p w14:paraId="5CF4F6ED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□严重不符合</w:t>
            </w:r>
          </w:p>
        </w:tc>
      </w:tr>
      <w:tr w14:paraId="108905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1275" w:type="dxa"/>
            <w:vMerge w:val="continue"/>
            <w:tcMar>
              <w:left w:w="85" w:type="dxa"/>
              <w:right w:w="85" w:type="dxa"/>
            </w:tcMar>
            <w:vAlign w:val="center"/>
          </w:tcPr>
          <w:p w14:paraId="66017C9E">
            <w:pPr>
              <w:ind w:firstLine="420"/>
              <w:jc w:val="center"/>
              <w:rPr>
                <w:rFonts w:cs="Times New Roman" w:asciiTheme="minorEastAsia" w:hAnsiTheme="minorEastAsia" w:eastAsiaTheme="minorEastAsia"/>
                <w:sz w:val="18"/>
                <w:szCs w:val="18"/>
                <w:highlight w:val="none"/>
              </w:rPr>
            </w:pPr>
          </w:p>
        </w:tc>
        <w:tc>
          <w:tcPr>
            <w:tcW w:w="3850" w:type="dxa"/>
            <w:tcMar>
              <w:left w:w="85" w:type="dxa"/>
              <w:right w:w="85" w:type="dxa"/>
            </w:tcMar>
            <w:vAlign w:val="center"/>
          </w:tcPr>
          <w:p w14:paraId="42830D86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65271130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a) 对不符合策划要求的行为进行总结分析；</w:t>
            </w:r>
          </w:p>
          <w:p w14:paraId="7B60EF61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) 对运维服务</w:t>
            </w: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能力管理实施计划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的执行有偏差的部分进行总结分析；</w:t>
            </w:r>
          </w:p>
          <w:p w14:paraId="361F51E4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c) 对不符合项进行总结分析；</w:t>
            </w:r>
          </w:p>
          <w:p w14:paraId="2FE5D080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d) 有预防与纠正措施的记录。</w:t>
            </w:r>
          </w:p>
        </w:tc>
        <w:tc>
          <w:tcPr>
            <w:tcW w:w="1843" w:type="dxa"/>
            <w:vAlign w:val="center"/>
          </w:tcPr>
          <w:p w14:paraId="14743F4D">
            <w:pPr>
              <w:spacing w:line="240" w:lineRule="exac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对不符合项总结分析的有效性</w:t>
            </w:r>
          </w:p>
        </w:tc>
        <w:tc>
          <w:tcPr>
            <w:tcW w:w="3946" w:type="dxa"/>
            <w:vAlign w:val="center"/>
          </w:tcPr>
          <w:p w14:paraId="79D9F7BD">
            <w:pPr>
              <w:widowControl/>
              <w:spacing w:line="300" w:lineRule="exact"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a) 审查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对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CYYH-ITSS-06-02 运维服务能力规划及实施计划（2025年）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及实施计划跟踪监督所发现问题的处理机制；内审及管理评审中对不符合项处理的相关制度；计划执行反馈问题的处理措施、不符合项总结分析、预防与纠正措施记录。</w:t>
            </w:r>
          </w:p>
        </w:tc>
        <w:tc>
          <w:tcPr>
            <w:tcW w:w="4050" w:type="dxa"/>
          </w:tcPr>
          <w:p w14:paraId="2EFBCE80">
            <w:pPr>
              <w:widowControl/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访谈对象及内容: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运维部经理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崔新国</w:t>
            </w:r>
          </w:p>
          <w:p w14:paraId="118548CA">
            <w:pPr>
              <w:widowControl/>
              <w:ind w:firstLine="1440" w:firstLineChars="800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质量部经理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高阳</w:t>
            </w:r>
          </w:p>
          <w:p w14:paraId="55D5957C">
            <w:pPr>
              <w:widowControl/>
              <w:spacing w:line="240" w:lineRule="exact"/>
              <w:jc w:val="left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检查的文件或记录: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 xml:space="preserve"> 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《内部审核报告》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</w:rPr>
              <w:t>《管理评审报告》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Hans"/>
              </w:rPr>
              <w:t>、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《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CYYH-ITSS-06-06 -2025年1-9月运维服务能力改进计划及跟踪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Hans"/>
              </w:rPr>
              <w:t>、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《内部审核不符合项报告》</w:t>
            </w:r>
          </w:p>
          <w:p w14:paraId="788DF5FB">
            <w:pPr>
              <w:spacing w:line="300" w:lineRule="exact"/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评估情况说明: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 xml:space="preserve"> 检查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《内部审核报告》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，审核综述中有将检查结果作为服务改进和体系改进的输入项，并提出改进建议。检查运维服务能力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</w:rPr>
              <w:t>《管理评审报告》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所提出的一般不符合项和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《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CYYH-ITSS-06-06 -2025年1-9月运维服务能力改进计划及跟踪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，公司有按照计划进行整改。</w:t>
            </w:r>
          </w:p>
          <w:p w14:paraId="440745CB">
            <w:pPr>
              <w:widowControl/>
              <w:spacing w:line="240" w:lineRule="exact"/>
              <w:jc w:val="left"/>
              <w:rPr>
                <w:rFonts w:hint="eastAsia" w:ascii="宋体" w:hAnsi="宋体" w:eastAsia="宋体" w:cs="宋体"/>
                <w:kern w:val="0"/>
                <w:sz w:val="18"/>
                <w:szCs w:val="18"/>
                <w:highlight w:val="none"/>
                <w:lang w:val="en-US" w:eastAsia="zh-Hans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val="en-US" w:eastAsia="zh-Hans"/>
              </w:rPr>
              <w:t>采用腾讯会议远程审核</w:t>
            </w:r>
          </w:p>
          <w:p w14:paraId="53AB0819">
            <w:pPr>
              <w:tabs>
                <w:tab w:val="left" w:pos="7980"/>
              </w:tabs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评估发现：</w:t>
            </w:r>
          </w:p>
          <w:p w14:paraId="4C5B8E9C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■满足要求</w:t>
            </w:r>
          </w:p>
          <w:p w14:paraId="2B6CB56F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□改进项</w:t>
            </w:r>
          </w:p>
          <w:p w14:paraId="4FAAAEAF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□一般不符合</w:t>
            </w:r>
          </w:p>
          <w:p w14:paraId="43B72B7E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□严重不符合</w:t>
            </w:r>
          </w:p>
        </w:tc>
      </w:tr>
      <w:tr w14:paraId="765D17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1275" w:type="dxa"/>
            <w:vMerge w:val="continue"/>
            <w:tcMar>
              <w:left w:w="85" w:type="dxa"/>
              <w:right w:w="85" w:type="dxa"/>
            </w:tcMar>
            <w:vAlign w:val="center"/>
          </w:tcPr>
          <w:p w14:paraId="1F068992">
            <w:pPr>
              <w:ind w:firstLine="420"/>
              <w:jc w:val="center"/>
              <w:rPr>
                <w:rFonts w:cs="Times New Roman" w:asciiTheme="minorEastAsia" w:hAnsiTheme="minorEastAsia" w:eastAsiaTheme="minorEastAsia"/>
                <w:sz w:val="18"/>
                <w:szCs w:val="18"/>
                <w:highlight w:val="none"/>
              </w:rPr>
            </w:pPr>
          </w:p>
        </w:tc>
        <w:tc>
          <w:tcPr>
            <w:tcW w:w="3850" w:type="dxa"/>
            <w:tcMar>
              <w:left w:w="85" w:type="dxa"/>
              <w:right w:w="85" w:type="dxa"/>
            </w:tcMar>
            <w:vAlign w:val="center"/>
          </w:tcPr>
          <w:p w14:paraId="08FC7F33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33A8198C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对未达成的指标进行调查分析，并形成报告或记录。</w:t>
            </w:r>
          </w:p>
        </w:tc>
        <w:tc>
          <w:tcPr>
            <w:tcW w:w="1843" w:type="dxa"/>
            <w:vAlign w:val="center"/>
          </w:tcPr>
          <w:p w14:paraId="46BF6F26">
            <w:pPr>
              <w:spacing w:line="240" w:lineRule="exac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对未达成指标分析的有效性。</w:t>
            </w:r>
          </w:p>
        </w:tc>
        <w:tc>
          <w:tcPr>
            <w:tcW w:w="3946" w:type="dxa"/>
            <w:vAlign w:val="center"/>
          </w:tcPr>
          <w:p w14:paraId="23C98567">
            <w:pPr>
              <w:widowControl/>
              <w:spacing w:line="300" w:lineRule="exact"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  <w:highlight w:val="none"/>
              </w:rPr>
              <w:t>a)审查针对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未达成的指标调查分析报告或记录；</w:t>
            </w:r>
          </w:p>
        </w:tc>
        <w:tc>
          <w:tcPr>
            <w:tcW w:w="4050" w:type="dxa"/>
          </w:tcPr>
          <w:p w14:paraId="34989447">
            <w:pPr>
              <w:widowControl/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访谈对象及内容: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运维部经理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崔新国</w:t>
            </w:r>
          </w:p>
          <w:p w14:paraId="2E4B462E">
            <w:pPr>
              <w:widowControl/>
              <w:ind w:firstLine="1440" w:firstLineChars="800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质量部经理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高阳</w:t>
            </w:r>
          </w:p>
          <w:p w14:paraId="00C704DF">
            <w:pPr>
              <w:widowControl/>
              <w:spacing w:line="300" w:lineRule="exact"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检查的文件或记录:</w:t>
            </w: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000000"/>
                <w:kern w:val="0"/>
                <w:sz w:val="18"/>
                <w:szCs w:val="18"/>
                <w:highlight w:val="none"/>
              </w:rPr>
              <w:t>《运</w:t>
            </w: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CYYH-ITSS-06-03 运维服务总体要求和服务目标（2025年）</w:t>
            </w: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000000"/>
                <w:kern w:val="0"/>
                <w:sz w:val="18"/>
                <w:szCs w:val="18"/>
                <w:highlight w:val="none"/>
              </w:rPr>
              <w:t>与跟踪》、</w:t>
            </w:r>
            <w:r>
              <w:rPr>
                <w:rFonts w:hint="default" w:ascii="宋体" w:hAnsi="宋体" w:cs="宋体"/>
                <w:b w:val="0"/>
                <w:bCs w:val="0"/>
                <w:kern w:val="0"/>
                <w:sz w:val="18"/>
                <w:szCs w:val="18"/>
                <w:highlight w:val="none"/>
                <w:lang w:eastAsia="zh-CN"/>
              </w:rPr>
              <w:t>《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 w:val="18"/>
                <w:szCs w:val="18"/>
                <w:highlight w:val="none"/>
                <w:lang w:eastAsia="zh-CN"/>
              </w:rPr>
              <w:t>CYYH-ITSS-06-06 -2025年1-9月运维服务能力改进计划及跟踪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》</w:t>
            </w:r>
          </w:p>
          <w:p w14:paraId="058A46D0">
            <w:pPr>
              <w:widowControl/>
              <w:spacing w:line="300" w:lineRule="exact"/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评估情况说明: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查阅了《运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CYYH-ITSS-06-03 运维服务总体要求和服务目标（2025年）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与跟踪》、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《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CYYH-ITSS-06-06 -2025年1-9月运维服务能力改进计划及跟踪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，经沟通确认未达成的指标均已进行了调查分析，并给出了改进措施。</w:t>
            </w:r>
          </w:p>
          <w:p w14:paraId="4DBFC5A4">
            <w:pPr>
              <w:widowControl/>
              <w:spacing w:line="300" w:lineRule="exact"/>
              <w:rPr>
                <w:rFonts w:hint="eastAsia" w:ascii="宋体" w:hAnsi="宋体" w:eastAsia="宋体" w:cs="宋体"/>
                <w:kern w:val="0"/>
                <w:sz w:val="18"/>
                <w:szCs w:val="18"/>
                <w:highlight w:val="none"/>
                <w:lang w:val="en-US" w:eastAsia="zh-Hans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val="en-US" w:eastAsia="zh-Hans"/>
              </w:rPr>
              <w:t>采用腾讯会议远程审核</w:t>
            </w:r>
          </w:p>
          <w:p w14:paraId="3ACE584E">
            <w:pPr>
              <w:widowControl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评估发现：</w:t>
            </w:r>
          </w:p>
          <w:p w14:paraId="4FC1327C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■满足要求</w:t>
            </w:r>
          </w:p>
          <w:p w14:paraId="62D87770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□改进项</w:t>
            </w:r>
          </w:p>
          <w:p w14:paraId="7897013E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□一般不符合</w:t>
            </w:r>
          </w:p>
          <w:p w14:paraId="2F3B31B8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□严重不符合</w:t>
            </w:r>
          </w:p>
        </w:tc>
      </w:tr>
      <w:tr w14:paraId="7086E0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1275" w:type="dxa"/>
            <w:vMerge w:val="continue"/>
            <w:tcMar>
              <w:left w:w="85" w:type="dxa"/>
              <w:right w:w="85" w:type="dxa"/>
            </w:tcMar>
            <w:vAlign w:val="center"/>
          </w:tcPr>
          <w:p w14:paraId="1A16E176">
            <w:pPr>
              <w:widowControl/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</w:pPr>
          </w:p>
        </w:tc>
        <w:tc>
          <w:tcPr>
            <w:tcW w:w="3850" w:type="dxa"/>
            <w:tcMar>
              <w:left w:w="85" w:type="dxa"/>
              <w:right w:w="85" w:type="dxa"/>
            </w:tcMar>
            <w:vAlign w:val="center"/>
          </w:tcPr>
          <w:p w14:paraId="4CF83E59">
            <w:pPr>
              <w:widowControl/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除达到四级要求外，还应满足以下要求：</w:t>
            </w:r>
          </w:p>
          <w:p w14:paraId="382CF1B3">
            <w:pPr>
              <w:widowControl/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a) 根据分析结果确定改进措施，制定服务能力改进计划；</w:t>
            </w:r>
          </w:p>
          <w:p w14:paraId="369A5B0B">
            <w:pPr>
              <w:widowControl/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b) 服务能力改进计划至少有能力改进项、改进目标、改进进度、责任人等；</w:t>
            </w:r>
          </w:p>
          <w:p w14:paraId="592A12BC">
            <w:pPr>
              <w:widowControl/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c) 保存运维服务能力管理改进过程相关记录，如改进实施方案、改进进展报告等。</w:t>
            </w:r>
          </w:p>
        </w:tc>
        <w:tc>
          <w:tcPr>
            <w:tcW w:w="1843" w:type="dxa"/>
            <w:vAlign w:val="center"/>
          </w:tcPr>
          <w:p w14:paraId="44BF7BBF">
            <w:pPr>
              <w:widowControl/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a) 纳入改进计划的改进机会；</w:t>
            </w:r>
          </w:p>
          <w:p w14:paraId="4DB8AC19">
            <w:pPr>
              <w:widowControl/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b) 服务能力改进计划。</w:t>
            </w:r>
          </w:p>
        </w:tc>
        <w:tc>
          <w:tcPr>
            <w:tcW w:w="3946" w:type="dxa"/>
            <w:vAlign w:val="center"/>
          </w:tcPr>
          <w:p w14:paraId="5E98670A">
            <w:pPr>
              <w:widowControl/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a) 审查服务能力改进计划或措施的相关制度及记录；</w:t>
            </w:r>
          </w:p>
        </w:tc>
        <w:tc>
          <w:tcPr>
            <w:tcW w:w="4050" w:type="dxa"/>
          </w:tcPr>
          <w:p w14:paraId="0CF422A5">
            <w:pPr>
              <w:widowControl/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  <w:lang w:eastAsia="zh-CN"/>
              </w:rPr>
              <w:t xml:space="preserve">访谈对象及内容: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运维部经理  崔新国</w:t>
            </w:r>
          </w:p>
          <w:p w14:paraId="3DD794E2">
            <w:pPr>
              <w:widowControl/>
              <w:ind w:firstLine="1440" w:firstLineChars="800"/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质量部经理  高阳</w:t>
            </w:r>
          </w:p>
          <w:p w14:paraId="554A87D0">
            <w:pPr>
              <w:widowControl/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  <w:lang w:eastAsia="zh-CN"/>
              </w:rPr>
              <w:t>检查的文件或记录: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《服务能力改进管理制度》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Hans"/>
              </w:rPr>
              <w:t>、《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CYYH-ITSS-06-06 -2025年1-9月运维服务能力改进计划及跟踪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》</w:t>
            </w:r>
          </w:p>
          <w:p w14:paraId="3006893C">
            <w:pPr>
              <w:widowControl/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  <w:lang w:eastAsia="zh-CN"/>
              </w:rPr>
              <w:t xml:space="preserve">评估情况说明: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查阅了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《服务能力改进管理制度》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，查看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《内部审核不符合项报告》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记录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Hans"/>
              </w:rPr>
              <w:t>、《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CYYH-ITSS-06-06 -2025年1-9月运维服务能力改进计划及跟踪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，确认了被审核部门的整改情况，改进制度能够在公司有效运行。</w:t>
            </w:r>
          </w:p>
          <w:p w14:paraId="5CCE9F3E">
            <w:pPr>
              <w:widowControl/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val="en-US" w:eastAsia="zh-Hans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val="en-US" w:eastAsia="zh-Hans"/>
              </w:rPr>
              <w:t>采用腾讯会议远程审核</w:t>
            </w:r>
          </w:p>
          <w:p w14:paraId="1DAEA646">
            <w:pPr>
              <w:widowControl/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评估发现：</w:t>
            </w:r>
          </w:p>
          <w:p w14:paraId="48512980">
            <w:pPr>
              <w:widowControl/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■满足要求</w:t>
            </w:r>
          </w:p>
          <w:p w14:paraId="4D1D990E">
            <w:pPr>
              <w:widowControl/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□改进项</w:t>
            </w:r>
          </w:p>
          <w:p w14:paraId="755AA7B7">
            <w:pPr>
              <w:widowControl/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□一般不符合</w:t>
            </w:r>
          </w:p>
          <w:p w14:paraId="1F49E776">
            <w:pPr>
              <w:widowControl/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□严重不符合</w:t>
            </w:r>
          </w:p>
        </w:tc>
      </w:tr>
    </w:tbl>
    <w:p w14:paraId="7347E1A0">
      <w:pPr>
        <w:widowControl/>
        <w:rPr>
          <w:rFonts w:hint="eastAsia" w:ascii="宋体" w:hAnsi="宋体" w:cs="宋体"/>
          <w:kern w:val="0"/>
          <w:sz w:val="18"/>
          <w:szCs w:val="18"/>
          <w:highlight w:val="none"/>
          <w:lang w:eastAsia="zh-CN"/>
        </w:rPr>
      </w:pPr>
      <w:bookmarkStart w:id="2" w:name="_Toc393705692"/>
    </w:p>
    <w:p w14:paraId="686A73EF">
      <w:pPr>
        <w:widowControl/>
        <w:rPr>
          <w:rFonts w:hint="eastAsia" w:ascii="宋体" w:hAnsi="宋体" w:cs="宋体"/>
          <w:kern w:val="0"/>
          <w:sz w:val="18"/>
          <w:szCs w:val="18"/>
          <w:highlight w:val="none"/>
          <w:lang w:eastAsia="zh-CN"/>
        </w:rPr>
      </w:pPr>
    </w:p>
    <w:p w14:paraId="15B4F3BD">
      <w:pPr>
        <w:widowControl/>
        <w:outlineLvl w:val="1"/>
        <w:rPr>
          <w:rFonts w:hint="eastAsia" w:ascii="宋体" w:hAnsi="宋体" w:cs="Times New Roman"/>
          <w:kern w:val="0"/>
          <w:sz w:val="18"/>
          <w:szCs w:val="18"/>
          <w:highlight w:val="none"/>
        </w:rPr>
      </w:pPr>
    </w:p>
    <w:p w14:paraId="4F74746C">
      <w:pPr>
        <w:widowControl/>
        <w:outlineLvl w:val="1"/>
        <w:rPr>
          <w:rFonts w:hint="eastAsia" w:ascii="宋体" w:hAnsi="宋体" w:cs="Times New Roman"/>
          <w:kern w:val="0"/>
          <w:sz w:val="18"/>
          <w:szCs w:val="18"/>
          <w:highlight w:val="none"/>
        </w:rPr>
      </w:pPr>
    </w:p>
    <w:p w14:paraId="17FAA360">
      <w:pPr>
        <w:widowControl/>
        <w:outlineLvl w:val="1"/>
        <w:rPr>
          <w:rFonts w:hint="eastAsia" w:ascii="宋体" w:hAnsi="宋体" w:cs="Times New Roman"/>
          <w:kern w:val="0"/>
          <w:sz w:val="18"/>
          <w:szCs w:val="18"/>
          <w:highlight w:val="none"/>
        </w:rPr>
      </w:pPr>
    </w:p>
    <w:p w14:paraId="1ACDE9AC">
      <w:pPr>
        <w:widowControl/>
        <w:outlineLvl w:val="1"/>
        <w:rPr>
          <w:rFonts w:hint="eastAsia" w:ascii="宋体" w:hAnsi="宋体" w:cs="Times New Roman"/>
          <w:kern w:val="0"/>
          <w:sz w:val="18"/>
          <w:szCs w:val="18"/>
          <w:highlight w:val="none"/>
        </w:rPr>
      </w:pPr>
    </w:p>
    <w:p w14:paraId="22E0ADA5">
      <w:pPr>
        <w:widowControl/>
        <w:outlineLvl w:val="1"/>
        <w:rPr>
          <w:rFonts w:ascii="宋体" w:hAnsi="宋体" w:cs="Times New Roman"/>
          <w:kern w:val="0"/>
          <w:sz w:val="18"/>
          <w:szCs w:val="18"/>
          <w:highlight w:val="none"/>
        </w:rPr>
      </w:pPr>
      <w:r>
        <w:rPr>
          <w:rFonts w:hint="eastAsia" w:ascii="宋体" w:hAnsi="宋体" w:cs="Times New Roman"/>
          <w:kern w:val="0"/>
          <w:sz w:val="18"/>
          <w:szCs w:val="18"/>
          <w:highlight w:val="none"/>
        </w:rPr>
        <w:t>2</w:t>
      </w:r>
      <w:r>
        <w:rPr>
          <w:rFonts w:ascii="宋体" w:hAnsi="宋体" w:cs="Times New Roman"/>
          <w:kern w:val="0"/>
          <w:sz w:val="18"/>
          <w:szCs w:val="18"/>
          <w:highlight w:val="none"/>
        </w:rPr>
        <w:t xml:space="preserve"> 人员要求</w:t>
      </w:r>
    </w:p>
    <w:tbl>
      <w:tblPr>
        <w:tblStyle w:val="85"/>
        <w:tblpPr w:leftFromText="180" w:rightFromText="180" w:vertAnchor="text" w:horzAnchor="page" w:tblpX="838" w:tblpY="457"/>
        <w:tblW w:w="154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3969"/>
        <w:gridCol w:w="1843"/>
        <w:gridCol w:w="3827"/>
        <w:gridCol w:w="4394"/>
      </w:tblGrid>
      <w:tr w14:paraId="582B0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6" w:hRule="atLeast"/>
          <w:tblHeader/>
        </w:trPr>
        <w:tc>
          <w:tcPr>
            <w:tcW w:w="1384" w:type="dxa"/>
            <w:vAlign w:val="center"/>
          </w:tcPr>
          <w:p w14:paraId="0CAA20B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</w:pPr>
            <w:r>
              <w:rPr>
                <w:rFonts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标准</w:t>
            </w: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条款号</w:t>
            </w:r>
          </w:p>
        </w:tc>
        <w:tc>
          <w:tcPr>
            <w:tcW w:w="3969" w:type="dxa"/>
            <w:vAlign w:val="center"/>
          </w:tcPr>
          <w:p w14:paraId="7F46693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</w:pPr>
            <w:r>
              <w:rPr>
                <w:rFonts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成熟度要求</w:t>
            </w:r>
          </w:p>
        </w:tc>
        <w:tc>
          <w:tcPr>
            <w:tcW w:w="1843" w:type="dxa"/>
            <w:vAlign w:val="center"/>
          </w:tcPr>
          <w:p w14:paraId="339581F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</w:pPr>
            <w:r>
              <w:rPr>
                <w:rFonts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关键指标</w:t>
            </w:r>
          </w:p>
        </w:tc>
        <w:tc>
          <w:tcPr>
            <w:tcW w:w="3827" w:type="dxa"/>
            <w:vAlign w:val="center"/>
          </w:tcPr>
          <w:p w14:paraId="13E78E3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审核要点</w:t>
            </w:r>
          </w:p>
        </w:tc>
        <w:tc>
          <w:tcPr>
            <w:tcW w:w="4394" w:type="dxa"/>
            <w:vAlign w:val="center"/>
          </w:tcPr>
          <w:p w14:paraId="4C3F5E7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评估情况说明</w:t>
            </w:r>
          </w:p>
        </w:tc>
      </w:tr>
      <w:tr w14:paraId="363CD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8" w:hRule="atLeast"/>
        </w:trPr>
        <w:tc>
          <w:tcPr>
            <w:tcW w:w="1384" w:type="dxa"/>
            <w:vMerge w:val="restart"/>
            <w:vAlign w:val="center"/>
          </w:tcPr>
          <w:p w14:paraId="5C8E9CC3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GB/T 28827.1-2012</w:t>
            </w:r>
          </w:p>
          <w:p w14:paraId="191277AA">
            <w:pPr>
              <w:widowControl/>
              <w:jc w:val="center"/>
              <w:rPr>
                <w:rFonts w:ascii="宋体" w:hAnsi="宋体" w:cs="Arial Unicode MS"/>
                <w:sz w:val="18"/>
                <w:szCs w:val="18"/>
                <w:highlight w:val="none"/>
                <w:u w:color="000000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 xml:space="preserve">6.2 </w:t>
            </w: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人员管理</w:t>
            </w:r>
          </w:p>
        </w:tc>
        <w:tc>
          <w:tcPr>
            <w:tcW w:w="3969" w:type="dxa"/>
            <w:vAlign w:val="center"/>
          </w:tcPr>
          <w:p w14:paraId="529C957F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16D53872">
            <w:pPr>
              <w:widowControl/>
              <w:numPr>
                <w:ilvl w:val="0"/>
                <w:numId w:val="33"/>
              </w:numPr>
              <w:spacing w:line="240" w:lineRule="exact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制定人员储备管理文件及相关计划、</w:t>
            </w:r>
          </w:p>
          <w:p w14:paraId="2DB86EC3">
            <w:pPr>
              <w:widowControl/>
              <w:numPr>
                <w:ilvl w:val="0"/>
                <w:numId w:val="33"/>
              </w:numPr>
              <w:spacing w:line="240" w:lineRule="exact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制定工作交接制度，并保存人员变更记录；</w:t>
            </w:r>
          </w:p>
          <w:p w14:paraId="4EB37F59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c) 人员储备机制及人员2021年人才储备计划需满足当前运维业务要求；</w:t>
            </w:r>
          </w:p>
          <w:p w14:paraId="32314818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d) 具备足够的人员，并满足当前运维业务需求。</w:t>
            </w:r>
          </w:p>
        </w:tc>
        <w:tc>
          <w:tcPr>
            <w:tcW w:w="1843" w:type="dxa"/>
            <w:vMerge w:val="restart"/>
            <w:vAlign w:val="center"/>
          </w:tcPr>
          <w:p w14:paraId="7863AEB6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a) 人员储备机制的适宜性；</w:t>
            </w:r>
          </w:p>
          <w:p w14:paraId="27FAE94A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b) 人员培训体系满足运维业务的有效性；</w:t>
            </w:r>
          </w:p>
          <w:p w14:paraId="501E4FC6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c) 人员绩效考核机制的适宜性。</w:t>
            </w:r>
          </w:p>
        </w:tc>
        <w:tc>
          <w:tcPr>
            <w:tcW w:w="3827" w:type="dxa"/>
            <w:vAlign w:val="center"/>
          </w:tcPr>
          <w:p w14:paraId="44030902">
            <w:pPr>
              <w:widowControl/>
              <w:spacing w:line="30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 xml:space="preserve">a)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审查人员储备机制及相关计划、人员变更记录；服务质量管理人员的岗位职责说明。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br w:type="textWrapping"/>
            </w: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 xml:space="preserve">b)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现场抽查：人员变更记录及工作交接制度；</w:t>
            </w:r>
          </w:p>
          <w:p w14:paraId="5DFAC677">
            <w:pPr>
              <w:widowControl/>
              <w:spacing w:line="30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 xml:space="preserve">c)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审查培训管理制度、培训需求、培训计划、培训教材、培训记录、培训成果评价。</w:t>
            </w:r>
          </w:p>
        </w:tc>
        <w:tc>
          <w:tcPr>
            <w:tcW w:w="4394" w:type="dxa"/>
          </w:tcPr>
          <w:p w14:paraId="4845DACB">
            <w:pPr>
              <w:spacing w:line="240" w:lineRule="exact"/>
              <w:rPr>
                <w:rFonts w:ascii="宋体" w:hAnsi="宋体" w:cs="宋体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</w:rPr>
              <w:t>访谈人：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人力资源部经理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王晓燕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 xml:space="preserve"> </w:t>
            </w:r>
          </w:p>
          <w:p w14:paraId="06A583EA">
            <w:pPr>
              <w:spacing w:line="240" w:lineRule="exact"/>
              <w:rPr>
                <w:rFonts w:ascii="宋体" w:hAnsi="宋体" w:cs="宋体"/>
                <w:b/>
                <w:bCs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</w:rPr>
              <w:t>查看文件：</w:t>
            </w:r>
          </w:p>
          <w:p w14:paraId="1B9C43F7">
            <w:pPr>
              <w:widowControl/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u w:color="000000"/>
                <w:lang w:eastAsia="zh-Hans"/>
              </w:rPr>
              <w:t>《招聘管理制度》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、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u w:color="000000"/>
                <w:lang w:eastAsia="zh-CN"/>
              </w:rPr>
              <w:t>《人员储备管理制度》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  <w:lang w:eastAsia="zh-Hans"/>
              </w:rPr>
              <w:t>、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u w:color="000000"/>
                <w:lang w:eastAsia="zh-Hans"/>
              </w:rPr>
              <w:t>《人员备份管理制度》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  <w:lang w:eastAsia="zh-Hans"/>
              </w:rPr>
              <w:t>、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u w:color="000000"/>
                <w:lang w:eastAsia="zh-Hans"/>
              </w:rPr>
              <w:t>《人员培训计划实施跟踪表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  <w:lang w:eastAsia="zh-Hans"/>
              </w:rPr>
              <w:t>》、《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内部人员调动表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  <w:lang w:eastAsia="zh-Hans"/>
              </w:rPr>
              <w:t>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、人员储备相关记录</w:t>
            </w:r>
          </w:p>
          <w:p w14:paraId="5C5848DB">
            <w:pPr>
              <w:spacing w:line="240" w:lineRule="exact"/>
              <w:rPr>
                <w:rFonts w:ascii="宋体" w:hAnsi="宋体" w:cs="宋体"/>
                <w:b/>
                <w:bCs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</w:rPr>
              <w:t>评估情况说明：</w:t>
            </w:r>
          </w:p>
          <w:p w14:paraId="7A21884E">
            <w:pPr>
              <w:widowControl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公司人资管理在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</w:rPr>
              <w:t>人力资源部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，人才招聘、储备管理制度明确了储备人才培养与考核机制；在能力管理实施方案中有人员招聘和储备的相关任务，制定了明确的年度运维服务招聘、储备计划；查《内部人员调动表》，岗位职责说明书中有质量专员；公司现有人员能够满足运维业务需要。</w:t>
            </w:r>
          </w:p>
          <w:p w14:paraId="7B65857E">
            <w:pPr>
              <w:widowControl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采用腾讯会议远程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  <w:lang w:val="en-US" w:eastAsia="zh-Hans"/>
              </w:rPr>
              <w:t>审核</w:t>
            </w:r>
          </w:p>
          <w:p w14:paraId="2E64251E">
            <w:pPr>
              <w:widowControl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评估发现：</w:t>
            </w:r>
          </w:p>
          <w:p w14:paraId="7DEF0FF2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■满足要求</w:t>
            </w:r>
          </w:p>
          <w:p w14:paraId="6492C12B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□改进项</w:t>
            </w:r>
          </w:p>
          <w:p w14:paraId="2D47178D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□一般不符合</w:t>
            </w:r>
          </w:p>
          <w:p w14:paraId="63E34D20">
            <w:pPr>
              <w:widowControl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□严重不符合</w:t>
            </w:r>
          </w:p>
        </w:tc>
      </w:tr>
      <w:tr w14:paraId="3CEE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9" w:hRule="atLeast"/>
        </w:trPr>
        <w:tc>
          <w:tcPr>
            <w:tcW w:w="1384" w:type="dxa"/>
            <w:vMerge w:val="continue"/>
            <w:vAlign w:val="center"/>
          </w:tcPr>
          <w:p w14:paraId="1552820A">
            <w:pPr>
              <w:ind w:firstLine="420"/>
              <w:jc w:val="center"/>
              <w:rPr>
                <w:rFonts w:ascii="宋体" w:hAnsi="宋体" w:cs="Times New Roman"/>
                <w:sz w:val="18"/>
                <w:szCs w:val="18"/>
                <w:highlight w:val="none"/>
              </w:rPr>
            </w:pPr>
          </w:p>
        </w:tc>
        <w:tc>
          <w:tcPr>
            <w:tcW w:w="3969" w:type="dxa"/>
            <w:vAlign w:val="center"/>
          </w:tcPr>
          <w:p w14:paraId="6322BDB1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1BE99575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a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) 制定培训管理制度、保存培训记录，如培训需求、培训计划、培训课程体系及教材/课件、培训实施记录、培训效果评价；</w:t>
            </w:r>
          </w:p>
          <w:p w14:paraId="69E65F40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b) 培训体系或机制与运维业务相匹配；</w:t>
            </w:r>
          </w:p>
          <w:p w14:paraId="5DA9AC81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 xml:space="preserve">c)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识别各岗位、各级别培训要求，制定培训计划，培训内容包括管理、技术、操作及综合知识等；</w:t>
            </w:r>
          </w:p>
          <w:p w14:paraId="370DBB82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d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) 建立培训绩效评价机制。</w:t>
            </w:r>
          </w:p>
          <w:p w14:paraId="42DB7CAC">
            <w:pPr>
              <w:widowControl/>
              <w:spacing w:line="240" w:lineRule="exact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</w:p>
        </w:tc>
        <w:tc>
          <w:tcPr>
            <w:tcW w:w="1843" w:type="dxa"/>
            <w:vMerge w:val="continue"/>
            <w:vAlign w:val="center"/>
          </w:tcPr>
          <w:p w14:paraId="02B81D25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</w:p>
        </w:tc>
        <w:tc>
          <w:tcPr>
            <w:tcW w:w="3827" w:type="dxa"/>
            <w:vMerge w:val="restart"/>
            <w:vAlign w:val="center"/>
          </w:tcPr>
          <w:p w14:paraId="62A42B9E">
            <w:pPr>
              <w:widowControl/>
              <w:spacing w:line="30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 xml:space="preserve">a)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审查绩效考核办法、人员绩效评价结果。</w:t>
            </w:r>
          </w:p>
          <w:p w14:paraId="3A8CF4C5">
            <w:pPr>
              <w:widowControl/>
              <w:spacing w:line="30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 xml:space="preserve">b)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审查人员储备机制及相关计划、人员变更记录；服务质量管理人员的岗位职责说明。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br w:type="textWrapping"/>
            </w: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 xml:space="preserve">c)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现场抽查：人员变更记录及工作交接制度；</w:t>
            </w:r>
          </w:p>
          <w:p w14:paraId="0DBECD39">
            <w:pPr>
              <w:widowControl/>
              <w:spacing w:line="30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 xml:space="preserve">d)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培训管理制度、培训需求、培训计划、培训教材、培训记录、培训成果评价。</w:t>
            </w:r>
          </w:p>
        </w:tc>
        <w:tc>
          <w:tcPr>
            <w:tcW w:w="4394" w:type="dxa"/>
          </w:tcPr>
          <w:p w14:paraId="2168A55F">
            <w:pPr>
              <w:spacing w:line="240" w:lineRule="exact"/>
              <w:rPr>
                <w:rFonts w:ascii="宋体" w:hAnsi="宋体" w:cs="宋体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</w:rPr>
              <w:t>访谈人：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人力资源部经理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王晓燕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 xml:space="preserve"> </w:t>
            </w:r>
          </w:p>
          <w:p w14:paraId="42259463">
            <w:pPr>
              <w:spacing w:line="240" w:lineRule="exact"/>
              <w:rPr>
                <w:rFonts w:ascii="宋体" w:hAnsi="宋体" w:cs="宋体"/>
                <w:b/>
                <w:bCs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</w:rPr>
              <w:t>查看文件：</w:t>
            </w:r>
          </w:p>
          <w:p w14:paraId="4FDF2C71">
            <w:pPr>
              <w:widowControl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《培训管理制度》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、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《运维岗位职责说明书》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、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《人员培训计划实施跟踪表》</w:t>
            </w:r>
          </w:p>
          <w:p w14:paraId="045D996A">
            <w:pPr>
              <w:spacing w:line="240" w:lineRule="exac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</w:rPr>
              <w:t>评估情况：</w:t>
            </w:r>
          </w:p>
          <w:p w14:paraId="6462E993">
            <w:pPr>
              <w:widowControl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查看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  <w:lang w:val="en-US" w:eastAsia="zh-Hans"/>
              </w:rPr>
              <w:t>了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公司《培训管理制度》、《人员培训计划实施跟踪表》，公司能够按照计划实施培训，培训记录完整。</w:t>
            </w:r>
          </w:p>
          <w:p w14:paraId="4530EF98">
            <w:pPr>
              <w:widowControl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采用腾讯会议远程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  <w:lang w:val="en-US" w:eastAsia="zh-Hans"/>
              </w:rPr>
              <w:t>审核</w:t>
            </w:r>
          </w:p>
          <w:p w14:paraId="2B2B27F9">
            <w:pPr>
              <w:widowControl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评估发现：</w:t>
            </w:r>
          </w:p>
          <w:p w14:paraId="458FF748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■满足要求</w:t>
            </w:r>
          </w:p>
          <w:p w14:paraId="50ED47C8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□改进项</w:t>
            </w:r>
          </w:p>
          <w:p w14:paraId="6EC28F27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□一般不符合</w:t>
            </w:r>
          </w:p>
          <w:p w14:paraId="4B5BF00A">
            <w:pPr>
              <w:widowControl/>
              <w:spacing w:line="240" w:lineRule="exact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□严重不符合</w:t>
            </w:r>
          </w:p>
        </w:tc>
      </w:tr>
      <w:tr w14:paraId="3BE32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2" w:hRule="atLeast"/>
        </w:trPr>
        <w:tc>
          <w:tcPr>
            <w:tcW w:w="1384" w:type="dxa"/>
            <w:vMerge w:val="continue"/>
            <w:vAlign w:val="center"/>
          </w:tcPr>
          <w:p w14:paraId="7C2C5E4B">
            <w:pPr>
              <w:ind w:firstLine="420"/>
              <w:jc w:val="center"/>
              <w:rPr>
                <w:rFonts w:ascii="宋体" w:hAnsi="宋体" w:cs="Times New Roman"/>
                <w:sz w:val="18"/>
                <w:szCs w:val="18"/>
                <w:highlight w:val="none"/>
              </w:rPr>
            </w:pPr>
          </w:p>
        </w:tc>
        <w:tc>
          <w:tcPr>
            <w:tcW w:w="3969" w:type="dxa"/>
            <w:vAlign w:val="center"/>
          </w:tcPr>
          <w:p w14:paraId="46612970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2E97CC13">
            <w:pPr>
              <w:widowControl/>
              <w:numPr>
                <w:ilvl w:val="0"/>
                <w:numId w:val="34"/>
              </w:numPr>
              <w:spacing w:line="240" w:lineRule="exact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有绩效管理办法，建立了考核体系，考核体系与运维业务相匹配；</w:t>
            </w:r>
          </w:p>
          <w:p w14:paraId="616F0D3B">
            <w:pPr>
              <w:widowControl/>
              <w:numPr>
                <w:ilvl w:val="0"/>
                <w:numId w:val="34"/>
              </w:numPr>
              <w:spacing w:line="240" w:lineRule="exact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根据不同岗位制定具体的、差异化的考核指标。</w:t>
            </w:r>
          </w:p>
        </w:tc>
        <w:tc>
          <w:tcPr>
            <w:tcW w:w="1843" w:type="dxa"/>
            <w:vMerge w:val="continue"/>
            <w:vAlign w:val="center"/>
          </w:tcPr>
          <w:p w14:paraId="65FB07C0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</w:p>
        </w:tc>
        <w:tc>
          <w:tcPr>
            <w:tcW w:w="3827" w:type="dxa"/>
            <w:vMerge w:val="continue"/>
            <w:vAlign w:val="center"/>
          </w:tcPr>
          <w:p w14:paraId="1F9E2B42">
            <w:pPr>
              <w:widowControl/>
              <w:spacing w:line="300" w:lineRule="exact"/>
              <w:rPr>
                <w:rFonts w:ascii="宋体" w:hAnsi="宋体"/>
                <w:sz w:val="18"/>
                <w:szCs w:val="18"/>
                <w:highlight w:val="none"/>
              </w:rPr>
            </w:pPr>
          </w:p>
        </w:tc>
        <w:tc>
          <w:tcPr>
            <w:tcW w:w="4394" w:type="dxa"/>
          </w:tcPr>
          <w:p w14:paraId="472B36B6">
            <w:pPr>
              <w:spacing w:line="240" w:lineRule="exact"/>
              <w:rPr>
                <w:rFonts w:hint="eastAsia" w:ascii="宋体" w:hAnsi="宋体" w:eastAsia="宋体" w:cs="宋体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</w:rPr>
              <w:t>访谈人：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人力资源部经理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王晓燕</w:t>
            </w:r>
          </w:p>
          <w:p w14:paraId="4A874039">
            <w:pPr>
              <w:spacing w:line="240" w:lineRule="exact"/>
              <w:rPr>
                <w:rFonts w:ascii="宋体" w:hAnsi="宋体" w:cs="宋体"/>
                <w:b/>
                <w:bCs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</w:rPr>
              <w:t>查看文件：</w:t>
            </w:r>
          </w:p>
          <w:p w14:paraId="218FFA34">
            <w:pPr>
              <w:widowControl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u w:color="000000"/>
                <w:lang w:eastAsia="zh-Hans"/>
              </w:rPr>
              <w:t>《运维服务员工考核管理制度》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、绩效考核指标、抽查考核记录</w:t>
            </w:r>
          </w:p>
          <w:p w14:paraId="010ED416">
            <w:pPr>
              <w:spacing w:line="240" w:lineRule="exact"/>
              <w:rPr>
                <w:rFonts w:ascii="宋体" w:hAnsi="宋体" w:cs="宋体"/>
                <w:b/>
                <w:bCs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</w:rPr>
              <w:t>评估情况：</w:t>
            </w:r>
          </w:p>
          <w:p w14:paraId="3538F498">
            <w:pPr>
              <w:widowControl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绩效考核按照管理岗、技术岗和操作岗结合公司制定的考核指标每季度进行一次考核，制定了绩效考核计划，抽查了运维项目经理、运维工程师、研发人员202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年第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季度，2022年第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季度绩效考核记录表。</w:t>
            </w:r>
          </w:p>
          <w:p w14:paraId="21A29A5C">
            <w:pPr>
              <w:widowControl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采用腾讯会议远程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  <w:lang w:val="en-US" w:eastAsia="zh-Hans"/>
              </w:rPr>
              <w:t>审核</w:t>
            </w:r>
          </w:p>
          <w:p w14:paraId="0D380D54">
            <w:pPr>
              <w:widowControl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评估发现：</w:t>
            </w:r>
          </w:p>
          <w:p w14:paraId="1E5243C4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■满足要求</w:t>
            </w:r>
          </w:p>
          <w:p w14:paraId="620939F5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□改进项</w:t>
            </w:r>
          </w:p>
          <w:p w14:paraId="3FC9D5C0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□一般不符合</w:t>
            </w:r>
          </w:p>
          <w:p w14:paraId="1ECFD266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□严重不符合</w:t>
            </w:r>
          </w:p>
        </w:tc>
      </w:tr>
      <w:tr w14:paraId="6141F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1384" w:type="dxa"/>
            <w:vAlign w:val="center"/>
          </w:tcPr>
          <w:p w14:paraId="0CF73F56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  <w:lang w:val="zh-TW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GB/T 28827.1-2012</w:t>
            </w:r>
          </w:p>
          <w:p w14:paraId="0B82CB28">
            <w:pPr>
              <w:ind w:firstLine="420"/>
              <w:jc w:val="center"/>
              <w:rPr>
                <w:rFonts w:ascii="宋体" w:hAnsi="宋体" w:cs="Times New Roman"/>
                <w:sz w:val="18"/>
                <w:szCs w:val="18"/>
                <w:highlight w:val="none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 xml:space="preserve">6.3 </w:t>
            </w: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岗位结构</w:t>
            </w:r>
          </w:p>
        </w:tc>
        <w:tc>
          <w:tcPr>
            <w:tcW w:w="3969" w:type="dxa"/>
            <w:vAlign w:val="center"/>
          </w:tcPr>
          <w:p w14:paraId="342AFA24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7A0EE33D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a) 具备完整的岗位职责说明；</w:t>
            </w:r>
          </w:p>
          <w:p w14:paraId="321F289B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b) 岗位设置和要求与业务和服务目录相匹配；</w:t>
            </w:r>
          </w:p>
          <w:p w14:paraId="11DA3396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c) 岗位职责得到有效的执行。</w:t>
            </w:r>
          </w:p>
        </w:tc>
        <w:tc>
          <w:tcPr>
            <w:tcW w:w="1843" w:type="dxa"/>
            <w:vAlign w:val="center"/>
          </w:tcPr>
          <w:p w14:paraId="33E81F3A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a) 岗位职责说明的完整性；</w:t>
            </w:r>
          </w:p>
          <w:p w14:paraId="22EDDCB9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 xml:space="preserve">b)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岗位职责执行的有效性</w:t>
            </w:r>
          </w:p>
        </w:tc>
        <w:tc>
          <w:tcPr>
            <w:tcW w:w="3827" w:type="dxa"/>
          </w:tcPr>
          <w:p w14:paraId="6BB8184E">
            <w:pPr>
              <w:spacing w:line="300" w:lineRule="exact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>a) 审查岗位职责说明书（包括运维相关部门为运维服务提供支持的管理岗，如供应商管理、服务级别管理等）、运维项目管理制度文档；</w:t>
            </w:r>
          </w:p>
          <w:p w14:paraId="454F8B98">
            <w:pPr>
              <w:spacing w:line="300" w:lineRule="exact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>b) 访谈HR负责人，了解岗位设置和人员情况；访谈IT服务负责人，了解沟通机制的落实情况、部门协调以及标准6.3. a）.3)的落实情况；</w:t>
            </w:r>
          </w:p>
          <w:p w14:paraId="11929CA8">
            <w:pPr>
              <w:spacing w:line="300" w:lineRule="exact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>c) 审核文档：岗位职责说明书、技术岗人员编制，同HR沟通岗位职责执行情况；关键岗位备份情况；</w:t>
            </w:r>
          </w:p>
          <w:p w14:paraId="0CCBA90B">
            <w:pPr>
              <w:spacing w:line="300" w:lineRule="exac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>d) 审核岗位职责说明书、操作岗人员编制、主要操作岗的操作制度和手册。</w:t>
            </w:r>
          </w:p>
        </w:tc>
        <w:tc>
          <w:tcPr>
            <w:tcW w:w="4394" w:type="dxa"/>
          </w:tcPr>
          <w:p w14:paraId="2FBAD256">
            <w:pPr>
              <w:spacing w:line="240" w:lineRule="exact"/>
              <w:rPr>
                <w:rFonts w:hint="eastAsia" w:ascii="宋体" w:hAnsi="宋体" w:eastAsia="宋体" w:cs="宋体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</w:rPr>
              <w:t>访谈人：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人力资源部经理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王晓燕</w:t>
            </w:r>
          </w:p>
          <w:p w14:paraId="081F6F08">
            <w:pPr>
              <w:spacing w:line="240" w:lineRule="exact"/>
              <w:rPr>
                <w:rFonts w:ascii="宋体" w:hAnsi="宋体" w:cs="宋体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</w:rPr>
              <w:t>查看文件：</w:t>
            </w:r>
          </w:p>
          <w:p w14:paraId="2FF37AB1">
            <w:pPr>
              <w:spacing w:line="240" w:lineRule="exac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《运维岗位职责说明书》</w:t>
            </w:r>
          </w:p>
          <w:p w14:paraId="1A08296A">
            <w:pPr>
              <w:spacing w:line="240" w:lineRule="exact"/>
              <w:rPr>
                <w:rFonts w:ascii="宋体" w:hAnsi="宋体" w:cs="宋体"/>
                <w:b/>
                <w:bCs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</w:rPr>
              <w:t>评估情况：</w:t>
            </w:r>
          </w:p>
          <w:p w14:paraId="2AC34E43">
            <w:pPr>
              <w:spacing w:line="300" w:lineRule="exact"/>
              <w:rPr>
                <w:rFonts w:hint="eastAsia" w:ascii="宋体" w:hAnsi="宋体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>公司现有运维服务相关人员</w:t>
            </w:r>
            <w:r>
              <w:rPr>
                <w:rFonts w:hint="eastAsia" w:ascii="宋体" w:hAnsi="宋体"/>
                <w:sz w:val="18"/>
                <w:szCs w:val="18"/>
                <w:highlight w:val="none"/>
                <w:lang w:val="en-US" w:eastAsia="zh-CN"/>
              </w:rPr>
              <w:t>16</w:t>
            </w: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>人，岗位职责说明中从管理岗、技术岗、操作岗三种岗位结构进行岗位划分，抽查了客户满意度调查管理</w:t>
            </w:r>
            <w:r>
              <w:rPr>
                <w:rFonts w:hint="eastAsia" w:ascii="宋体" w:hAnsi="宋体"/>
                <w:sz w:val="18"/>
                <w:szCs w:val="18"/>
                <w:highlight w:val="none"/>
                <w:lang w:eastAsia="zh-CN"/>
              </w:rPr>
              <w:t>制度</w:t>
            </w: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>。通过与人力资源负责人沟通，绩效考核周期：按季度绩效考核季度考核直接影响个人季度奖金的发放。季度考核成绩将作为年度考核的重要参考依据。技术支持部负责人具体负责绩效考核工作的落实、评定与汇总。</w:t>
            </w:r>
            <w:r>
              <w:rPr>
                <w:rFonts w:hint="eastAsia" w:ascii="宋体" w:hAnsi="宋体"/>
                <w:sz w:val="18"/>
                <w:szCs w:val="18"/>
                <w:highlight w:val="none"/>
                <w:lang w:eastAsia="zh-CN"/>
              </w:rPr>
              <w:t>并对各个部门制定</w:t>
            </w:r>
            <w:r>
              <w:rPr>
                <w:rFonts w:hint="eastAsia" w:ascii="宋体" w:hAnsi="宋体"/>
                <w:sz w:val="18"/>
                <w:szCs w:val="18"/>
                <w:highlight w:val="none"/>
                <w:lang w:val="en-US" w:eastAsia="zh-Hans"/>
              </w:rPr>
              <w:t>了考核</w:t>
            </w:r>
            <w:r>
              <w:rPr>
                <w:rFonts w:hint="eastAsia" w:ascii="宋体" w:hAnsi="宋体"/>
                <w:sz w:val="18"/>
                <w:szCs w:val="18"/>
                <w:highlight w:val="none"/>
                <w:lang w:eastAsia="zh-CN"/>
              </w:rPr>
              <w:t>标准。</w:t>
            </w:r>
          </w:p>
          <w:p w14:paraId="0EF428B5">
            <w:pPr>
              <w:spacing w:line="300" w:lineRule="exact"/>
              <w:rPr>
                <w:rFonts w:hint="eastAsia" w:ascii="宋体" w:hAnsi="宋体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>采用腾讯会议远程</w:t>
            </w:r>
            <w:r>
              <w:rPr>
                <w:rFonts w:hint="eastAsia" w:ascii="宋体" w:hAnsi="宋体"/>
                <w:sz w:val="18"/>
                <w:szCs w:val="18"/>
                <w:highlight w:val="none"/>
                <w:lang w:val="en-US" w:eastAsia="zh-Hans"/>
              </w:rPr>
              <w:t>审核</w:t>
            </w:r>
          </w:p>
          <w:p w14:paraId="0EC62E77">
            <w:pPr>
              <w:widowControl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评估发现：</w:t>
            </w:r>
          </w:p>
          <w:p w14:paraId="6A3ED4DE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■满足要求</w:t>
            </w:r>
          </w:p>
          <w:p w14:paraId="7644959C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□改进项</w:t>
            </w:r>
          </w:p>
          <w:p w14:paraId="3072972B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□一般不符合</w:t>
            </w:r>
          </w:p>
          <w:p w14:paraId="2FAE1FFB">
            <w:pPr>
              <w:widowControl/>
              <w:spacing w:line="240" w:lineRule="exact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□严重不符合</w:t>
            </w:r>
          </w:p>
        </w:tc>
      </w:tr>
      <w:tr w14:paraId="276C7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5" w:hRule="atLeast"/>
        </w:trPr>
        <w:tc>
          <w:tcPr>
            <w:tcW w:w="1384" w:type="dxa"/>
            <w:vAlign w:val="center"/>
          </w:tcPr>
          <w:p w14:paraId="28AE3095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  <w:lang w:val="zh-TW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GB/T 28827.1-2012</w:t>
            </w:r>
          </w:p>
          <w:p w14:paraId="1905FDE6">
            <w:pPr>
              <w:ind w:firstLine="420"/>
              <w:jc w:val="center"/>
              <w:rPr>
                <w:rFonts w:ascii="宋体" w:hAnsi="宋体" w:cs="Times New Roman"/>
                <w:sz w:val="18"/>
                <w:szCs w:val="18"/>
                <w:highlight w:val="none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 xml:space="preserve">6.4 </w:t>
            </w: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知识</w:t>
            </w:r>
          </w:p>
        </w:tc>
        <w:tc>
          <w:tcPr>
            <w:tcW w:w="3969" w:type="dxa"/>
            <w:vAlign w:val="center"/>
          </w:tcPr>
          <w:p w14:paraId="5B1097FB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6D4667E9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a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) 建立运维相关的知识体系或培训课程体系，包括运维基础、针对运维对象的专业知识与行业知识；</w:t>
            </w:r>
          </w:p>
          <w:p w14:paraId="29C0A309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b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) 知识体系应对不同类别和级别的岗位提出相应的知识要求。</w:t>
            </w:r>
          </w:p>
        </w:tc>
        <w:tc>
          <w:tcPr>
            <w:tcW w:w="1843" w:type="dxa"/>
            <w:vAlign w:val="center"/>
          </w:tcPr>
          <w:p w14:paraId="67CCD6DB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 xml:space="preserve">a)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掌握相关知识的证明文件或专业认证证书；</w:t>
            </w:r>
          </w:p>
          <w:p w14:paraId="244F5F96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；</w:t>
            </w:r>
          </w:p>
          <w:p w14:paraId="305F1EF5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 xml:space="preserve">b)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符合要求的人员数量及比例。</w:t>
            </w:r>
          </w:p>
        </w:tc>
        <w:tc>
          <w:tcPr>
            <w:tcW w:w="3827" w:type="dxa"/>
          </w:tcPr>
          <w:p w14:paraId="241FCEB8">
            <w:pPr>
              <w:spacing w:line="300" w:lineRule="exact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>a) 审查运维相关的知识体系或培训课程体系，包括运维基础、针对运维对象的专业知识与行业知识；组织级及部门级培训计划所包含的运维课程及培训记录。</w:t>
            </w:r>
          </w:p>
        </w:tc>
        <w:tc>
          <w:tcPr>
            <w:tcW w:w="4394" w:type="dxa"/>
          </w:tcPr>
          <w:p w14:paraId="07143212">
            <w:pPr>
              <w:spacing w:line="240" w:lineRule="exact"/>
              <w:rPr>
                <w:rFonts w:hint="eastAsia" w:ascii="宋体" w:hAnsi="宋体" w:eastAsia="宋体" w:cs="宋体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</w:rPr>
              <w:t>访谈人：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人力资源部经理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王晓燕</w:t>
            </w:r>
          </w:p>
          <w:p w14:paraId="2D906A99">
            <w:pPr>
              <w:widowControl/>
              <w:spacing w:line="240" w:lineRule="exact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</w:rPr>
              <w:t>查看文件：</w:t>
            </w:r>
          </w:p>
          <w:p w14:paraId="636AC717">
            <w:pPr>
              <w:widowControl/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《人员培训计划实施跟踪表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》、培训相关记录</w:t>
            </w:r>
          </w:p>
          <w:p w14:paraId="2582AE02">
            <w:pPr>
              <w:widowControl/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</w:rPr>
              <w:t>评估情况：</w:t>
            </w:r>
          </w:p>
          <w:p w14:paraId="077112D9">
            <w:pPr>
              <w:widowControl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公司在职务说明书中对不同岗位的运维人员提出了明确的知识要求，能够按照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《人员培训计划实施跟踪表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》对运维人员实施培训，培训涉及素质类、专业知识和技术培训，抽查了培训记录。</w:t>
            </w:r>
          </w:p>
          <w:p w14:paraId="7B3A39AC">
            <w:pPr>
              <w:widowControl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采用腾讯会议远程审核</w:t>
            </w:r>
          </w:p>
          <w:p w14:paraId="2860ACFF">
            <w:pPr>
              <w:widowControl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评估发现：</w:t>
            </w:r>
          </w:p>
          <w:p w14:paraId="2DB121F8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■满足要求</w:t>
            </w:r>
          </w:p>
          <w:p w14:paraId="32FA59B8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□改进项</w:t>
            </w:r>
          </w:p>
          <w:p w14:paraId="2098C9AD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□一般不符合</w:t>
            </w:r>
          </w:p>
          <w:p w14:paraId="1214A875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□严重不符合</w:t>
            </w:r>
          </w:p>
        </w:tc>
      </w:tr>
      <w:tr w14:paraId="526A4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9" w:hRule="atLeast"/>
        </w:trPr>
        <w:tc>
          <w:tcPr>
            <w:tcW w:w="1384" w:type="dxa"/>
            <w:vAlign w:val="center"/>
          </w:tcPr>
          <w:p w14:paraId="674576AD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  <w:lang w:val="zh-TW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GB/T 28827.1-2012</w:t>
            </w:r>
          </w:p>
          <w:p w14:paraId="5EA4CED7">
            <w:pPr>
              <w:ind w:firstLine="420"/>
              <w:jc w:val="center"/>
              <w:rPr>
                <w:rFonts w:ascii="宋体" w:hAnsi="宋体" w:cs="Times New Roman"/>
                <w:sz w:val="18"/>
                <w:szCs w:val="18"/>
                <w:highlight w:val="none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 xml:space="preserve">6.5 </w:t>
            </w: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技能</w:t>
            </w:r>
          </w:p>
        </w:tc>
        <w:tc>
          <w:tcPr>
            <w:tcW w:w="3969" w:type="dxa"/>
            <w:vAlign w:val="center"/>
          </w:tcPr>
          <w:p w14:paraId="78DCD509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112A5C83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a) 制定运维人员技能级别制度，保存从业资格证书；</w:t>
            </w:r>
          </w:p>
          <w:p w14:paraId="79E99506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b) 人员技能与服务目录匹配；</w:t>
            </w:r>
          </w:p>
          <w:p w14:paraId="24B5C6DC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c) 建立人员技能评价体系，人员技能与岗位要求匹配，保存技能评价记录；。</w:t>
            </w:r>
          </w:p>
        </w:tc>
        <w:tc>
          <w:tcPr>
            <w:tcW w:w="1843" w:type="dxa"/>
            <w:vAlign w:val="center"/>
          </w:tcPr>
          <w:p w14:paraId="6D617F1E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a)运行维护服务人员技能评价体系的适宜性；</w:t>
            </w:r>
          </w:p>
          <w:p w14:paraId="3D651C08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b) 具备相关行业、专业资格人员的数量。</w:t>
            </w:r>
          </w:p>
        </w:tc>
        <w:tc>
          <w:tcPr>
            <w:tcW w:w="3827" w:type="dxa"/>
          </w:tcPr>
          <w:p w14:paraId="70D23D13">
            <w:pPr>
              <w:spacing w:line="300" w:lineRule="exact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>a) 审查运维人员能力级别制度、从业资格证书（例如ITSS资质证书）、人员技能评价体系、技能评价记录；</w:t>
            </w:r>
          </w:p>
          <w:p w14:paraId="2DC215D3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>b) 向企业HR了解运维人员能力级别的评定和职业发展情况 。</w:t>
            </w:r>
          </w:p>
        </w:tc>
        <w:tc>
          <w:tcPr>
            <w:tcW w:w="4394" w:type="dxa"/>
          </w:tcPr>
          <w:p w14:paraId="6FFEB1E4">
            <w:pPr>
              <w:spacing w:line="240" w:lineRule="exact"/>
              <w:rPr>
                <w:rFonts w:hint="eastAsia" w:ascii="宋体" w:hAnsi="宋体" w:eastAsia="宋体" w:cs="宋体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</w:rPr>
              <w:t>访谈人：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人力资源部经理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王晓燕</w:t>
            </w:r>
          </w:p>
          <w:p w14:paraId="4907775B">
            <w:pPr>
              <w:widowControl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</w:rPr>
              <w:t>查看文件：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《运维岗位职责说明书》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、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  <w:lang w:eastAsia="zh-Hans"/>
              </w:rPr>
              <w:t>《运维服务员工考核管理制度》</w:t>
            </w:r>
          </w:p>
          <w:p w14:paraId="00F46296">
            <w:pPr>
              <w:widowControl/>
              <w:rPr>
                <w:rFonts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</w:rPr>
              <w:t>评估情况：</w:t>
            </w:r>
          </w:p>
          <w:p w14:paraId="064A7AD9">
            <w:pPr>
              <w:widowControl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  <w:lang w:val="en-US" w:eastAsia="zh-Hans"/>
              </w:rPr>
              <w:t>查看了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《运维岗位职责说明书》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、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  <w:lang w:eastAsia="zh-Hans"/>
              </w:rPr>
              <w:t>《运维服务员工考核管理制度》，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  <w:lang w:val="en-US" w:eastAsia="zh-Hans"/>
              </w:rPr>
              <w:t>制度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中对运维人员的技能提出了具体要求，运维人员能力管理制度中明确了人员技能、经验、员工技能提升管理办法、员工技能评价体系等；抽查了3名员工高级工程师证书；每季度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  <w:lang w:eastAsia="zh-CN"/>
              </w:rPr>
              <w:t>按照考核标准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形式来评价运维工程师能力要求，抽查了考核表。</w:t>
            </w:r>
          </w:p>
          <w:p w14:paraId="4169E45C">
            <w:pPr>
              <w:widowControl/>
              <w:rPr>
                <w:rFonts w:ascii="宋体" w:hAnsi="宋体" w:cs="宋体"/>
                <w:b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采用腾讯会议远程审核</w:t>
            </w:r>
          </w:p>
          <w:p w14:paraId="3712AD37">
            <w:pPr>
              <w:widowControl/>
              <w:rPr>
                <w:rFonts w:ascii="宋体" w:hAnsi="宋体" w:cs="宋体"/>
                <w:b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18"/>
                <w:szCs w:val="18"/>
                <w:highlight w:val="none"/>
              </w:rPr>
              <w:t>评估发现：</w:t>
            </w:r>
          </w:p>
          <w:p w14:paraId="4C942C5D">
            <w:pPr>
              <w:widowControl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18"/>
                <w:szCs w:val="18"/>
                <w:highlight w:val="none"/>
              </w:rPr>
              <w:t>■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满足要求</w:t>
            </w:r>
          </w:p>
          <w:p w14:paraId="08B753EB">
            <w:pPr>
              <w:widowControl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□改进项</w:t>
            </w:r>
          </w:p>
          <w:p w14:paraId="1EE12591">
            <w:pPr>
              <w:widowControl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□一般不符合</w:t>
            </w:r>
          </w:p>
          <w:p w14:paraId="51F1AA77">
            <w:pPr>
              <w:widowControl/>
              <w:spacing w:line="240" w:lineRule="exact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□严重不符合</w:t>
            </w:r>
          </w:p>
        </w:tc>
      </w:tr>
      <w:tr w14:paraId="21E3C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5" w:hRule="atLeast"/>
        </w:trPr>
        <w:tc>
          <w:tcPr>
            <w:tcW w:w="1384" w:type="dxa"/>
            <w:vAlign w:val="center"/>
          </w:tcPr>
          <w:p w14:paraId="542BAFA5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  <w:lang w:val="zh-TW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GB/T 28827.1-2012</w:t>
            </w:r>
          </w:p>
          <w:p w14:paraId="43F14E2D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6.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6经验</w:t>
            </w:r>
          </w:p>
        </w:tc>
        <w:tc>
          <w:tcPr>
            <w:tcW w:w="3969" w:type="dxa"/>
            <w:vAlign w:val="center"/>
          </w:tcPr>
          <w:p w14:paraId="2EDEAE8B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0D773FEE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a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)建立人员履历、培训及其管理的相关制度；</w:t>
            </w:r>
          </w:p>
          <w:p w14:paraId="679E55C8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b) 人员经验与业务需求匹配，如项目人员分配，岗位职责等。</w:t>
            </w:r>
          </w:p>
        </w:tc>
        <w:tc>
          <w:tcPr>
            <w:tcW w:w="1843" w:type="dxa"/>
            <w:vAlign w:val="center"/>
          </w:tcPr>
          <w:p w14:paraId="702F1B8F">
            <w:pPr>
              <w:widowControl/>
              <w:spacing w:line="240" w:lineRule="exact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运维人员主持或参与运行维护服务项目的项目数量、项目金额、项目规模以及在项目中的角色作用等。</w:t>
            </w:r>
          </w:p>
        </w:tc>
        <w:tc>
          <w:tcPr>
            <w:tcW w:w="3827" w:type="dxa"/>
          </w:tcPr>
          <w:p w14:paraId="6A112E4D">
            <w:pPr>
              <w:spacing w:line="300" w:lineRule="exac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>a) 审查人员履历（包括：运维服务经验、角色、从事运维服务的项目列表）。</w:t>
            </w:r>
          </w:p>
        </w:tc>
        <w:tc>
          <w:tcPr>
            <w:tcW w:w="4394" w:type="dxa"/>
          </w:tcPr>
          <w:p w14:paraId="1B09555E">
            <w:pPr>
              <w:spacing w:line="240" w:lineRule="exact"/>
              <w:rPr>
                <w:rFonts w:hint="eastAsia" w:ascii="宋体" w:hAnsi="宋体" w:eastAsia="宋体" w:cs="宋体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</w:rPr>
              <w:t>访谈人：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人力资源部经理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/>
              </w:rPr>
              <w:t>王晓燕</w:t>
            </w:r>
          </w:p>
          <w:p w14:paraId="7DD571D4">
            <w:pPr>
              <w:spacing w:line="240" w:lineRule="exact"/>
              <w:rPr>
                <w:rFonts w:ascii="宋体" w:hAnsi="宋体" w:cs="宋体"/>
                <w:b/>
                <w:bCs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</w:rPr>
              <w:t>查看文件：</w:t>
            </w:r>
          </w:p>
          <w:p w14:paraId="3C777D16">
            <w:pPr>
              <w:spacing w:line="240" w:lineRule="exact"/>
              <w:rPr>
                <w:rFonts w:ascii="宋体" w:hAnsi="宋体" w:cs="宋体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运维工程师人员简历</w:t>
            </w:r>
          </w:p>
          <w:p w14:paraId="4DEE3BD7">
            <w:pPr>
              <w:spacing w:line="240" w:lineRule="exact"/>
              <w:rPr>
                <w:rFonts w:ascii="宋体" w:hAnsi="宋体" w:cs="宋体"/>
                <w:b/>
                <w:bCs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</w:rPr>
              <w:t>评估情况说明：</w:t>
            </w:r>
          </w:p>
          <w:p w14:paraId="4AC6027E">
            <w:pPr>
              <w:widowControl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抽查了3名运维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  <w:lang w:val="en-US" w:eastAsia="zh-Hans"/>
              </w:rPr>
              <w:t>工程师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简历，简历中明确了工作经历内容，包括从事运维服务项目，项目职责及主要工作内容等。</w:t>
            </w:r>
          </w:p>
          <w:p w14:paraId="0D66E957">
            <w:pPr>
              <w:widowControl/>
              <w:rPr>
                <w:rFonts w:ascii="宋体" w:hAnsi="宋体" w:cs="宋体"/>
                <w:b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采用腾讯会议远程审核</w:t>
            </w:r>
          </w:p>
          <w:p w14:paraId="1DC72F12">
            <w:pPr>
              <w:widowControl/>
              <w:rPr>
                <w:rFonts w:ascii="宋体" w:hAnsi="宋体" w:cs="宋体"/>
                <w:b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18"/>
                <w:szCs w:val="18"/>
                <w:highlight w:val="none"/>
              </w:rPr>
              <w:t>评估发现：</w:t>
            </w:r>
          </w:p>
          <w:p w14:paraId="0A17FFC2">
            <w:pPr>
              <w:widowControl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18"/>
                <w:szCs w:val="18"/>
                <w:highlight w:val="none"/>
              </w:rPr>
              <w:t>■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满足要求</w:t>
            </w:r>
          </w:p>
          <w:p w14:paraId="2FC43E7E">
            <w:pPr>
              <w:widowControl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□改进项</w:t>
            </w:r>
          </w:p>
          <w:p w14:paraId="6659D793">
            <w:pPr>
              <w:widowControl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□一般不符合</w:t>
            </w:r>
          </w:p>
          <w:p w14:paraId="79DE1583">
            <w:pPr>
              <w:widowControl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□严重不符合</w:t>
            </w:r>
          </w:p>
        </w:tc>
      </w:tr>
    </w:tbl>
    <w:p w14:paraId="0F1C5EB6">
      <w:pPr>
        <w:widowControl/>
        <w:tabs>
          <w:tab w:val="center" w:pos="4201"/>
          <w:tab w:val="right" w:leader="dot" w:pos="9298"/>
        </w:tabs>
        <w:autoSpaceDE w:val="0"/>
        <w:autoSpaceDN w:val="0"/>
        <w:rPr>
          <w:rFonts w:ascii="宋体" w:hAnsi="宋体" w:cs="Times New Roman"/>
          <w:kern w:val="0"/>
          <w:sz w:val="18"/>
          <w:szCs w:val="18"/>
          <w:highlight w:val="none"/>
        </w:rPr>
      </w:pPr>
    </w:p>
    <w:p w14:paraId="34D80A8B">
      <w:pPr>
        <w:widowControl/>
        <w:jc w:val="left"/>
        <w:rPr>
          <w:rFonts w:ascii="宋体" w:hAnsi="宋体" w:cs="Times New Roman"/>
          <w:kern w:val="0"/>
          <w:sz w:val="18"/>
          <w:szCs w:val="18"/>
          <w:highlight w:val="none"/>
        </w:rPr>
      </w:pPr>
      <w:r>
        <w:rPr>
          <w:rFonts w:ascii="宋体" w:hAnsi="宋体" w:cs="Times New Roman"/>
          <w:kern w:val="0"/>
          <w:sz w:val="18"/>
          <w:szCs w:val="18"/>
          <w:highlight w:val="none"/>
        </w:rPr>
        <w:br w:type="page"/>
      </w:r>
    </w:p>
    <w:p w14:paraId="3948F134">
      <w:pPr>
        <w:widowControl/>
        <w:tabs>
          <w:tab w:val="center" w:pos="4201"/>
          <w:tab w:val="right" w:leader="dot" w:pos="9298"/>
        </w:tabs>
        <w:autoSpaceDE w:val="0"/>
        <w:autoSpaceDN w:val="0"/>
        <w:rPr>
          <w:rFonts w:ascii="宋体" w:hAnsi="宋体" w:cs="Times New Roman"/>
          <w:kern w:val="0"/>
          <w:sz w:val="18"/>
          <w:szCs w:val="18"/>
          <w:highlight w:val="none"/>
        </w:rPr>
      </w:pPr>
    </w:p>
    <w:p w14:paraId="0E4C75A6">
      <w:pPr>
        <w:widowControl/>
        <w:outlineLvl w:val="1"/>
        <w:rPr>
          <w:rFonts w:ascii="宋体" w:hAnsi="宋体" w:cs="Times New Roman"/>
          <w:kern w:val="0"/>
          <w:sz w:val="18"/>
          <w:szCs w:val="18"/>
          <w:highlight w:val="none"/>
        </w:rPr>
      </w:pPr>
      <w:r>
        <w:rPr>
          <w:rFonts w:hint="eastAsia" w:ascii="宋体" w:hAnsi="宋体" w:cs="Times New Roman"/>
          <w:kern w:val="0"/>
          <w:sz w:val="18"/>
          <w:szCs w:val="18"/>
          <w:highlight w:val="none"/>
        </w:rPr>
        <w:t>3、资源要求</w:t>
      </w:r>
    </w:p>
    <w:tbl>
      <w:tblPr>
        <w:tblStyle w:val="85"/>
        <w:tblW w:w="1531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3"/>
        <w:gridCol w:w="3883"/>
        <w:gridCol w:w="1842"/>
        <w:gridCol w:w="3828"/>
        <w:gridCol w:w="4394"/>
      </w:tblGrid>
      <w:tr w14:paraId="121FAB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3" w:type="dxa"/>
            <w:tcMar>
              <w:left w:w="85" w:type="dxa"/>
              <w:right w:w="85" w:type="dxa"/>
            </w:tcMar>
            <w:vAlign w:val="center"/>
          </w:tcPr>
          <w:p w14:paraId="349ED49B">
            <w:pPr>
              <w:widowControl/>
              <w:jc w:val="center"/>
              <w:rPr>
                <w:rFonts w:ascii="宋体" w:hAnsi="宋体" w:cs="Arial Unicode MS"/>
                <w:sz w:val="18"/>
                <w:szCs w:val="18"/>
                <w:highlight w:val="none"/>
                <w:u w:color="000000"/>
              </w:rPr>
            </w:pPr>
            <w:r>
              <w:rPr>
                <w:rFonts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标准</w:t>
            </w: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/>
              </w:rPr>
              <w:t>条款号</w:t>
            </w:r>
          </w:p>
        </w:tc>
        <w:tc>
          <w:tcPr>
            <w:tcW w:w="3883" w:type="dxa"/>
            <w:tcMar>
              <w:left w:w="85" w:type="dxa"/>
              <w:right w:w="85" w:type="dxa"/>
            </w:tcMar>
            <w:vAlign w:val="center"/>
          </w:tcPr>
          <w:p w14:paraId="0073CA71">
            <w:pPr>
              <w:widowControl/>
              <w:jc w:val="center"/>
              <w:rPr>
                <w:rFonts w:ascii="宋体" w:hAnsi="宋体" w:cs="Arial Unicode MS"/>
                <w:sz w:val="18"/>
                <w:szCs w:val="18"/>
                <w:highlight w:val="none"/>
                <w:u w:color="000000"/>
              </w:rPr>
            </w:pPr>
            <w:r>
              <w:rPr>
                <w:rFonts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成熟度要求</w:t>
            </w:r>
          </w:p>
        </w:tc>
        <w:tc>
          <w:tcPr>
            <w:tcW w:w="1842" w:type="dxa"/>
            <w:vAlign w:val="center"/>
          </w:tcPr>
          <w:p w14:paraId="1E0E0D4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</w:pPr>
            <w:r>
              <w:rPr>
                <w:rFonts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关键指标</w:t>
            </w:r>
          </w:p>
        </w:tc>
        <w:tc>
          <w:tcPr>
            <w:tcW w:w="3828" w:type="dxa"/>
          </w:tcPr>
          <w:p w14:paraId="5B4DF28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/>
              </w:rPr>
              <w:t>审核要点</w:t>
            </w:r>
          </w:p>
        </w:tc>
        <w:tc>
          <w:tcPr>
            <w:tcW w:w="4394" w:type="dxa"/>
          </w:tcPr>
          <w:p w14:paraId="305A185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/>
              </w:rPr>
              <w:t>评估情况说明</w:t>
            </w:r>
          </w:p>
        </w:tc>
      </w:tr>
      <w:tr w14:paraId="48F056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8" w:hRule="atLeast"/>
          <w:jc w:val="center"/>
        </w:trPr>
        <w:tc>
          <w:tcPr>
            <w:tcW w:w="1363" w:type="dxa"/>
            <w:vMerge w:val="restart"/>
            <w:tcMar>
              <w:left w:w="85" w:type="dxa"/>
              <w:right w:w="85" w:type="dxa"/>
            </w:tcMar>
            <w:vAlign w:val="center"/>
          </w:tcPr>
          <w:p w14:paraId="0D842670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  <w:lang w:val="zh-TW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GB/T 28827.1-2012</w:t>
            </w:r>
          </w:p>
          <w:p w14:paraId="65AC0C38">
            <w:pPr>
              <w:widowControl/>
              <w:jc w:val="center"/>
              <w:rPr>
                <w:rFonts w:ascii="宋体" w:hAnsi="宋体" w:cs="Arial Unicode MS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7</w:t>
            </w: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 xml:space="preserve">.2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  <w:lang w:val="zh-TW"/>
              </w:rPr>
              <w:t>运维工具</w:t>
            </w:r>
          </w:p>
        </w:tc>
        <w:tc>
          <w:tcPr>
            <w:tcW w:w="3883" w:type="dxa"/>
            <w:vMerge w:val="restart"/>
            <w:tcMar>
              <w:left w:w="85" w:type="dxa"/>
              <w:right w:w="85" w:type="dxa"/>
            </w:tcMar>
            <w:vAlign w:val="center"/>
          </w:tcPr>
          <w:p w14:paraId="31093891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53E42086">
            <w:pPr>
              <w:spacing w:line="240" w:lineRule="exac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使用运维工具对运维对象进行数据采集和监控，并重点关注以下方面：</w:t>
            </w:r>
          </w:p>
          <w:p w14:paraId="139F3E98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a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) 自有运维工具有著作权登记证书或外购工具合同；</w:t>
            </w:r>
          </w:p>
          <w:p w14:paraId="2609D5AF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b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) 运维工具至少应具有对服务</w:t>
            </w: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结果和过程进行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分析的功能；</w:t>
            </w:r>
          </w:p>
          <w:p w14:paraId="2FAFDA47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 xml:space="preserve">c) 运维工具有操作手册，并对使用效果进行自评估，保存自评估报告； </w:t>
            </w:r>
          </w:p>
          <w:p w14:paraId="6A8813A6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d)工具应具备权限设置功能。</w:t>
            </w:r>
          </w:p>
        </w:tc>
        <w:tc>
          <w:tcPr>
            <w:tcW w:w="1842" w:type="dxa"/>
            <w:vMerge w:val="restart"/>
            <w:vAlign w:val="center"/>
          </w:tcPr>
          <w:p w14:paraId="04F7EC2D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a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) 与工具功能匹配的使用手册；</w:t>
            </w:r>
          </w:p>
          <w:p w14:paraId="341E4B4C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b) 工具使用日志记录等；</w:t>
            </w:r>
          </w:p>
          <w:p w14:paraId="2177D564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c) 工具的使用效果自评估报告；</w:t>
            </w:r>
          </w:p>
          <w:p w14:paraId="223EB1A8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d) 工具应具备权限设置功能。</w:t>
            </w:r>
          </w:p>
        </w:tc>
        <w:tc>
          <w:tcPr>
            <w:tcW w:w="3828" w:type="dxa"/>
            <w:vAlign w:val="center"/>
          </w:tcPr>
          <w:p w14:paraId="690B7B97">
            <w:pPr>
              <w:widowControl/>
              <w:spacing w:line="30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a) 审查自有监控工具、过程管理工具的著作权登记证书或外购工具合同（对未申请著作权的自有工具作为改进项）；对采用开源软件的工具应签署有授权协议；工具操作手册。</w:t>
            </w:r>
          </w:p>
        </w:tc>
        <w:tc>
          <w:tcPr>
            <w:tcW w:w="4394" w:type="dxa"/>
            <w:vMerge w:val="restart"/>
          </w:tcPr>
          <w:p w14:paraId="232124FC">
            <w:pPr>
              <w:widowControl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b/>
                <w:sz w:val="18"/>
                <w:szCs w:val="18"/>
                <w:highlight w:val="none"/>
              </w:rPr>
              <w:t>访谈人员</w:t>
            </w:r>
            <w:r>
              <w:rPr>
                <w:rFonts w:hint="eastAsia"/>
                <w:sz w:val="18"/>
                <w:szCs w:val="18"/>
                <w:highlight w:val="none"/>
              </w:rPr>
              <w:t>：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运维部经理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崔新国</w:t>
            </w:r>
            <w:r>
              <w:rPr>
                <w:rFonts w:hint="eastAsia"/>
                <w:sz w:val="18"/>
                <w:szCs w:val="18"/>
                <w:highlight w:val="none"/>
              </w:rPr>
              <w:t xml:space="preserve"> </w:t>
            </w:r>
          </w:p>
          <w:p w14:paraId="1AB031A4">
            <w:pPr>
              <w:widowControl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sz w:val="18"/>
                <w:szCs w:val="18"/>
                <w:highlight w:val="none"/>
              </w:rPr>
              <w:t>检查的文件或记录</w:t>
            </w:r>
            <w:r>
              <w:rPr>
                <w:rFonts w:hint="eastAsia"/>
                <w:sz w:val="18"/>
                <w:szCs w:val="18"/>
                <w:highlight w:val="none"/>
              </w:rPr>
              <w:t>：</w:t>
            </w:r>
            <w:r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 w:bidi="ar-SA"/>
              </w:rPr>
              <w:t>《运维工具管理制度》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Hans" w:bidi="ar-SA"/>
              </w:rPr>
              <w:t>、</w:t>
            </w:r>
            <w:r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 w:bidi="ar-SA"/>
              </w:rPr>
              <w:t>《运维工具应用情况说明》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Hans" w:bidi="ar-SA"/>
              </w:rPr>
              <w:t>、</w:t>
            </w:r>
            <w:r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 w:bidi="ar-SA"/>
              </w:rPr>
              <w:t>《运维服务工具自评估报告》</w:t>
            </w:r>
          </w:p>
          <w:p w14:paraId="5D7EDE39">
            <w:pPr>
              <w:pStyle w:val="299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b/>
                <w:sz w:val="18"/>
                <w:szCs w:val="18"/>
                <w:highlight w:val="none"/>
              </w:rPr>
              <w:t>评估情况说明</w:t>
            </w:r>
            <w:r>
              <w:rPr>
                <w:rFonts w:hint="eastAsia"/>
                <w:sz w:val="18"/>
                <w:szCs w:val="18"/>
                <w:highlight w:val="none"/>
              </w:rPr>
              <w:t>：</w:t>
            </w:r>
          </w:p>
          <w:p w14:paraId="09A3637D">
            <w:pPr>
              <w:pStyle w:val="299"/>
              <w:rPr>
                <w:rFonts w:ascii="宋体" w:hAnsi="宋体" w:cs="宋体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highlight w:val="none"/>
              </w:rPr>
              <w:t>公司定义了</w:t>
            </w:r>
            <w:r>
              <w:rPr>
                <w:rFonts w:hint="default" w:ascii="宋体" w:hAnsi="宋体" w:cs="宋体"/>
                <w:color w:val="auto"/>
                <w:sz w:val="18"/>
                <w:szCs w:val="18"/>
                <w:highlight w:val="none"/>
              </w:rPr>
              <w:t>《运维工具管理制度》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highlight w:val="none"/>
              </w:rPr>
              <w:t>，包含运维工具使用、评估和改进等流程。抽查</w:t>
            </w:r>
            <w:r>
              <w:rPr>
                <w:rFonts w:hint="default" w:ascii="宋体" w:hAnsi="宋体" w:cs="宋体"/>
                <w:color w:val="auto"/>
                <w:sz w:val="18"/>
                <w:szCs w:val="18"/>
                <w:highlight w:val="none"/>
              </w:rPr>
              <w:t>《运维服务工具自评估报告》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highlight w:val="none"/>
              </w:rPr>
              <w:t>，公司编制了运行维护工具使用评估分析报告，对过程管理工具、监控工具等进行自评估。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highlight w:val="none"/>
                <w:lang w:val="en-US" w:eastAsia="zh-Hans"/>
              </w:rPr>
              <w:t>查看了</w:t>
            </w:r>
            <w:r>
              <w:rPr>
                <w:rFonts w:hint="default" w:ascii="宋体" w:hAnsi="宋体" w:cs="宋体"/>
                <w:color w:val="auto"/>
                <w:sz w:val="18"/>
                <w:szCs w:val="18"/>
                <w:highlight w:val="none"/>
              </w:rPr>
              <w:t>《运维工具应用情况说明》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highlight w:val="none"/>
                <w:lang w:eastAsia="zh-Hans"/>
              </w:rPr>
              <w:t>。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highlight w:val="none"/>
              </w:rPr>
              <w:t>公司编制了运行维护工具应用情况说明，对工具的应用情况进行分析总结。抽查《202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highlight w:val="none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highlight w:val="none"/>
              </w:rPr>
              <w:t>年1月-2022年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highlight w:val="none"/>
                <w:lang w:val="en-US" w:eastAsia="zh-CN"/>
              </w:rPr>
              <w:t>12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highlight w:val="none"/>
              </w:rPr>
              <w:t>月度培训计划》中包含了公司常用运维服务工具使用培训。查看知识库，包括和运维工具应用有关的知识。查看了运维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highlight w:val="none"/>
                <w:lang w:val="en-US" w:eastAsia="zh-Hans"/>
              </w:rPr>
              <w:t>过程管理工具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highlight w:val="none"/>
              </w:rPr>
              <w:t>和运维监控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highlight w:val="none"/>
                <w:lang w:val="en-US" w:eastAsia="zh-Hans"/>
              </w:rPr>
              <w:t>工具。</w:t>
            </w:r>
          </w:p>
          <w:p w14:paraId="788F1FC7">
            <w:pPr>
              <w:pStyle w:val="299"/>
              <w:rPr>
                <w:rFonts w:ascii="宋体" w:hAnsi="宋体" w:cs="宋体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宋体" w:hAnsi="宋体" w:cs="宋体"/>
                <w:color w:val="auto"/>
                <w:sz w:val="18"/>
                <w:szCs w:val="18"/>
                <w:highlight w:val="none"/>
              </w:rPr>
              <w:t>采用腾讯会议远程审核</w:t>
            </w:r>
          </w:p>
          <w:p w14:paraId="2571E9E6">
            <w:pPr>
              <w:widowControl/>
              <w:rPr>
                <w:rFonts w:ascii="宋体" w:hAnsi="宋体" w:cs="宋体"/>
                <w:b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18"/>
                <w:szCs w:val="18"/>
                <w:highlight w:val="none"/>
              </w:rPr>
              <w:t>评估发现：</w:t>
            </w:r>
          </w:p>
          <w:p w14:paraId="2BA39272">
            <w:pPr>
              <w:widowControl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18"/>
                <w:szCs w:val="18"/>
                <w:highlight w:val="none"/>
              </w:rPr>
              <w:t>■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满足要求</w:t>
            </w:r>
          </w:p>
          <w:p w14:paraId="37D92AC1">
            <w:pPr>
              <w:widowControl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□改进项</w:t>
            </w:r>
          </w:p>
          <w:p w14:paraId="26F37315">
            <w:pPr>
              <w:widowControl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□一般不符合</w:t>
            </w:r>
          </w:p>
          <w:p w14:paraId="7542A1B6">
            <w:pPr>
              <w:rPr>
                <w:rFonts w:ascii="宋体" w:hAnsi="宋体" w:cs="宋体"/>
                <w:b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□严重不符合</w:t>
            </w:r>
          </w:p>
        </w:tc>
      </w:tr>
      <w:tr w14:paraId="7F48E7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2" w:hRule="atLeast"/>
          <w:jc w:val="center"/>
        </w:trPr>
        <w:tc>
          <w:tcPr>
            <w:tcW w:w="1363" w:type="dxa"/>
            <w:vMerge w:val="continue"/>
            <w:tcMar>
              <w:left w:w="85" w:type="dxa"/>
              <w:right w:w="85" w:type="dxa"/>
            </w:tcMar>
            <w:vAlign w:val="center"/>
          </w:tcPr>
          <w:p w14:paraId="392E660A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</w:p>
        </w:tc>
        <w:tc>
          <w:tcPr>
            <w:tcW w:w="3883" w:type="dxa"/>
            <w:vMerge w:val="continue"/>
            <w:tcMar>
              <w:left w:w="85" w:type="dxa"/>
              <w:right w:w="85" w:type="dxa"/>
            </w:tcMar>
            <w:vAlign w:val="center"/>
          </w:tcPr>
          <w:p w14:paraId="022CBFC4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</w:p>
        </w:tc>
        <w:tc>
          <w:tcPr>
            <w:tcW w:w="1842" w:type="dxa"/>
            <w:vMerge w:val="continue"/>
            <w:vAlign w:val="center"/>
          </w:tcPr>
          <w:p w14:paraId="1E555014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</w:p>
        </w:tc>
        <w:tc>
          <w:tcPr>
            <w:tcW w:w="3828" w:type="dxa"/>
            <w:vAlign w:val="center"/>
          </w:tcPr>
          <w:p w14:paraId="125606D8">
            <w:pPr>
              <w:widowControl/>
              <w:spacing w:line="30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a) 审查根据与需方达成的服务协议，其中明确要求使用其他专用工具的，提供相关的工具使用证据</w:t>
            </w:r>
          </w:p>
          <w:p w14:paraId="34417BE4">
            <w:pPr>
              <w:spacing w:line="30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394" w:type="dxa"/>
            <w:vMerge w:val="continue"/>
          </w:tcPr>
          <w:p w14:paraId="5BEF3189">
            <w:pPr>
              <w:widowControl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</w:p>
        </w:tc>
      </w:tr>
      <w:tr w14:paraId="42418C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363" w:type="dxa"/>
            <w:tcMar>
              <w:left w:w="85" w:type="dxa"/>
              <w:right w:w="85" w:type="dxa"/>
            </w:tcMar>
            <w:vAlign w:val="center"/>
          </w:tcPr>
          <w:p w14:paraId="73DCC37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  <w:lang w:val="zh-TW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GB/T 28827.1-2012</w:t>
            </w:r>
          </w:p>
          <w:p w14:paraId="773A2B0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 xml:space="preserve">7.3 </w:t>
            </w: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服务台</w:t>
            </w:r>
          </w:p>
        </w:tc>
        <w:tc>
          <w:tcPr>
            <w:tcW w:w="3883" w:type="dxa"/>
            <w:tcMar>
              <w:left w:w="85" w:type="dxa"/>
              <w:right w:w="85" w:type="dxa"/>
            </w:tcMar>
            <w:vAlign w:val="center"/>
          </w:tcPr>
          <w:p w14:paraId="0950DB95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0368FB51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建立、使用和管理服务台，并重点关注以下方面：</w:t>
            </w:r>
          </w:p>
          <w:p w14:paraId="437D7114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a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) 制定服务台的职能说明、服务台管理制度、服务流程、操作手册，并保存用户评价记录；</w:t>
            </w:r>
          </w:p>
          <w:p w14:paraId="30ED6928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b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) 建立服务请求的流程，包括服务请求的操作规程、跟踪和反馈方法；</w:t>
            </w:r>
          </w:p>
          <w:p w14:paraId="70B17B33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c) 建立用户评价记录产生的流程、主要内容、评价结果与考核的关系；</w:t>
            </w:r>
          </w:p>
          <w:p w14:paraId="2F4972AE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d) 监督管理服务台的日常工作。</w:t>
            </w:r>
          </w:p>
        </w:tc>
        <w:tc>
          <w:tcPr>
            <w:tcW w:w="1842" w:type="dxa"/>
            <w:vAlign w:val="center"/>
          </w:tcPr>
          <w:p w14:paraId="7E02C0F3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a) 日常工作记录的完整性；</w:t>
            </w:r>
          </w:p>
          <w:p w14:paraId="720F35AB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b) 用户评价记录的完整性。</w:t>
            </w:r>
          </w:p>
        </w:tc>
        <w:tc>
          <w:tcPr>
            <w:tcW w:w="3828" w:type="dxa"/>
            <w:vAlign w:val="center"/>
          </w:tcPr>
          <w:p w14:paraId="74F904B6">
            <w:pPr>
              <w:widowControl/>
              <w:spacing w:line="30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 xml:space="preserve">a)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审查服务台职能说明、服务台管理制度、服务流程、操作手册、用户评价记录。</w:t>
            </w:r>
          </w:p>
          <w:p w14:paraId="42EC3232">
            <w:pPr>
              <w:spacing w:line="300" w:lineRule="exact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 xml:space="preserve">b)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现场抽查：服务台记录（包括工作日志、服务请求和处理记录等），了解用户对服务台人员的反馈。</w:t>
            </w:r>
          </w:p>
        </w:tc>
        <w:tc>
          <w:tcPr>
            <w:tcW w:w="4394" w:type="dxa"/>
          </w:tcPr>
          <w:p w14:paraId="76116E07">
            <w:pPr>
              <w:widowControl/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highlight w:val="none"/>
              </w:rPr>
              <w:t>访谈人员</w:t>
            </w:r>
            <w:r>
              <w:rPr>
                <w:rFonts w:hint="eastAsia"/>
                <w:sz w:val="18"/>
                <w:szCs w:val="18"/>
                <w:highlight w:val="none"/>
              </w:rPr>
              <w:t>：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运维部经理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hint="eastAsia" w:ascii="宋体" w:hAnsi="宋体" w:cs="宋体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崔新国</w:t>
            </w:r>
          </w:p>
          <w:p w14:paraId="7E87E5D7">
            <w:pPr>
              <w:widowControl/>
              <w:ind w:firstLine="900" w:firstLineChars="500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 xml:space="preserve">技术支持部客服组服务台工程师  </w:t>
            </w:r>
            <w:r>
              <w:rPr>
                <w:rFonts w:hint="eastAsia"/>
                <w:sz w:val="18"/>
                <w:szCs w:val="18"/>
                <w:highlight w:val="none"/>
                <w:lang w:eastAsia="zh-CN"/>
              </w:rPr>
              <w:t>杨宁</w:t>
            </w:r>
            <w:r>
              <w:rPr>
                <w:rFonts w:hint="eastAsia"/>
                <w:sz w:val="18"/>
                <w:szCs w:val="18"/>
                <w:highlight w:val="none"/>
              </w:rPr>
              <w:t xml:space="preserve"> </w:t>
            </w:r>
          </w:p>
          <w:p w14:paraId="51CCE2E3">
            <w:pPr>
              <w:widowControl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b/>
                <w:sz w:val="18"/>
                <w:szCs w:val="18"/>
                <w:highlight w:val="none"/>
              </w:rPr>
              <w:t>检查的文件或记录</w:t>
            </w:r>
            <w:r>
              <w:rPr>
                <w:rFonts w:hint="eastAsia"/>
                <w:sz w:val="18"/>
                <w:szCs w:val="18"/>
                <w:highlight w:val="none"/>
              </w:rPr>
              <w:t>：</w:t>
            </w:r>
            <w:r>
              <w:rPr>
                <w:rFonts w:hint="default"/>
                <w:sz w:val="18"/>
                <w:szCs w:val="18"/>
                <w:highlight w:val="none"/>
              </w:rPr>
              <w:t>《服务台管理制度》</w:t>
            </w:r>
          </w:p>
          <w:p w14:paraId="41E7AAB9">
            <w:pPr>
              <w:pStyle w:val="299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b/>
                <w:sz w:val="18"/>
                <w:szCs w:val="18"/>
                <w:highlight w:val="none"/>
              </w:rPr>
              <w:t>评估情况说明</w:t>
            </w:r>
            <w:r>
              <w:rPr>
                <w:rFonts w:hint="eastAsia"/>
                <w:sz w:val="18"/>
                <w:szCs w:val="18"/>
                <w:highlight w:val="none"/>
              </w:rPr>
              <w:t>：</w:t>
            </w:r>
          </w:p>
          <w:p w14:paraId="7482E2C4">
            <w:pPr>
              <w:widowControl/>
              <w:rPr>
                <w:rFonts w:ascii="宋体" w:hAnsi="宋体" w:cs="宋体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none"/>
              </w:rPr>
              <w:t>公司制定了</w:t>
            </w:r>
            <w:r>
              <w:rPr>
                <w:rFonts w:hint="eastAsia"/>
                <w:sz w:val="18"/>
                <w:szCs w:val="18"/>
                <w:highlight w:val="none"/>
              </w:rPr>
              <w:t>《服务台管理制度》</w:t>
            </w:r>
            <w:r>
              <w:rPr>
                <w:rFonts w:hint="eastAsia" w:ascii="宋体" w:hAnsi="宋体" w:cs="宋体"/>
                <w:sz w:val="18"/>
                <w:szCs w:val="18"/>
                <w:highlight w:val="none"/>
              </w:rPr>
              <w:t>。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highlight w:val="none"/>
              </w:rPr>
              <w:t>按照绩效考核要求，定期对服务台进行考核。服务台可以通过知识库获取问题解决方法。</w:t>
            </w:r>
            <w:r>
              <w:rPr>
                <w:rFonts w:hint="eastAsia" w:ascii="宋体" w:hAnsi="宋体" w:cs="宋体"/>
                <w:sz w:val="18"/>
                <w:szCs w:val="18"/>
                <w:highlight w:val="none"/>
              </w:rPr>
              <w:t>查看了</w:t>
            </w:r>
            <w:r>
              <w:rPr>
                <w:rFonts w:hint="eastAsia"/>
                <w:sz w:val="18"/>
                <w:szCs w:val="18"/>
                <w:highlight w:val="none"/>
              </w:rPr>
              <w:t>过程管理工具</w:t>
            </w:r>
            <w:r>
              <w:rPr>
                <w:rFonts w:hint="eastAsia" w:ascii="宋体" w:hAnsi="宋体" w:cs="宋体"/>
                <w:sz w:val="18"/>
                <w:szCs w:val="18"/>
                <w:highlight w:val="none"/>
              </w:rPr>
              <w:t>，服务台与事件、问题等可以互相关联。</w:t>
            </w:r>
          </w:p>
          <w:p w14:paraId="78CA9B32">
            <w:pPr>
              <w:pStyle w:val="299"/>
              <w:rPr>
                <w:rFonts w:ascii="宋体" w:hAnsi="宋体" w:cs="宋体"/>
                <w:sz w:val="18"/>
                <w:szCs w:val="18"/>
                <w:highlight w:val="none"/>
              </w:rPr>
            </w:pPr>
            <w:r>
              <w:rPr>
                <w:rFonts w:hint="default" w:ascii="宋体" w:hAnsi="宋体" w:cs="宋体"/>
                <w:color w:val="auto"/>
                <w:sz w:val="18"/>
                <w:szCs w:val="18"/>
                <w:highlight w:val="none"/>
              </w:rPr>
              <w:t>采用腾讯会议远程审核</w:t>
            </w:r>
          </w:p>
          <w:p w14:paraId="0253D120">
            <w:pPr>
              <w:widowControl/>
              <w:rPr>
                <w:rFonts w:ascii="宋体" w:hAnsi="宋体" w:cs="宋体"/>
                <w:b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18"/>
                <w:szCs w:val="18"/>
                <w:highlight w:val="none"/>
              </w:rPr>
              <w:t>评估发现：</w:t>
            </w:r>
          </w:p>
          <w:p w14:paraId="033ED800">
            <w:pPr>
              <w:widowControl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18"/>
                <w:szCs w:val="18"/>
                <w:highlight w:val="none"/>
              </w:rPr>
              <w:t>■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满足要求</w:t>
            </w:r>
          </w:p>
          <w:p w14:paraId="71B1D671">
            <w:pPr>
              <w:widowControl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□改进项</w:t>
            </w:r>
          </w:p>
          <w:p w14:paraId="3023665D">
            <w:pPr>
              <w:widowControl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□一般不符合</w:t>
            </w:r>
          </w:p>
          <w:p w14:paraId="080A3DEA">
            <w:pPr>
              <w:widowControl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□严重不符合</w:t>
            </w:r>
          </w:p>
        </w:tc>
      </w:tr>
      <w:tr w14:paraId="4A86E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7" w:hRule="exact"/>
          <w:jc w:val="center"/>
        </w:trPr>
        <w:tc>
          <w:tcPr>
            <w:tcW w:w="1363" w:type="dxa"/>
            <w:tcMar>
              <w:left w:w="85" w:type="dxa"/>
              <w:right w:w="85" w:type="dxa"/>
            </w:tcMar>
            <w:vAlign w:val="center"/>
          </w:tcPr>
          <w:p w14:paraId="0C579215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  <w:lang w:val="zh-TW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GB/T 28827.1-2012</w:t>
            </w:r>
          </w:p>
          <w:p w14:paraId="687ADA90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7.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4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  <w:lang w:val="zh-TW"/>
              </w:rPr>
              <w:t>备件库</w:t>
            </w:r>
          </w:p>
        </w:tc>
        <w:tc>
          <w:tcPr>
            <w:tcW w:w="3883" w:type="dxa"/>
            <w:tcMar>
              <w:left w:w="85" w:type="dxa"/>
              <w:right w:w="85" w:type="dxa"/>
            </w:tcMar>
            <w:vAlign w:val="center"/>
          </w:tcPr>
          <w:p w14:paraId="77BAF69A">
            <w:pPr>
              <w:widowControl/>
              <w:spacing w:line="240" w:lineRule="exact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根据服务目录及服务级别协议，对于其中明确要求提供备品备件的，应建立备件库，并要求：</w:t>
            </w:r>
          </w:p>
          <w:p w14:paraId="28B59C30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a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) 制定备件库管理制度，包括：备件响应方式和级别定义、备品备件的数量和类型、类别与编码、存放环境，以上内容均能够满足SLA所要求的备件支持；</w:t>
            </w:r>
          </w:p>
          <w:p w14:paraId="4F18F49D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b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) 制定备件采购计划或方案，包括采购人员职责、采购流程、库存策略、紧急采购预案等。制定供应商选择及评价管理制度，至少每年对供应商进行一次评估；</w:t>
            </w:r>
          </w:p>
          <w:p w14:paraId="77430062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c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) 制定出入库制度，包括送货、验收、入库、出库等的流程，并实施，具有备件库存管理的记录或报告；</w:t>
            </w:r>
          </w:p>
          <w:p w14:paraId="1E3B80A3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d) 制定备件的检测、报废制度，能定期对备件状态进行检测，以确保其功能满足运维需求。对涉及国家强制规定检定设备须送专业机构检测并获得检测报告。</w:t>
            </w:r>
          </w:p>
        </w:tc>
        <w:tc>
          <w:tcPr>
            <w:tcW w:w="1842" w:type="dxa"/>
            <w:vAlign w:val="center"/>
          </w:tcPr>
          <w:p w14:paraId="13D1FB5E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a) 备件库信息完整性、准确性和真实性；</w:t>
            </w:r>
          </w:p>
          <w:p w14:paraId="06E9A3C5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b) 备件管理制度的适用性；</w:t>
            </w:r>
          </w:p>
          <w:p w14:paraId="59F7F457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c) 备件库出入库管理制度的适用性；</w:t>
            </w:r>
          </w:p>
          <w:p w14:paraId="5F173ACF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d) 备件可用率。</w:t>
            </w:r>
          </w:p>
        </w:tc>
        <w:tc>
          <w:tcPr>
            <w:tcW w:w="3828" w:type="dxa"/>
            <w:vAlign w:val="center"/>
          </w:tcPr>
          <w:p w14:paraId="574CD116">
            <w:pPr>
              <w:widowControl/>
              <w:spacing w:line="30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 xml:space="preserve">a) 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审查备件库管理制度、出入库记录、检测报告、采购单；</w:t>
            </w:r>
          </w:p>
          <w:p w14:paraId="2D69262B">
            <w:pPr>
              <w:widowControl/>
              <w:spacing w:line="30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 xml:space="preserve">b)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现场抽查：可对备件库进行现场检查；</w:t>
            </w:r>
          </w:p>
          <w:p w14:paraId="5A7C3EA6">
            <w:pPr>
              <w:spacing w:line="300" w:lineRule="exact"/>
              <w:ind w:firstLine="180" w:firstLineChars="100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由需方、外包方或第三方进行备件管理的，应提供其备件管理有效性的证据。</w:t>
            </w:r>
          </w:p>
        </w:tc>
        <w:tc>
          <w:tcPr>
            <w:tcW w:w="4394" w:type="dxa"/>
          </w:tcPr>
          <w:p w14:paraId="71C8C444">
            <w:pPr>
              <w:pStyle w:val="367"/>
              <w:ind w:firstLine="0" w:firstLineChars="0"/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highlight w:val="none"/>
                <w:lang w:val="en-US" w:eastAsia="zh-CN" w:bidi="ar-SA"/>
              </w:rPr>
              <w:t>访谈人员：</w:t>
            </w:r>
            <w:r>
              <w:rPr>
                <w:rFonts w:hint="eastAsia" w:ascii="宋体" w:hAnsi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>运维部经理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 xml:space="preserve">  </w:t>
            </w:r>
            <w:r>
              <w:rPr>
                <w:rFonts w:hint="eastAsia" w:ascii="宋体" w:hAnsi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>崔新国</w:t>
            </w:r>
          </w:p>
          <w:p w14:paraId="42B7A695">
            <w:pPr>
              <w:pStyle w:val="367"/>
              <w:ind w:firstLine="900" w:firstLineChars="500"/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>技术支持部客服组备品备件管理员</w:t>
            </w:r>
            <w:r>
              <w:rPr>
                <w:rFonts w:hint="default" w:ascii="宋体" w:hAnsi="宋体" w:cs="宋体"/>
                <w:kern w:val="2"/>
                <w:sz w:val="18"/>
                <w:szCs w:val="18"/>
                <w:highlight w:val="none"/>
                <w:lang w:eastAsia="zh-CN" w:bidi="ar-SA"/>
              </w:rPr>
              <w:t xml:space="preserve"> </w:t>
            </w:r>
            <w:r>
              <w:rPr>
                <w:rFonts w:hint="default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>韩成群</w:t>
            </w:r>
          </w:p>
          <w:p w14:paraId="23D17B1D">
            <w:pPr>
              <w:pStyle w:val="367"/>
              <w:ind w:firstLine="0" w:firstLineChars="0"/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highlight w:val="none"/>
                <w:lang w:val="en-US" w:eastAsia="zh-CN" w:bidi="ar-SA"/>
              </w:rPr>
              <w:t>检查的文件或记录：</w:t>
            </w:r>
            <w:r>
              <w:rPr>
                <w:rFonts w:hint="default" w:ascii="宋体" w:hAnsi="宋体" w:cs="宋体"/>
                <w:kern w:val="2"/>
                <w:sz w:val="18"/>
                <w:szCs w:val="18"/>
                <w:highlight w:val="none"/>
                <w:lang w:eastAsia="zh-Hans" w:bidi="ar-SA"/>
              </w:rPr>
              <w:t>《备品备件管理制度》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Hans" w:bidi="ar-SA"/>
              </w:rPr>
              <w:t>、</w:t>
            </w:r>
            <w:r>
              <w:rPr>
                <w:rFonts w:hint="default" w:ascii="宋体" w:hAnsi="宋体" w:cs="宋体"/>
                <w:kern w:val="2"/>
                <w:sz w:val="18"/>
                <w:szCs w:val="18"/>
                <w:highlight w:val="none"/>
                <w:lang w:eastAsia="zh-Hans" w:bidi="ar-SA"/>
              </w:rPr>
              <w:t>《供应商管理制度》</w:t>
            </w:r>
          </w:p>
          <w:p w14:paraId="59B4DCE0">
            <w:pPr>
              <w:pStyle w:val="367"/>
              <w:ind w:firstLine="0" w:firstLineChars="0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highlight w:val="none"/>
                <w:lang w:val="en-US" w:eastAsia="zh-CN" w:bidi="ar-SA"/>
              </w:rPr>
              <w:t>评估情况说明：</w:t>
            </w:r>
          </w:p>
          <w:p w14:paraId="0CF7A404">
            <w:pPr>
              <w:pStyle w:val="367"/>
              <w:ind w:firstLine="0" w:firstLineChars="0"/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default" w:ascii="宋体" w:hAnsi="宋体" w:cs="宋体"/>
                <w:kern w:val="2"/>
                <w:sz w:val="18"/>
                <w:szCs w:val="18"/>
                <w:highlight w:val="none"/>
                <w:lang w:eastAsia="zh-Hans" w:bidi="ar-SA"/>
              </w:rPr>
              <w:t>《备品备件管理制度》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>包括目的、范围、职责说明、分类定义、响应、备货规则、出入库流程出入库管理及注意事项。公司由技术支持部客服组负责备件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Hans" w:bidi="ar-SA"/>
              </w:rPr>
              <w:t>相关工作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>。</w:t>
            </w:r>
            <w:r>
              <w:rPr>
                <w:rFonts w:hint="default" w:ascii="宋体" w:hAnsi="宋体" w:cs="宋体"/>
                <w:kern w:val="2"/>
                <w:sz w:val="18"/>
                <w:szCs w:val="18"/>
                <w:highlight w:val="none"/>
                <w:lang w:eastAsia="zh-Hans" w:bidi="ar-SA"/>
              </w:rPr>
              <w:t>《供应商管理制度》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Hans" w:bidi="ar-SA"/>
              </w:rPr>
              <w:t>对供应商的管理进行了要求。抽查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>《备件出入库单》包括产品名称、数量、时间、费用等内容。查看《备件检测记录单》。</w:t>
            </w:r>
          </w:p>
          <w:p w14:paraId="7FCC6318">
            <w:pPr>
              <w:pStyle w:val="367"/>
              <w:ind w:firstLine="0" w:firstLineChars="0"/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>采用腾讯会议远程审核</w:t>
            </w:r>
          </w:p>
          <w:p w14:paraId="2BE8CD33">
            <w:pPr>
              <w:pStyle w:val="367"/>
              <w:ind w:firstLine="0" w:firstLineChars="0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highlight w:val="none"/>
                <w:lang w:val="en-US" w:eastAsia="zh-CN" w:bidi="ar-SA"/>
              </w:rPr>
              <w:t>评估发现：</w:t>
            </w:r>
          </w:p>
          <w:p w14:paraId="24B903B2">
            <w:pPr>
              <w:pStyle w:val="367"/>
              <w:ind w:firstLine="0" w:firstLineChars="0"/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>■满足要求</w:t>
            </w:r>
          </w:p>
          <w:p w14:paraId="04F8D7A1">
            <w:pPr>
              <w:pStyle w:val="367"/>
              <w:ind w:firstLine="0" w:firstLineChars="0"/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>□改进项</w:t>
            </w:r>
          </w:p>
          <w:p w14:paraId="41FC04A4">
            <w:pPr>
              <w:pStyle w:val="367"/>
              <w:ind w:firstLine="0" w:firstLineChars="0"/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>□一般不符合</w:t>
            </w:r>
          </w:p>
          <w:p w14:paraId="77292735">
            <w:pPr>
              <w:pStyle w:val="367"/>
              <w:ind w:firstLine="0" w:firstLineChars="0"/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>□严重不符合</w:t>
            </w:r>
          </w:p>
        </w:tc>
      </w:tr>
      <w:tr w14:paraId="743C7C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9" w:hRule="atLeast"/>
          <w:jc w:val="center"/>
        </w:trPr>
        <w:tc>
          <w:tcPr>
            <w:tcW w:w="1363" w:type="dxa"/>
            <w:tcMar>
              <w:left w:w="85" w:type="dxa"/>
              <w:right w:w="85" w:type="dxa"/>
            </w:tcMar>
            <w:vAlign w:val="center"/>
          </w:tcPr>
          <w:p w14:paraId="430DEE61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  <w:lang w:val="zh-TW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GB/T 28827.1-2012</w:t>
            </w:r>
          </w:p>
          <w:p w14:paraId="5C207C4C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 xml:space="preserve">7.5 </w:t>
            </w: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知识库</w:t>
            </w:r>
          </w:p>
        </w:tc>
        <w:tc>
          <w:tcPr>
            <w:tcW w:w="3883" w:type="dxa"/>
            <w:tcMar>
              <w:left w:w="85" w:type="dxa"/>
              <w:right w:w="85" w:type="dxa"/>
            </w:tcMar>
            <w:vAlign w:val="center"/>
          </w:tcPr>
          <w:p w14:paraId="369FE52D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27AB21E3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建立、管理和使用知识库，并重点关注以下方面：</w:t>
            </w:r>
          </w:p>
          <w:p w14:paraId="14B04CA1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 xml:space="preserve">a)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知识库内容至少应包括针对已知错误和问题的描述、分析和解决方法；</w:t>
            </w:r>
          </w:p>
          <w:p w14:paraId="422BC140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b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) 知识库可共享给整个组织，并提供有效方式访问方式；</w:t>
            </w:r>
          </w:p>
          <w:p w14:paraId="4901FB3F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c) 具有知识管理策略，包括知识来源、类别、共享范围、更新升级、传播方式等。</w:t>
            </w:r>
          </w:p>
          <w:p w14:paraId="5EB1B37A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d) 制定知识库使用手册，并保留知识维护记录（添加、更新等）；</w:t>
            </w:r>
          </w:p>
          <w:p w14:paraId="680839F7">
            <w:pPr>
              <w:widowControl/>
              <w:spacing w:line="240" w:lineRule="exact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e) 制定知识管理和使用制度，对知识库进行生命周期管理，知识管理的角色应落实到具体人员。</w:t>
            </w:r>
          </w:p>
        </w:tc>
        <w:tc>
          <w:tcPr>
            <w:tcW w:w="1842" w:type="dxa"/>
            <w:vAlign w:val="center"/>
          </w:tcPr>
          <w:p w14:paraId="5B95D5BB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a) 知识库的覆盖范围；</w:t>
            </w:r>
          </w:p>
          <w:p w14:paraId="59C005AF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b) 知识库的可用性和有效性；</w:t>
            </w:r>
          </w:p>
          <w:p w14:paraId="67B34636">
            <w:pPr>
              <w:widowControl/>
              <w:spacing w:line="240" w:lineRule="exact"/>
              <w:ind w:left="270" w:hanging="270" w:hangingChars="150"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c) 入库管理和审批记录的有效性。</w:t>
            </w:r>
          </w:p>
        </w:tc>
        <w:tc>
          <w:tcPr>
            <w:tcW w:w="3828" w:type="dxa"/>
            <w:vAlign w:val="center"/>
          </w:tcPr>
          <w:p w14:paraId="4DAB6CC2">
            <w:pPr>
              <w:widowControl/>
              <w:spacing w:line="30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a) 审查自有知识库管理工具软件的著作权登记证书或外购知识库合同（对未申请著作权的自有工具作为改进项）；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br w:type="textWrapping"/>
            </w: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 xml:space="preserve">b)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组织自有的知识库允许不办理著作权登记证书，但应进行现场展示，其内容至少应包括已知错误和问题。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br w:type="textWrapping"/>
            </w: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 xml:space="preserve">c)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知识库系统，了解知识库的访问和共享方式</w:t>
            </w:r>
          </w:p>
          <w:p w14:paraId="409CA37A">
            <w:pPr>
              <w:spacing w:line="30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d）审查知识管理策略（包括知识来源、共享范围、更新升级、传播方式等）</w:t>
            </w:r>
          </w:p>
          <w:p w14:paraId="66404D8C">
            <w:pPr>
              <w:spacing w:line="30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e）审查知识库使用手册和知识维护（添加、更新等）记录。</w:t>
            </w:r>
          </w:p>
          <w:p w14:paraId="7F69C55D">
            <w:pPr>
              <w:spacing w:line="30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F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）知识管理和使用制度；知识库与相关文档的符合性。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highlight w:val="none"/>
              </w:rPr>
              <w:t>知识管理的角色应落实到具体人员。</w:t>
            </w:r>
          </w:p>
        </w:tc>
        <w:tc>
          <w:tcPr>
            <w:tcW w:w="4394" w:type="dxa"/>
          </w:tcPr>
          <w:p w14:paraId="51A50A4C">
            <w:pPr>
              <w:widowControl/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highlight w:val="none"/>
                <w:lang w:val="en-US" w:eastAsia="zh-CN" w:bidi="ar-SA"/>
              </w:rPr>
              <w:t>访谈人员：</w:t>
            </w:r>
            <w:r>
              <w:rPr>
                <w:rFonts w:hint="eastAsia" w:ascii="宋体" w:hAnsi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>运维部经理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 xml:space="preserve">  </w:t>
            </w:r>
            <w:r>
              <w:rPr>
                <w:rFonts w:hint="eastAsia" w:ascii="宋体" w:hAnsi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>崔新国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 xml:space="preserve"> </w:t>
            </w:r>
          </w:p>
          <w:p w14:paraId="7D41A4AC">
            <w:pPr>
              <w:widowControl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highlight w:val="none"/>
                <w:lang w:val="en-US" w:eastAsia="zh-CN" w:bidi="ar-SA"/>
              </w:rPr>
              <w:t>检查的文件或记录：</w:t>
            </w:r>
          </w:p>
          <w:p w14:paraId="0C80ECBE">
            <w:pPr>
              <w:spacing w:line="360" w:lineRule="auto"/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default" w:ascii="宋体" w:hAnsi="宋体" w:cs="宋体"/>
                <w:kern w:val="2"/>
                <w:sz w:val="18"/>
                <w:szCs w:val="18"/>
                <w:highlight w:val="none"/>
                <w:lang w:eastAsia="zh-CN" w:bidi="ar-SA"/>
              </w:rPr>
              <w:t>《知识库管理制度》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Hans" w:bidi="ar-SA"/>
              </w:rPr>
              <w:t>、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>运维过程管理工具-知识库模块</w:t>
            </w:r>
          </w:p>
          <w:p w14:paraId="48FE9FE9">
            <w:pPr>
              <w:pStyle w:val="367"/>
              <w:ind w:firstLine="0" w:firstLineChars="0"/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highlight w:val="none"/>
                <w:lang w:val="en-US" w:eastAsia="zh-CN" w:bidi="ar-SA"/>
              </w:rPr>
              <w:t>评估情况说明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>：</w:t>
            </w:r>
          </w:p>
          <w:p w14:paraId="7C11D992">
            <w:pPr>
              <w:pStyle w:val="367"/>
              <w:ind w:firstLine="0" w:firstLineChars="0"/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>公司制定了</w:t>
            </w:r>
            <w:r>
              <w:rPr>
                <w:rFonts w:hint="default" w:ascii="宋体" w:hAnsi="宋体" w:cs="宋体"/>
                <w:kern w:val="2"/>
                <w:sz w:val="18"/>
                <w:szCs w:val="18"/>
                <w:highlight w:val="none"/>
                <w:lang w:eastAsia="zh-CN" w:bidi="ar-SA"/>
              </w:rPr>
              <w:t>《知识库管理制度》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Hans" w:bidi="ar-SA"/>
              </w:rPr>
              <w:t>，对知识的管理进行了要求。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>查看了运维过程管理工具-知识库模块的知识库及相关出入库记录。中对于知识数量及访问数据进行了统计，改进了知识库衡量指标。</w:t>
            </w:r>
          </w:p>
          <w:p w14:paraId="0A1D23C1">
            <w:pPr>
              <w:pStyle w:val="299"/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>采用腾讯会议远程审核</w:t>
            </w:r>
          </w:p>
          <w:p w14:paraId="449AD3E9">
            <w:pPr>
              <w:widowControl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highlight w:val="none"/>
                <w:lang w:val="en-US" w:eastAsia="zh-CN" w:bidi="ar-SA"/>
              </w:rPr>
              <w:t>评估发现：</w:t>
            </w:r>
          </w:p>
          <w:p w14:paraId="0FBA5A98">
            <w:pPr>
              <w:widowControl/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>■满足要求</w:t>
            </w:r>
          </w:p>
          <w:p w14:paraId="561866A7">
            <w:pPr>
              <w:widowControl/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>□改进项</w:t>
            </w:r>
          </w:p>
          <w:p w14:paraId="03E764A8">
            <w:pPr>
              <w:widowControl/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>□一般不符合</w:t>
            </w:r>
          </w:p>
          <w:p w14:paraId="2081E781">
            <w:pPr>
              <w:spacing w:line="300" w:lineRule="exact"/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>□严重不符合</w:t>
            </w:r>
          </w:p>
        </w:tc>
      </w:tr>
    </w:tbl>
    <w:p w14:paraId="4EF4B663">
      <w:pPr>
        <w:widowControl/>
        <w:tabs>
          <w:tab w:val="center" w:pos="4201"/>
          <w:tab w:val="right" w:leader="dot" w:pos="9298"/>
        </w:tabs>
        <w:autoSpaceDE w:val="0"/>
        <w:autoSpaceDN w:val="0"/>
        <w:ind w:firstLine="360" w:firstLineChars="200"/>
        <w:jc w:val="center"/>
        <w:rPr>
          <w:rFonts w:ascii="宋体" w:hAnsi="宋体" w:cs="Times New Roman"/>
          <w:kern w:val="0"/>
          <w:sz w:val="18"/>
          <w:szCs w:val="18"/>
          <w:highlight w:val="none"/>
        </w:rPr>
      </w:pPr>
    </w:p>
    <w:p w14:paraId="78C7C8FD">
      <w:pPr>
        <w:widowControl/>
        <w:tabs>
          <w:tab w:val="center" w:pos="4201"/>
          <w:tab w:val="right" w:leader="dot" w:pos="9298"/>
        </w:tabs>
        <w:autoSpaceDE w:val="0"/>
        <w:autoSpaceDN w:val="0"/>
        <w:ind w:firstLine="360" w:firstLineChars="200"/>
        <w:jc w:val="center"/>
        <w:rPr>
          <w:rFonts w:cs="Times New Roman" w:asciiTheme="minorEastAsia" w:hAnsiTheme="minorEastAsia" w:eastAsiaTheme="minorEastAsia"/>
          <w:kern w:val="0"/>
          <w:sz w:val="18"/>
          <w:szCs w:val="18"/>
          <w:highlight w:val="none"/>
        </w:rPr>
      </w:pPr>
      <w:r>
        <w:rPr>
          <w:rFonts w:ascii="宋体" w:hAnsi="宋体" w:cs="Times New Roman"/>
          <w:kern w:val="0"/>
          <w:sz w:val="18"/>
          <w:szCs w:val="18"/>
          <w:highlight w:val="none"/>
        </w:rPr>
        <w:br w:type="page"/>
      </w:r>
    </w:p>
    <w:p w14:paraId="2CA8041E">
      <w:pPr>
        <w:widowControl/>
        <w:outlineLvl w:val="1"/>
        <w:rPr>
          <w:rFonts w:cs="Times New Roman" w:asciiTheme="minorEastAsia" w:hAnsiTheme="minorEastAsia" w:eastAsiaTheme="minorEastAsia"/>
          <w:kern w:val="0"/>
          <w:sz w:val="18"/>
          <w:szCs w:val="18"/>
          <w:highlight w:val="none"/>
        </w:rPr>
      </w:pPr>
      <w:bookmarkStart w:id="3" w:name="_Toc393705696"/>
      <w:r>
        <w:rPr>
          <w:rFonts w:hint="eastAsia" w:cs="Times New Roman" w:asciiTheme="minorEastAsia" w:hAnsiTheme="minorEastAsia" w:eastAsiaTheme="minorEastAsia"/>
          <w:kern w:val="0"/>
          <w:sz w:val="18"/>
          <w:szCs w:val="18"/>
          <w:highlight w:val="none"/>
        </w:rPr>
        <w:t>4</w:t>
      </w:r>
      <w:r>
        <w:rPr>
          <w:rFonts w:cs="Times New Roman" w:asciiTheme="minorEastAsia" w:hAnsiTheme="minorEastAsia" w:eastAsiaTheme="minorEastAsia"/>
          <w:kern w:val="0"/>
          <w:sz w:val="18"/>
          <w:szCs w:val="18"/>
          <w:highlight w:val="none"/>
        </w:rPr>
        <w:t xml:space="preserve"> 技术要求</w:t>
      </w:r>
      <w:bookmarkEnd w:id="3"/>
    </w:p>
    <w:tbl>
      <w:tblPr>
        <w:tblStyle w:val="85"/>
        <w:tblW w:w="1527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3827"/>
        <w:gridCol w:w="1843"/>
        <w:gridCol w:w="3969"/>
        <w:gridCol w:w="4292"/>
      </w:tblGrid>
      <w:tr w14:paraId="2F7F71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48" w:type="dxa"/>
            <w:tcMar>
              <w:left w:w="85" w:type="dxa"/>
              <w:right w:w="85" w:type="dxa"/>
            </w:tcMar>
            <w:vAlign w:val="center"/>
          </w:tcPr>
          <w:p w14:paraId="2D4C4F89">
            <w:pPr>
              <w:widowControl/>
              <w:jc w:val="center"/>
              <w:rPr>
                <w:rFonts w:cs="Arial Unicode MS" w:asciiTheme="minorEastAsia" w:hAnsiTheme="minorEastAsia" w:eastAsiaTheme="minorEastAsia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标准</w:t>
            </w: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/>
              </w:rPr>
              <w:t>条款号</w:t>
            </w:r>
          </w:p>
        </w:tc>
        <w:tc>
          <w:tcPr>
            <w:tcW w:w="3827" w:type="dxa"/>
            <w:tcMar>
              <w:left w:w="85" w:type="dxa"/>
              <w:right w:w="85" w:type="dxa"/>
            </w:tcMar>
            <w:vAlign w:val="center"/>
          </w:tcPr>
          <w:p w14:paraId="758F8136">
            <w:pPr>
              <w:widowControl/>
              <w:jc w:val="center"/>
              <w:rPr>
                <w:rFonts w:cs="Arial Unicode MS" w:asciiTheme="minorEastAsia" w:hAnsiTheme="minorEastAsia" w:eastAsiaTheme="minorEastAsia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成熟度要求</w:t>
            </w:r>
          </w:p>
        </w:tc>
        <w:tc>
          <w:tcPr>
            <w:tcW w:w="1843" w:type="dxa"/>
            <w:vAlign w:val="center"/>
          </w:tcPr>
          <w:p w14:paraId="668132F3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</w:pPr>
            <w:r>
              <w:rPr>
                <w:rFonts w:cs="宋体" w:asciiTheme="minorEastAsia" w:hAnsiTheme="minorEastAsia" w:eastAsiaTheme="minorEastAsia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关键指标</w:t>
            </w:r>
          </w:p>
        </w:tc>
        <w:tc>
          <w:tcPr>
            <w:tcW w:w="3969" w:type="dxa"/>
          </w:tcPr>
          <w:p w14:paraId="6BBCF55B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/>
              </w:rPr>
              <w:t>审核要点</w:t>
            </w:r>
          </w:p>
        </w:tc>
        <w:tc>
          <w:tcPr>
            <w:tcW w:w="4292" w:type="dxa"/>
          </w:tcPr>
          <w:p w14:paraId="6CF80F9D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/>
              </w:rPr>
              <w:t>评估情况说明</w:t>
            </w:r>
          </w:p>
        </w:tc>
      </w:tr>
      <w:tr w14:paraId="407B1E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4" w:hRule="atLeast"/>
          <w:jc w:val="center"/>
        </w:trPr>
        <w:tc>
          <w:tcPr>
            <w:tcW w:w="1348" w:type="dxa"/>
            <w:tcMar>
              <w:left w:w="85" w:type="dxa"/>
              <w:right w:w="85" w:type="dxa"/>
            </w:tcMar>
            <w:vAlign w:val="center"/>
          </w:tcPr>
          <w:p w14:paraId="712F524A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val="zh-TW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GB/T 28827.1-2012</w:t>
            </w:r>
          </w:p>
          <w:p w14:paraId="4CBB074E">
            <w:pPr>
              <w:widowControl/>
              <w:jc w:val="center"/>
              <w:rPr>
                <w:rFonts w:cs="Arial Unicode MS" w:asciiTheme="minorEastAsia" w:hAnsiTheme="minorEastAsia" w:eastAsiaTheme="minorEastAsia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 xml:space="preserve">8.2 </w:t>
            </w: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技术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val="zh-TW"/>
              </w:rPr>
              <w:t>软件开发</w:t>
            </w:r>
          </w:p>
        </w:tc>
        <w:tc>
          <w:tcPr>
            <w:tcW w:w="3827" w:type="dxa"/>
            <w:tcMar>
              <w:left w:w="85" w:type="dxa"/>
              <w:right w:w="85" w:type="dxa"/>
            </w:tcMar>
            <w:vAlign w:val="center"/>
          </w:tcPr>
          <w:p w14:paraId="77DC4C62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32A3D74F">
            <w:pPr>
              <w:widowControl/>
              <w:spacing w:line="240" w:lineRule="exact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制定详细的运维服务技术软件开发规划并得到实施，重点关注以下方面：</w:t>
            </w:r>
          </w:p>
          <w:p w14:paraId="2481A5E1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) 运维技术软件开发应与业务发展匹配；</w:t>
            </w:r>
          </w:p>
          <w:p w14:paraId="5301BE94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) 根据业务及市场分析，制定软件开发规划文件，规划文件应包括当前技术的发展动态分析、拟关注的重点方向、拟软件开发的技术与业务的关联程度等内容；</w:t>
            </w:r>
          </w:p>
          <w:p w14:paraId="19169276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c) 软件开发规划得到实施，具备与规划相适应的软件开发组织结构和人员数量、软件开发经费投入、软件开发环境以及软件开发成果等。</w:t>
            </w:r>
          </w:p>
        </w:tc>
        <w:tc>
          <w:tcPr>
            <w:tcW w:w="1843" w:type="dxa"/>
            <w:vAlign w:val="center"/>
          </w:tcPr>
          <w:p w14:paraId="65FD47F9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a) 软件开发投入经费；</w:t>
            </w:r>
          </w:p>
          <w:p w14:paraId="6338E0FF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b) 软件开发成果数量；</w:t>
            </w:r>
          </w:p>
          <w:p w14:paraId="07CE6AC0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c) 技术软件开发规划文件内容的完整性。</w:t>
            </w:r>
          </w:p>
        </w:tc>
        <w:tc>
          <w:tcPr>
            <w:tcW w:w="3969" w:type="dxa"/>
            <w:vAlign w:val="center"/>
          </w:tcPr>
          <w:p w14:paraId="5A24E6DD">
            <w:pPr>
              <w:widowControl/>
              <w:spacing w:line="300" w:lineRule="exact"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a）审查软件开发规划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都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文件（包括当前技术的发展动态分析、拟关注的重点方向、拟软件开发的技术与业务的关联程度等），软件开发队伍组织结构和人员数量，软件开发经费投入，软件开发成果数量</w:t>
            </w:r>
          </w:p>
          <w:p w14:paraId="2C7CE3D2">
            <w:pPr>
              <w:widowControl/>
              <w:spacing w:line="300" w:lineRule="exact"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b）现场抽查：实际软件开发环境和软件开发成果</w:t>
            </w:r>
          </w:p>
          <w:p w14:paraId="7E49E0A2">
            <w:pPr>
              <w:spacing w:line="300" w:lineRule="exact"/>
              <w:rPr>
                <w:rFonts w:cs="宋体" w:asciiTheme="minorEastAsia" w:hAnsiTheme="minorEastAsia" w:eastAsiaTheme="minorEastAsia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注：技术是指与服务产品或运维相关的技术，可以是方法、手段、工具链。</w:t>
            </w:r>
          </w:p>
        </w:tc>
        <w:tc>
          <w:tcPr>
            <w:tcW w:w="4292" w:type="dxa"/>
          </w:tcPr>
          <w:p w14:paraId="66EADC19">
            <w:pPr>
              <w:widowControl/>
              <w:rPr>
                <w:rFonts w:hint="eastAsia" w:eastAsia="宋体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highlight w:val="none"/>
              </w:rPr>
              <w:t>访谈人员</w:t>
            </w:r>
            <w:r>
              <w:rPr>
                <w:rFonts w:hint="eastAsia"/>
                <w:sz w:val="18"/>
                <w:szCs w:val="18"/>
                <w:highlight w:val="none"/>
              </w:rPr>
              <w:t>：</w:t>
            </w:r>
            <w:r>
              <w:rPr>
                <w:rFonts w:hint="eastAsia"/>
                <w:sz w:val="18"/>
                <w:szCs w:val="18"/>
                <w:highlight w:val="none"/>
                <w:lang w:eastAsia="zh-CN"/>
              </w:rPr>
              <w:t>开发</w:t>
            </w:r>
            <w:r>
              <w:rPr>
                <w:rFonts w:hint="eastAsia"/>
                <w:sz w:val="18"/>
                <w:szCs w:val="18"/>
                <w:highlight w:val="none"/>
              </w:rPr>
              <w:t xml:space="preserve">部经理   </w:t>
            </w:r>
            <w:r>
              <w:rPr>
                <w:rFonts w:hint="eastAsia"/>
                <w:sz w:val="18"/>
                <w:szCs w:val="18"/>
                <w:highlight w:val="none"/>
                <w:lang w:eastAsia="zh-CN"/>
              </w:rPr>
              <w:t>刘丹</w:t>
            </w:r>
          </w:p>
          <w:p w14:paraId="3414098B">
            <w:pPr>
              <w:widowControl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b/>
                <w:sz w:val="18"/>
                <w:szCs w:val="18"/>
                <w:highlight w:val="none"/>
              </w:rPr>
              <w:t>检查的文件或记录</w:t>
            </w:r>
            <w:r>
              <w:rPr>
                <w:rFonts w:hint="eastAsia"/>
                <w:sz w:val="18"/>
                <w:szCs w:val="18"/>
                <w:highlight w:val="none"/>
              </w:rPr>
              <w:t>：</w:t>
            </w:r>
          </w:p>
          <w:p w14:paraId="1A7EE492">
            <w:pPr>
              <w:widowControl/>
              <w:rPr>
                <w:rFonts w:hint="eastAsia" w:ascii="宋体" w:hAnsi="宋体" w:cs="宋体"/>
                <w:sz w:val="18"/>
                <w:highlight w:val="none"/>
              </w:rPr>
            </w:pPr>
            <w:r>
              <w:rPr>
                <w:rFonts w:hint="default" w:ascii="宋体"/>
                <w:sz w:val="18"/>
                <w:szCs w:val="18"/>
                <w:highlight w:val="none"/>
              </w:rPr>
              <w:t>《运维技术研发管理制度》</w:t>
            </w:r>
            <w:r>
              <w:rPr>
                <w:rFonts w:hint="eastAsia" w:ascii="宋体" w:hAnsi="宋体" w:cs="宋体"/>
                <w:sz w:val="18"/>
                <w:highlight w:val="none"/>
                <w:lang w:eastAsia="zh-Hans"/>
              </w:rPr>
              <w:t>、</w:t>
            </w:r>
            <w:r>
              <w:rPr>
                <w:rFonts w:hint="default" w:ascii="宋体" w:hAnsi="宋体" w:cs="宋体"/>
                <w:sz w:val="18"/>
                <w:highlight w:val="none"/>
              </w:rPr>
              <w:t>《运维技术研发规划》</w:t>
            </w:r>
            <w:r>
              <w:rPr>
                <w:rFonts w:hint="eastAsia" w:ascii="宋体" w:hAnsi="宋体" w:cs="宋体"/>
                <w:sz w:val="18"/>
                <w:highlight w:val="none"/>
                <w:lang w:eastAsia="zh-Hans"/>
              </w:rPr>
              <w:t>、</w:t>
            </w:r>
            <w:r>
              <w:rPr>
                <w:rFonts w:hint="default" w:ascii="宋体" w:hAnsi="宋体" w:cs="宋体"/>
                <w:sz w:val="18"/>
                <w:highlight w:val="none"/>
              </w:rPr>
              <w:t>《运维技术研发成果说明》</w:t>
            </w:r>
          </w:p>
          <w:p w14:paraId="5BC8C620">
            <w:pPr>
              <w:widowControl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b/>
                <w:sz w:val="18"/>
                <w:szCs w:val="18"/>
                <w:highlight w:val="none"/>
              </w:rPr>
              <w:t>评估情况说明</w:t>
            </w:r>
            <w:r>
              <w:rPr>
                <w:rFonts w:hint="eastAsia"/>
                <w:sz w:val="18"/>
                <w:szCs w:val="18"/>
                <w:highlight w:val="none"/>
              </w:rPr>
              <w:t xml:space="preserve">： </w:t>
            </w:r>
          </w:p>
          <w:p w14:paraId="6C931B5D">
            <w:pPr>
              <w:widowControl/>
              <w:rPr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sz w:val="18"/>
                <w:highlight w:val="none"/>
              </w:rPr>
              <w:t>查看了</w:t>
            </w:r>
            <w:r>
              <w:rPr>
                <w:rFonts w:hint="default" w:ascii="宋体"/>
                <w:sz w:val="18"/>
                <w:szCs w:val="18"/>
                <w:highlight w:val="none"/>
              </w:rPr>
              <w:t>《运维技术研发管理制度》</w:t>
            </w:r>
            <w:r>
              <w:rPr>
                <w:rFonts w:hint="eastAsia" w:ascii="宋体" w:hAnsi="宋体" w:cs="宋体"/>
                <w:sz w:val="18"/>
                <w:highlight w:val="none"/>
              </w:rPr>
              <w:t>，其中对研发工作组织、程序、团队，经费落实,以及研发环境建设等进行了规定，同时定义了技术研发规划、技术研发实施及研发成果应用及改进</w:t>
            </w:r>
            <w:r>
              <w:rPr>
                <w:rFonts w:hint="eastAsia" w:ascii="宋体" w:hAnsi="宋体" w:cs="宋体"/>
                <w:sz w:val="18"/>
                <w:highlight w:val="none"/>
                <w:lang w:eastAsia="zh-Hans"/>
              </w:rPr>
              <w:t>。</w:t>
            </w:r>
            <w:r>
              <w:rPr>
                <w:rFonts w:hint="eastAsia" w:ascii="宋体" w:hAnsi="宋体" w:cs="宋体"/>
                <w:sz w:val="18"/>
                <w:highlight w:val="none"/>
              </w:rPr>
              <w:t>由</w:t>
            </w:r>
            <w:r>
              <w:rPr>
                <w:rFonts w:hint="eastAsia" w:ascii="宋体" w:hAnsi="宋体" w:cs="宋体"/>
                <w:sz w:val="18"/>
                <w:highlight w:val="none"/>
                <w:lang w:val="en-US" w:eastAsia="zh-Hans"/>
              </w:rPr>
              <w:t>开发</w:t>
            </w:r>
            <w:r>
              <w:rPr>
                <w:rFonts w:hint="eastAsia" w:ascii="宋体" w:hAnsi="宋体" w:cs="宋体"/>
                <w:sz w:val="18"/>
                <w:highlight w:val="none"/>
              </w:rPr>
              <w:t>部负责运维工具研发，研发人员负责运维手册、操作手册的开发和维护；根据研发计划的关键节点进行研发人员的绩效考核。查看了</w:t>
            </w:r>
            <w:r>
              <w:rPr>
                <w:rFonts w:hint="default" w:ascii="宋体" w:hAnsi="宋体" w:cs="宋体"/>
                <w:sz w:val="18"/>
                <w:highlight w:val="none"/>
              </w:rPr>
              <w:t>《运维技术研发规划》</w:t>
            </w:r>
            <w:r>
              <w:rPr>
                <w:rFonts w:hint="eastAsia" w:ascii="宋体" w:hAnsi="宋体" w:cs="宋体"/>
                <w:sz w:val="18"/>
                <w:highlight w:val="none"/>
              </w:rPr>
              <w:t>对研发项目进行了规划，主要包括：研发技术研究与突破、与发现问题相关的技术、与解决问题相关的技术、研究成果与应用规划等。查看</w:t>
            </w:r>
            <w:r>
              <w:rPr>
                <w:rFonts w:hint="default" w:ascii="宋体"/>
                <w:sz w:val="18"/>
                <w:szCs w:val="18"/>
                <w:highlight w:val="none"/>
              </w:rPr>
              <w:t>《运维技术研发成果说明》</w:t>
            </w:r>
            <w:r>
              <w:rPr>
                <w:rFonts w:hint="eastAsia"/>
                <w:sz w:val="18"/>
                <w:szCs w:val="18"/>
                <w:highlight w:val="none"/>
              </w:rPr>
              <w:t>，对技术方面、团队建设及管理、研发过程改进等进行了详细的总结分析。</w:t>
            </w:r>
          </w:p>
          <w:p w14:paraId="74247A59">
            <w:pPr>
              <w:pStyle w:val="299"/>
              <w:rPr>
                <w:sz w:val="18"/>
                <w:szCs w:val="18"/>
                <w:highlight w:val="none"/>
              </w:rPr>
            </w:pPr>
            <w:r>
              <w:rPr>
                <w:rFonts w:hint="default" w:ascii="宋体" w:hAnsi="宋体" w:cs="宋体"/>
                <w:color w:val="auto"/>
                <w:sz w:val="18"/>
                <w:szCs w:val="18"/>
                <w:highlight w:val="none"/>
              </w:rPr>
              <w:t>采用腾讯会议远程审核</w:t>
            </w:r>
          </w:p>
          <w:p w14:paraId="69F59A1D">
            <w:pPr>
              <w:widowControl/>
              <w:rPr>
                <w:rFonts w:ascii="宋体" w:hAnsi="宋体" w:cs="宋体"/>
                <w:b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b/>
                <w:kern w:val="0"/>
                <w:sz w:val="18"/>
                <w:szCs w:val="18"/>
                <w:highlight w:val="none"/>
                <w:u w:color="000000"/>
              </w:rPr>
              <w:t>评估发现：</w:t>
            </w:r>
          </w:p>
          <w:p w14:paraId="26DE037E">
            <w:pPr>
              <w:widowControl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■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满足要求</w:t>
            </w:r>
          </w:p>
          <w:p w14:paraId="20F6609E">
            <w:pPr>
              <w:widowControl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□ 改进项</w:t>
            </w:r>
          </w:p>
          <w:p w14:paraId="46C69C76">
            <w:pPr>
              <w:widowControl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□一般不符合</w:t>
            </w:r>
          </w:p>
          <w:p w14:paraId="2DF3CB6B">
            <w:pPr>
              <w:spacing w:line="240" w:lineRule="exac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□ 严重不符合</w:t>
            </w:r>
          </w:p>
        </w:tc>
      </w:tr>
      <w:tr w14:paraId="5285FC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  <w:jc w:val="center"/>
        </w:trPr>
        <w:tc>
          <w:tcPr>
            <w:tcW w:w="1348" w:type="dxa"/>
            <w:tcMar>
              <w:left w:w="85" w:type="dxa"/>
              <w:right w:w="85" w:type="dxa"/>
            </w:tcMar>
            <w:vAlign w:val="center"/>
          </w:tcPr>
          <w:p w14:paraId="21C5CD98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val="zh-TW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GB/T 28827.1-2012</w:t>
            </w:r>
          </w:p>
          <w:p w14:paraId="71E6318B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8.3</w:t>
            </w: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与发现问题相关的技术</w:t>
            </w:r>
          </w:p>
        </w:tc>
        <w:tc>
          <w:tcPr>
            <w:tcW w:w="3827" w:type="dxa"/>
            <w:tcMar>
              <w:left w:w="85" w:type="dxa"/>
              <w:right w:w="85" w:type="dxa"/>
            </w:tcMar>
            <w:vAlign w:val="center"/>
          </w:tcPr>
          <w:p w14:paraId="4530C5CA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27581BA3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拥有与发现问题相关的技术，并重点关注以下方面：</w:t>
            </w:r>
          </w:p>
          <w:p w14:paraId="288BE155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) 拥有核心的运维服务工具，为运维数据的信息采集、监控提供支撑，并配备信息采集和监控技术的说明文件；</w:t>
            </w:r>
          </w:p>
          <w:p w14:paraId="3D41BCA9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b) 对问题的诊断和分析有较完备的流程体系，例如能够借助知识库解决问题等；</w:t>
            </w:r>
          </w:p>
          <w:p w14:paraId="65B5DE5F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c) 有效利用诊断方案和分析手册。</w:t>
            </w:r>
          </w:p>
        </w:tc>
        <w:tc>
          <w:tcPr>
            <w:tcW w:w="1843" w:type="dxa"/>
            <w:vAlign w:val="center"/>
          </w:tcPr>
          <w:p w14:paraId="075DE45A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a) 信息采集手段的可用性和使用便捷性；</w:t>
            </w:r>
          </w:p>
          <w:p w14:paraId="5159CE52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b) 诊断方案或手册的有效性。</w:t>
            </w:r>
          </w:p>
        </w:tc>
        <w:tc>
          <w:tcPr>
            <w:tcW w:w="3969" w:type="dxa"/>
            <w:vAlign w:val="center"/>
          </w:tcPr>
          <w:p w14:paraId="7885E47A">
            <w:pPr>
              <w:widowControl/>
              <w:spacing w:line="300" w:lineRule="exact"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a）审查信息采集和监控技术的说明文件、诊断和分析问题的知识记录文档；至少要有对典型故障或问题进行分析诊断的操作流程。</w:t>
            </w:r>
          </w:p>
        </w:tc>
        <w:tc>
          <w:tcPr>
            <w:tcW w:w="4292" w:type="dxa"/>
          </w:tcPr>
          <w:p w14:paraId="441D0114">
            <w:pPr>
              <w:widowControl/>
              <w:rPr>
                <w:rFonts w:hint="eastAsia" w:ascii="宋体" w:hAnsi="宋体" w:eastAsia="宋体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highlight w:val="none"/>
              </w:rPr>
              <w:t>访谈人员</w:t>
            </w:r>
            <w:r>
              <w:rPr>
                <w:rFonts w:hint="eastAsia"/>
                <w:sz w:val="18"/>
                <w:szCs w:val="18"/>
                <w:highlight w:val="none"/>
              </w:rPr>
              <w:t>：</w:t>
            </w:r>
            <w:r>
              <w:rPr>
                <w:rFonts w:hint="eastAsia"/>
                <w:sz w:val="18"/>
                <w:szCs w:val="18"/>
                <w:highlight w:val="none"/>
                <w:lang w:eastAsia="zh-CN"/>
              </w:rPr>
              <w:t>开发部</w:t>
            </w:r>
            <w:r>
              <w:rPr>
                <w:rFonts w:hint="eastAsia"/>
                <w:sz w:val="18"/>
                <w:szCs w:val="18"/>
                <w:highlight w:val="none"/>
              </w:rPr>
              <w:t xml:space="preserve">经理   </w:t>
            </w:r>
            <w:r>
              <w:rPr>
                <w:rFonts w:hint="eastAsia"/>
                <w:sz w:val="18"/>
                <w:szCs w:val="18"/>
                <w:highlight w:val="none"/>
                <w:lang w:eastAsia="zh-CN"/>
              </w:rPr>
              <w:t>刘丹</w:t>
            </w:r>
          </w:p>
          <w:p w14:paraId="02D33719">
            <w:pPr>
              <w:widowControl/>
              <w:rPr>
                <w:rFonts w:hint="eastAsia"/>
                <w:sz w:val="18"/>
                <w:szCs w:val="18"/>
                <w:highlight w:val="none"/>
              </w:rPr>
            </w:pPr>
            <w:r>
              <w:rPr>
                <w:rFonts w:hint="eastAsia"/>
                <w:b/>
                <w:sz w:val="18"/>
                <w:szCs w:val="18"/>
                <w:highlight w:val="none"/>
              </w:rPr>
              <w:t>检查的文件或记录</w:t>
            </w:r>
            <w:r>
              <w:rPr>
                <w:rFonts w:hint="eastAsia"/>
                <w:sz w:val="18"/>
                <w:szCs w:val="18"/>
                <w:highlight w:val="none"/>
              </w:rPr>
              <w:t>：</w:t>
            </w:r>
          </w:p>
          <w:p w14:paraId="679AD009">
            <w:pPr>
              <w:widowControl/>
              <w:rPr>
                <w:rFonts w:hint="eastAsia" w:eastAsia="宋体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《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24"/>
                <w:highlight w:val="none"/>
                <w:lang w:val="en-US" w:eastAsia="zh-CN" w:bidi="ar-SA"/>
              </w:rPr>
              <w:t>网络设备日常运维操作手册</w:t>
            </w:r>
            <w:r>
              <w:rPr>
                <w:rFonts w:hint="eastAsia"/>
                <w:sz w:val="18"/>
                <w:szCs w:val="18"/>
                <w:highlight w:val="none"/>
              </w:rPr>
              <w:t>》</w:t>
            </w:r>
            <w:r>
              <w:rPr>
                <w:rFonts w:hint="eastAsia"/>
                <w:sz w:val="18"/>
                <w:szCs w:val="18"/>
                <w:highlight w:val="none"/>
                <w:lang w:eastAsia="zh-CN"/>
              </w:rPr>
              <w:t>、</w:t>
            </w:r>
            <w:r>
              <w:rPr>
                <w:rFonts w:hint="eastAsia"/>
                <w:sz w:val="18"/>
                <w:szCs w:val="18"/>
                <w:highlight w:val="none"/>
                <w:lang w:eastAsia="zh-Hans"/>
              </w:rPr>
              <w:t>《监控设备管理平台操作手册》</w:t>
            </w:r>
          </w:p>
          <w:p w14:paraId="39F8C18F">
            <w:pPr>
              <w:widowControl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b/>
                <w:sz w:val="18"/>
                <w:szCs w:val="18"/>
                <w:highlight w:val="none"/>
              </w:rPr>
              <w:t>评估情况说明</w:t>
            </w:r>
            <w:r>
              <w:rPr>
                <w:rFonts w:hint="eastAsia"/>
                <w:sz w:val="18"/>
                <w:szCs w:val="18"/>
                <w:highlight w:val="none"/>
              </w:rPr>
              <w:t xml:space="preserve">： </w:t>
            </w:r>
          </w:p>
          <w:p w14:paraId="25249FD2">
            <w:pPr>
              <w:widowControl/>
              <w:rPr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sz w:val="18"/>
                <w:highlight w:val="none"/>
              </w:rPr>
              <w:t>公司根据项目需要，编制了</w:t>
            </w:r>
            <w:r>
              <w:rPr>
                <w:rFonts w:hint="eastAsia"/>
                <w:sz w:val="18"/>
                <w:szCs w:val="18"/>
                <w:highlight w:val="none"/>
              </w:rPr>
              <w:t>《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24"/>
                <w:highlight w:val="none"/>
                <w:lang w:val="en-US" w:eastAsia="zh-CN" w:bidi="ar-SA"/>
              </w:rPr>
              <w:t>网络设备日常运维操作手册</w:t>
            </w:r>
            <w:r>
              <w:rPr>
                <w:rFonts w:hint="eastAsia"/>
                <w:sz w:val="18"/>
                <w:szCs w:val="18"/>
                <w:highlight w:val="none"/>
              </w:rPr>
              <w:t>》</w:t>
            </w:r>
            <w:r>
              <w:rPr>
                <w:rFonts w:hint="eastAsia"/>
                <w:sz w:val="18"/>
                <w:szCs w:val="18"/>
                <w:highlight w:val="none"/>
                <w:lang w:eastAsia="zh-CN"/>
              </w:rPr>
              <w:t>、</w:t>
            </w:r>
            <w:r>
              <w:rPr>
                <w:rFonts w:hint="eastAsia"/>
                <w:sz w:val="18"/>
                <w:szCs w:val="18"/>
                <w:highlight w:val="none"/>
                <w:lang w:eastAsia="zh-Hans"/>
              </w:rPr>
              <w:t>《监控设备管理平台操作手册》</w:t>
            </w:r>
            <w:r>
              <w:rPr>
                <w:rFonts w:hint="eastAsia"/>
                <w:sz w:val="18"/>
                <w:szCs w:val="18"/>
                <w:highlight w:val="none"/>
                <w:lang w:val="en-US" w:eastAsia="zh-Hans"/>
              </w:rPr>
              <w:t>等</w:t>
            </w:r>
            <w:r>
              <w:rPr>
                <w:rFonts w:hint="eastAsia"/>
                <w:sz w:val="18"/>
                <w:szCs w:val="18"/>
                <w:highlight w:val="none"/>
                <w:lang w:val="en-US" w:eastAsia="zh-CN"/>
              </w:rPr>
              <w:t>日常</w:t>
            </w:r>
            <w:r>
              <w:rPr>
                <w:rFonts w:hint="eastAsia"/>
                <w:sz w:val="18"/>
                <w:szCs w:val="18"/>
                <w:highlight w:val="none"/>
                <w:lang w:val="en-US" w:eastAsia="zh-Hans"/>
              </w:rPr>
              <w:t>巡检</w:t>
            </w:r>
            <w:r>
              <w:rPr>
                <w:rFonts w:hint="eastAsia"/>
                <w:sz w:val="18"/>
                <w:szCs w:val="18"/>
                <w:highlight w:val="none"/>
                <w:lang w:val="en-US" w:eastAsia="zh-CN"/>
              </w:rPr>
              <w:t>操作手册</w:t>
            </w:r>
            <w:r>
              <w:rPr>
                <w:rFonts w:hint="eastAsia"/>
                <w:sz w:val="18"/>
                <w:szCs w:val="18"/>
                <w:highlight w:val="none"/>
              </w:rPr>
              <w:t>，用于</w:t>
            </w:r>
            <w:r>
              <w:rPr>
                <w:rFonts w:hint="eastAsia"/>
                <w:sz w:val="18"/>
                <w:szCs w:val="18"/>
                <w:highlight w:val="none"/>
                <w:lang w:eastAsia="zh-CN"/>
              </w:rPr>
              <w:t>指导日常操作</w:t>
            </w:r>
            <w:r>
              <w:rPr>
                <w:rFonts w:hint="eastAsia"/>
                <w:sz w:val="18"/>
                <w:szCs w:val="18"/>
                <w:highlight w:val="none"/>
                <w:lang w:val="en-US" w:eastAsia="zh-Hans"/>
              </w:rPr>
              <w:t>及发现问题</w:t>
            </w:r>
            <w:r>
              <w:rPr>
                <w:rFonts w:hint="eastAsia"/>
                <w:sz w:val="18"/>
                <w:szCs w:val="18"/>
                <w:highlight w:val="none"/>
              </w:rPr>
              <w:t>。</w:t>
            </w:r>
          </w:p>
          <w:p w14:paraId="62811AE7">
            <w:pPr>
              <w:pStyle w:val="299"/>
              <w:rPr>
                <w:sz w:val="18"/>
                <w:szCs w:val="18"/>
                <w:highlight w:val="none"/>
              </w:rPr>
            </w:pPr>
            <w:r>
              <w:rPr>
                <w:rFonts w:hint="default" w:ascii="宋体" w:hAnsi="宋体" w:cs="宋体"/>
                <w:color w:val="auto"/>
                <w:sz w:val="18"/>
                <w:szCs w:val="18"/>
                <w:highlight w:val="none"/>
              </w:rPr>
              <w:t>采用腾讯会议远程审核</w:t>
            </w:r>
          </w:p>
          <w:p w14:paraId="1A109A81">
            <w:pPr>
              <w:widowControl/>
              <w:rPr>
                <w:rFonts w:ascii="宋体" w:hAnsi="宋体" w:cs="宋体"/>
                <w:b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b/>
                <w:kern w:val="0"/>
                <w:sz w:val="18"/>
                <w:szCs w:val="18"/>
                <w:highlight w:val="none"/>
                <w:u w:color="000000"/>
              </w:rPr>
              <w:t>评估发现：</w:t>
            </w:r>
          </w:p>
          <w:p w14:paraId="744239EE">
            <w:pPr>
              <w:widowControl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■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满足要求</w:t>
            </w:r>
          </w:p>
          <w:p w14:paraId="5F030825">
            <w:pPr>
              <w:widowControl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□ 改进项</w:t>
            </w:r>
          </w:p>
          <w:p w14:paraId="2E6B34ED">
            <w:pPr>
              <w:widowControl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□一般不符合</w:t>
            </w:r>
          </w:p>
          <w:p w14:paraId="054048FF">
            <w:pPr>
              <w:widowControl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□ 严重不符合</w:t>
            </w:r>
          </w:p>
        </w:tc>
      </w:tr>
      <w:tr w14:paraId="40343A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8" w:hRule="atLeast"/>
          <w:jc w:val="center"/>
        </w:trPr>
        <w:tc>
          <w:tcPr>
            <w:tcW w:w="1348" w:type="dxa"/>
            <w:tcMar>
              <w:left w:w="85" w:type="dxa"/>
              <w:right w:w="85" w:type="dxa"/>
            </w:tcMar>
            <w:vAlign w:val="center"/>
          </w:tcPr>
          <w:p w14:paraId="207F7C3B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GB/T 28827.1-2012</w:t>
            </w:r>
          </w:p>
          <w:p w14:paraId="31990035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 xml:space="preserve">8.4 </w:t>
            </w: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与解决问题相关的技术</w:t>
            </w:r>
          </w:p>
        </w:tc>
        <w:tc>
          <w:tcPr>
            <w:tcW w:w="3827" w:type="dxa"/>
            <w:tcMar>
              <w:left w:w="85" w:type="dxa"/>
              <w:right w:w="85" w:type="dxa"/>
            </w:tcMar>
            <w:vAlign w:val="center"/>
          </w:tcPr>
          <w:p w14:paraId="5B13555C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0D2C5236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拥有与解决问题相关的技术，并重点关注以下方面：</w:t>
            </w:r>
          </w:p>
          <w:p w14:paraId="3ECA4EA3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) 建立系统/设备处于正常状态的指标体系；</w:t>
            </w:r>
          </w:p>
          <w:p w14:paraId="3F7930BF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b) 有测试环境、测试标准和方法；</w:t>
            </w:r>
          </w:p>
          <w:p w14:paraId="799769C7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c) 有典型故障和问题的解决方案和操作手册，</w:t>
            </w: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并得到有效利用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。</w:t>
            </w:r>
          </w:p>
        </w:tc>
        <w:tc>
          <w:tcPr>
            <w:tcW w:w="1843" w:type="dxa"/>
            <w:vAlign w:val="center"/>
          </w:tcPr>
          <w:p w14:paraId="31C2690F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a) 解决问题的技术指标或标准的有效性；</w:t>
            </w:r>
          </w:p>
          <w:p w14:paraId="6D43629E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b) 测试环境与需方运行维护环境的匹配度；</w:t>
            </w:r>
          </w:p>
          <w:p w14:paraId="57AFDAA1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c) 测试标准和方法的有效性。</w:t>
            </w:r>
          </w:p>
        </w:tc>
        <w:tc>
          <w:tcPr>
            <w:tcW w:w="3969" w:type="dxa"/>
            <w:vAlign w:val="center"/>
          </w:tcPr>
          <w:p w14:paraId="1A6BACEB">
            <w:pPr>
              <w:widowControl/>
              <w:spacing w:line="300" w:lineRule="exact"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a）审查系统或设备处于正常状态的指标体系文档审查，问题解决方案或操作手册，测试标准和方法相关文档，至少要有对典型故障或问题进行排除解决的操作流程。</w:t>
            </w:r>
          </w:p>
        </w:tc>
        <w:tc>
          <w:tcPr>
            <w:tcW w:w="4292" w:type="dxa"/>
          </w:tcPr>
          <w:p w14:paraId="5E285982">
            <w:pPr>
              <w:widowControl/>
              <w:rPr>
                <w:rFonts w:hint="eastAsia" w:eastAsia="宋体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highlight w:val="none"/>
              </w:rPr>
              <w:t>访谈人员</w:t>
            </w:r>
            <w:r>
              <w:rPr>
                <w:rFonts w:hint="eastAsia"/>
                <w:sz w:val="18"/>
                <w:szCs w:val="18"/>
                <w:highlight w:val="none"/>
              </w:rPr>
              <w:t>：</w:t>
            </w:r>
            <w:r>
              <w:rPr>
                <w:rFonts w:hint="eastAsia"/>
                <w:sz w:val="18"/>
                <w:szCs w:val="18"/>
                <w:highlight w:val="none"/>
                <w:lang w:eastAsia="zh-CN"/>
              </w:rPr>
              <w:t>开发部</w:t>
            </w:r>
            <w:r>
              <w:rPr>
                <w:rFonts w:hint="eastAsia"/>
                <w:sz w:val="18"/>
                <w:szCs w:val="18"/>
                <w:highlight w:val="none"/>
              </w:rPr>
              <w:t xml:space="preserve">经理   </w:t>
            </w:r>
            <w:r>
              <w:rPr>
                <w:rFonts w:hint="eastAsia"/>
                <w:sz w:val="18"/>
                <w:szCs w:val="18"/>
                <w:highlight w:val="none"/>
                <w:lang w:eastAsia="zh-CN"/>
              </w:rPr>
              <w:t>刘丹</w:t>
            </w:r>
          </w:p>
          <w:p w14:paraId="3E28913F">
            <w:pPr>
              <w:widowControl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b/>
                <w:sz w:val="18"/>
                <w:szCs w:val="18"/>
                <w:highlight w:val="none"/>
              </w:rPr>
              <w:t>检查的文件或记录</w:t>
            </w:r>
            <w:r>
              <w:rPr>
                <w:rFonts w:hint="eastAsia"/>
                <w:sz w:val="18"/>
                <w:szCs w:val="18"/>
                <w:highlight w:val="none"/>
              </w:rPr>
              <w:t>：</w:t>
            </w:r>
          </w:p>
          <w:p w14:paraId="7F6B6D59">
            <w:pPr>
              <w:widowControl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《</w:t>
            </w:r>
            <w:r>
              <w:rPr>
                <w:rFonts w:hint="eastAsia" w:ascii="宋体" w:hAnsi="宋体" w:cs="宋体"/>
                <w:sz w:val="18"/>
                <w:highlight w:val="none"/>
                <w:lang w:val="en-US" w:eastAsia="zh-CN"/>
              </w:rPr>
              <w:t>服务器运维指导手册</w:t>
            </w:r>
            <w:r>
              <w:rPr>
                <w:rFonts w:hint="eastAsia"/>
                <w:sz w:val="18"/>
                <w:szCs w:val="18"/>
                <w:highlight w:val="none"/>
              </w:rPr>
              <w:t>》</w:t>
            </w:r>
            <w:r>
              <w:rPr>
                <w:rFonts w:hint="eastAsia"/>
                <w:sz w:val="18"/>
                <w:szCs w:val="18"/>
                <w:highlight w:val="none"/>
                <w:lang w:eastAsia="zh-Hans"/>
              </w:rPr>
              <w:t>、</w:t>
            </w:r>
            <w:r>
              <w:rPr>
                <w:rFonts w:hint="eastAsia"/>
                <w:sz w:val="18"/>
                <w:szCs w:val="18"/>
                <w:highlight w:val="none"/>
                <w:lang w:val="en-US" w:eastAsia="zh-Hans"/>
              </w:rPr>
              <w:t>知识库</w:t>
            </w:r>
          </w:p>
          <w:p w14:paraId="1B4F57A1">
            <w:pPr>
              <w:widowControl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b/>
                <w:sz w:val="18"/>
                <w:szCs w:val="18"/>
                <w:highlight w:val="none"/>
              </w:rPr>
              <w:t>评估情况说明</w:t>
            </w:r>
            <w:r>
              <w:rPr>
                <w:rFonts w:hint="eastAsia"/>
                <w:sz w:val="18"/>
                <w:szCs w:val="18"/>
                <w:highlight w:val="none"/>
              </w:rPr>
              <w:t xml:space="preserve">： </w:t>
            </w:r>
          </w:p>
          <w:p w14:paraId="6EF149E1">
            <w:pPr>
              <w:pStyle w:val="299"/>
              <w:jc w:val="both"/>
              <w:rPr>
                <w:rFonts w:hint="eastAsia" w:ascii="宋体" w:hAnsi="宋体" w:eastAsia="宋体" w:cs="宋体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highlight w:val="none"/>
                <w:lang w:val="en-US" w:eastAsia="zh-CN"/>
              </w:rPr>
              <w:t>公司编制了各类</w:t>
            </w:r>
            <w:r>
              <w:rPr>
                <w:rFonts w:hint="eastAsia" w:ascii="宋体" w:hAnsi="宋体" w:cs="宋体"/>
                <w:sz w:val="18"/>
                <w:highlight w:val="none"/>
                <w:lang w:val="en-US" w:eastAsia="zh-Hans"/>
              </w:rPr>
              <w:t>常见</w:t>
            </w:r>
            <w:r>
              <w:rPr>
                <w:rFonts w:hint="eastAsia" w:ascii="宋体" w:hAnsi="宋体" w:eastAsia="宋体" w:cs="宋体"/>
                <w:sz w:val="18"/>
                <w:highlight w:val="none"/>
                <w:lang w:val="en-US" w:eastAsia="zh-CN"/>
              </w:rPr>
              <w:t>故障</w:t>
            </w:r>
            <w:r>
              <w:rPr>
                <w:rFonts w:hint="eastAsia" w:ascii="宋体" w:hAnsi="宋体" w:eastAsia="宋体" w:cs="宋体"/>
                <w:sz w:val="18"/>
                <w:highlight w:val="none"/>
                <w:lang w:val="en-US" w:eastAsia="zh-Hans"/>
              </w:rPr>
              <w:t>解决</w:t>
            </w:r>
            <w:r>
              <w:rPr>
                <w:rFonts w:hint="eastAsia" w:ascii="宋体" w:hAnsi="宋体" w:eastAsia="宋体" w:cs="宋体"/>
                <w:sz w:val="18"/>
                <w:highlight w:val="none"/>
                <w:lang w:val="en-US" w:eastAsia="zh-CN"/>
              </w:rPr>
              <w:t>手册，用于指导</w:t>
            </w:r>
            <w:r>
              <w:rPr>
                <w:rFonts w:hint="eastAsia" w:ascii="宋体" w:hAnsi="宋体" w:eastAsia="宋体" w:cs="宋体"/>
                <w:sz w:val="18"/>
                <w:highlight w:val="none"/>
                <w:lang w:val="en-US" w:eastAsia="zh-Hans"/>
              </w:rPr>
              <w:t>工程师</w:t>
            </w:r>
            <w:r>
              <w:rPr>
                <w:rFonts w:hint="eastAsia" w:ascii="宋体" w:hAnsi="宋体" w:eastAsia="宋体" w:cs="宋体"/>
                <w:sz w:val="18"/>
                <w:highlight w:val="none"/>
                <w:lang w:val="en-US" w:eastAsia="zh-CN"/>
              </w:rPr>
              <w:t>解决问题，查看《</w:t>
            </w:r>
            <w:r>
              <w:rPr>
                <w:rFonts w:hint="eastAsia" w:ascii="宋体" w:hAnsi="宋体" w:cs="宋体"/>
                <w:sz w:val="18"/>
                <w:highlight w:val="none"/>
                <w:lang w:val="en-US" w:eastAsia="zh-CN"/>
              </w:rPr>
              <w:t>服务器运维指导手册</w:t>
            </w:r>
            <w:r>
              <w:rPr>
                <w:rFonts w:hint="eastAsia" w:ascii="宋体" w:hAnsi="宋体" w:eastAsia="宋体" w:cs="宋体"/>
                <w:sz w:val="18"/>
                <w:highlight w:val="none"/>
                <w:lang w:val="en-US" w:eastAsia="zh-CN"/>
              </w:rPr>
              <w:t>》</w:t>
            </w:r>
            <w:r>
              <w:rPr>
                <w:rFonts w:hint="eastAsia" w:ascii="宋体" w:hAnsi="宋体" w:eastAsia="宋体" w:cs="宋体"/>
                <w:sz w:val="18"/>
                <w:highlight w:val="none"/>
                <w:lang w:val="en-US" w:eastAsia="zh-Hans"/>
              </w:rPr>
              <w:t>。</w:t>
            </w:r>
            <w:r>
              <w:rPr>
                <w:rFonts w:hint="eastAsia" w:ascii="宋体" w:hAnsi="宋体" w:eastAsia="宋体" w:cs="宋体"/>
                <w:sz w:val="18"/>
                <w:highlight w:val="none"/>
                <w:lang w:val="en-US" w:eastAsia="zh-CN"/>
              </w:rPr>
              <w:t>公司能够将解决问题技术转入知识库管理系统并有效利用。</w:t>
            </w:r>
            <w:r>
              <w:rPr>
                <w:rFonts w:hint="eastAsia" w:ascii="宋体" w:hAnsi="宋体" w:eastAsia="宋体" w:cs="宋体"/>
                <w:sz w:val="18"/>
                <w:highlight w:val="none"/>
                <w:lang w:val="en-US" w:eastAsia="zh-Hans"/>
              </w:rPr>
              <w:t>查看知识库，有解决问题相关的技术手册。</w:t>
            </w:r>
          </w:p>
          <w:p w14:paraId="71C345CE">
            <w:pPr>
              <w:pStyle w:val="299"/>
              <w:jc w:val="both"/>
              <w:rPr>
                <w:rFonts w:hint="eastAsia" w:ascii="宋体" w:hAnsi="宋体" w:eastAsia="宋体" w:cs="宋体"/>
                <w:sz w:val="18"/>
                <w:highlight w:val="none"/>
                <w:lang w:eastAsia="zh-CN"/>
              </w:rPr>
            </w:pPr>
            <w:r>
              <w:rPr>
                <w:rFonts w:hint="default" w:ascii="宋体" w:hAnsi="宋体" w:eastAsia="宋体" w:cs="宋体"/>
                <w:sz w:val="18"/>
                <w:highlight w:val="none"/>
                <w:lang w:eastAsia="zh-CN"/>
              </w:rPr>
              <w:t>采用腾讯会议远程审核</w:t>
            </w:r>
          </w:p>
          <w:p w14:paraId="3AE55BA7">
            <w:pPr>
              <w:widowControl/>
              <w:rPr>
                <w:rFonts w:ascii="宋体" w:hAnsi="宋体" w:cs="宋体"/>
                <w:b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b/>
                <w:kern w:val="0"/>
                <w:sz w:val="18"/>
                <w:szCs w:val="18"/>
                <w:highlight w:val="none"/>
                <w:u w:color="000000"/>
              </w:rPr>
              <w:t>评估发现：</w:t>
            </w:r>
          </w:p>
          <w:p w14:paraId="1323CF69">
            <w:pPr>
              <w:widowControl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■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满足要求</w:t>
            </w:r>
          </w:p>
          <w:p w14:paraId="433EB3FD">
            <w:pPr>
              <w:widowControl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□ 改进项</w:t>
            </w:r>
          </w:p>
          <w:p w14:paraId="738AAFDC">
            <w:pPr>
              <w:widowControl/>
              <w:rPr>
                <w:rFonts w:ascii="宋体" w:hAnsi="宋体" w:cs="宋体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□一般不符合</w:t>
            </w:r>
          </w:p>
          <w:p w14:paraId="4A55CCC0">
            <w:pPr>
              <w:widowControl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□ 严重不符合</w:t>
            </w:r>
          </w:p>
        </w:tc>
      </w:tr>
    </w:tbl>
    <w:p w14:paraId="18459385">
      <w:pPr>
        <w:widowControl/>
        <w:rPr>
          <w:rFonts w:cs="Times New Roman" w:asciiTheme="minorEastAsia" w:hAnsiTheme="minorEastAsia" w:eastAsiaTheme="minorEastAsia"/>
          <w:kern w:val="0"/>
          <w:sz w:val="18"/>
          <w:szCs w:val="18"/>
          <w:highlight w:val="none"/>
        </w:rPr>
      </w:pPr>
      <w:bookmarkStart w:id="4" w:name="_Toc393705698"/>
    </w:p>
    <w:p w14:paraId="5DEA352D">
      <w:pPr>
        <w:widowControl/>
        <w:jc w:val="left"/>
        <w:rPr>
          <w:rFonts w:cs="Times New Roman" w:asciiTheme="minorEastAsia" w:hAnsiTheme="minorEastAsia" w:eastAsiaTheme="minorEastAsia"/>
          <w:kern w:val="0"/>
          <w:sz w:val="18"/>
          <w:szCs w:val="18"/>
          <w:highlight w:val="none"/>
        </w:rPr>
      </w:pPr>
      <w:r>
        <w:rPr>
          <w:rFonts w:cs="Times New Roman" w:asciiTheme="minorEastAsia" w:hAnsiTheme="minorEastAsia" w:eastAsiaTheme="minorEastAsia"/>
          <w:kern w:val="0"/>
          <w:sz w:val="18"/>
          <w:szCs w:val="18"/>
          <w:highlight w:val="none"/>
        </w:rPr>
        <w:br w:type="page"/>
      </w:r>
    </w:p>
    <w:p w14:paraId="4DFC200A">
      <w:pPr>
        <w:widowControl/>
        <w:rPr>
          <w:rFonts w:cs="Times New Roman" w:asciiTheme="minorEastAsia" w:hAnsiTheme="minorEastAsia" w:eastAsiaTheme="minorEastAsia"/>
          <w:kern w:val="0"/>
          <w:sz w:val="18"/>
          <w:szCs w:val="18"/>
          <w:highlight w:val="none"/>
        </w:rPr>
      </w:pPr>
    </w:p>
    <w:p w14:paraId="7AC54731">
      <w:pPr>
        <w:widowControl/>
        <w:outlineLvl w:val="1"/>
        <w:rPr>
          <w:rFonts w:cs="Times New Roman" w:asciiTheme="minorEastAsia" w:hAnsiTheme="minorEastAsia" w:eastAsiaTheme="minorEastAsia"/>
          <w:kern w:val="0"/>
          <w:sz w:val="18"/>
          <w:szCs w:val="18"/>
          <w:highlight w:val="none"/>
        </w:rPr>
      </w:pPr>
      <w:r>
        <w:rPr>
          <w:rFonts w:hint="eastAsia" w:cs="Times New Roman" w:asciiTheme="minorEastAsia" w:hAnsiTheme="minorEastAsia" w:eastAsiaTheme="minorEastAsia"/>
          <w:kern w:val="0"/>
          <w:sz w:val="18"/>
          <w:szCs w:val="18"/>
          <w:highlight w:val="none"/>
        </w:rPr>
        <w:t>5 过程</w:t>
      </w:r>
      <w:r>
        <w:rPr>
          <w:rFonts w:cs="Times New Roman" w:asciiTheme="minorEastAsia" w:hAnsiTheme="minorEastAsia" w:eastAsiaTheme="minorEastAsia"/>
          <w:kern w:val="0"/>
          <w:sz w:val="18"/>
          <w:szCs w:val="18"/>
          <w:highlight w:val="none"/>
        </w:rPr>
        <w:t>要求</w:t>
      </w:r>
    </w:p>
    <w:tbl>
      <w:tblPr>
        <w:tblStyle w:val="85"/>
        <w:tblW w:w="1527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  <w:gridCol w:w="3898"/>
        <w:gridCol w:w="1843"/>
        <w:gridCol w:w="3969"/>
        <w:gridCol w:w="4292"/>
      </w:tblGrid>
      <w:tr w14:paraId="68DAA2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77" w:type="dxa"/>
            <w:tcMar>
              <w:left w:w="85" w:type="dxa"/>
              <w:right w:w="85" w:type="dxa"/>
            </w:tcMar>
            <w:vAlign w:val="center"/>
          </w:tcPr>
          <w:p w14:paraId="18407C93">
            <w:pPr>
              <w:widowControl/>
              <w:jc w:val="center"/>
              <w:rPr>
                <w:rFonts w:cs="Arial Unicode MS" w:asciiTheme="minorEastAsia" w:hAnsiTheme="minorEastAsia" w:eastAsiaTheme="minorEastAsia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标准</w:t>
            </w: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/>
              </w:rPr>
              <w:t>条款号</w:t>
            </w:r>
          </w:p>
        </w:tc>
        <w:tc>
          <w:tcPr>
            <w:tcW w:w="3898" w:type="dxa"/>
            <w:tcMar>
              <w:left w:w="85" w:type="dxa"/>
              <w:right w:w="85" w:type="dxa"/>
            </w:tcMar>
            <w:vAlign w:val="center"/>
          </w:tcPr>
          <w:p w14:paraId="326D7A1A">
            <w:pPr>
              <w:widowControl/>
              <w:jc w:val="center"/>
              <w:rPr>
                <w:rFonts w:cs="Arial Unicode MS" w:asciiTheme="minorEastAsia" w:hAnsiTheme="minorEastAsia" w:eastAsiaTheme="minorEastAsia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成熟度要求</w:t>
            </w:r>
          </w:p>
        </w:tc>
        <w:tc>
          <w:tcPr>
            <w:tcW w:w="1843" w:type="dxa"/>
            <w:vAlign w:val="center"/>
          </w:tcPr>
          <w:p w14:paraId="4D2BDD75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</w:pPr>
            <w:r>
              <w:rPr>
                <w:rFonts w:cs="宋体" w:asciiTheme="minorEastAsia" w:hAnsiTheme="minorEastAsia" w:eastAsiaTheme="minorEastAsia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关键指标</w:t>
            </w:r>
          </w:p>
        </w:tc>
        <w:tc>
          <w:tcPr>
            <w:tcW w:w="3969" w:type="dxa"/>
          </w:tcPr>
          <w:p w14:paraId="2C9F5696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/>
              </w:rPr>
              <w:t>审核要点</w:t>
            </w:r>
          </w:p>
        </w:tc>
        <w:tc>
          <w:tcPr>
            <w:tcW w:w="4292" w:type="dxa"/>
          </w:tcPr>
          <w:p w14:paraId="0DC4AD48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18"/>
                <w:szCs w:val="18"/>
                <w:highlight w:val="none"/>
                <w:u w:color="000000"/>
                <w:lang w:val="zh-TW"/>
              </w:rPr>
              <w:t>评估情况说明</w:t>
            </w:r>
          </w:p>
        </w:tc>
      </w:tr>
      <w:tr w14:paraId="0063B8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1277" w:type="dxa"/>
            <w:tcMar>
              <w:left w:w="85" w:type="dxa"/>
              <w:right w:w="85" w:type="dxa"/>
            </w:tcMar>
            <w:vAlign w:val="center"/>
          </w:tcPr>
          <w:p w14:paraId="0CFE286B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val="zh-TW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GB/T 28827.1-2012</w:t>
            </w:r>
          </w:p>
          <w:p w14:paraId="235C21CB">
            <w:pPr>
              <w:widowControl/>
              <w:jc w:val="center"/>
              <w:rPr>
                <w:rFonts w:cs="Arial Unicode MS" w:asciiTheme="minorEastAsia" w:hAnsiTheme="minorEastAsia" w:eastAsiaTheme="minorEastAsia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 xml:space="preserve">9.2 </w:t>
            </w: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服务级别管理</w:t>
            </w:r>
          </w:p>
        </w:tc>
        <w:tc>
          <w:tcPr>
            <w:tcW w:w="3898" w:type="dxa"/>
            <w:tcMar>
              <w:left w:w="85" w:type="dxa"/>
              <w:right w:w="85" w:type="dxa"/>
            </w:tcMar>
            <w:vAlign w:val="center"/>
          </w:tcPr>
          <w:p w14:paraId="13B36D8A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2AD3C897">
            <w:pPr>
              <w:widowControl/>
              <w:spacing w:line="240" w:lineRule="exact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确保供方定义、签订和管理SLA，满足需方对服务质量的要求，并重点关注以下方面：</w:t>
            </w:r>
          </w:p>
          <w:p w14:paraId="7EE73A36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) 建立SLA考核自评估机制，具有服务级别协议的执行绩效跟踪记录，如SLA完成情况、达成率、用户反馈等，在评估后制定改进内容及改进措施；</w:t>
            </w:r>
          </w:p>
          <w:p w14:paraId="7C6FEA67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b) 服务级别协议中应包含量化指标，如响应时间、解决问题的时间等。</w:t>
            </w:r>
          </w:p>
        </w:tc>
        <w:tc>
          <w:tcPr>
            <w:tcW w:w="1843" w:type="dxa"/>
            <w:vAlign w:val="center"/>
          </w:tcPr>
          <w:p w14:paraId="29B3A52B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a) 签订SLA文件的制度性；</w:t>
            </w:r>
          </w:p>
          <w:p w14:paraId="01EB0F6C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b) SLA考核评估机制的有效性和完整性；</w:t>
            </w:r>
          </w:p>
          <w:p w14:paraId="55651016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c) SLA执行的有效性。</w:t>
            </w:r>
          </w:p>
        </w:tc>
        <w:tc>
          <w:tcPr>
            <w:tcW w:w="3969" w:type="dxa"/>
            <w:vAlign w:val="center"/>
          </w:tcPr>
          <w:p w14:paraId="07CAA107">
            <w:pPr>
              <w:widowControl/>
              <w:spacing w:line="300" w:lineRule="exact"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a) 审查服务级别管理程序、项目服务目录及服务级别协议（包括必要的量化指标）、服务级别协议的执行绩效跟踪文档；</w:t>
            </w:r>
          </w:p>
          <w:p w14:paraId="118E1600">
            <w:pPr>
              <w:widowControl/>
              <w:spacing w:line="300" w:lineRule="exact"/>
              <w:rPr>
                <w:rFonts w:cs="宋体" w:asciiTheme="minorEastAsia" w:hAnsiTheme="minorEastAsia" w:eastAsiaTheme="minorEastAsia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b) 现场抽查：具体项目的服务级别协议或合同、项目实施案例，检查服务级别协议内容是否达成；</w:t>
            </w:r>
          </w:p>
        </w:tc>
        <w:tc>
          <w:tcPr>
            <w:tcW w:w="4292" w:type="dxa"/>
          </w:tcPr>
          <w:p w14:paraId="4A0FBC4A">
            <w:pPr>
              <w:pStyle w:val="299"/>
              <w:jc w:val="both"/>
              <w:rPr>
                <w:rFonts w:hint="eastAsia" w:ascii="宋体" w:hAnsi="宋体" w:eastAsia="宋体"/>
                <w:sz w:val="18"/>
                <w:szCs w:val="18"/>
                <w:highlight w:val="none"/>
                <w:lang w:eastAsia="zh-CN"/>
              </w:rPr>
            </w:pPr>
            <w:r>
              <w:rPr>
                <w:rFonts w:ascii="宋体" w:hAnsi="宋体"/>
                <w:b/>
                <w:sz w:val="18"/>
                <w:szCs w:val="18"/>
                <w:highlight w:val="none"/>
              </w:rPr>
              <w:t>访问对象</w:t>
            </w:r>
            <w:r>
              <w:rPr>
                <w:rFonts w:ascii="宋体" w:hAnsi="宋体"/>
                <w:sz w:val="18"/>
                <w:szCs w:val="18"/>
                <w:highlight w:val="none"/>
              </w:rPr>
              <w:t>：</w:t>
            </w:r>
            <w:r>
              <w:rPr>
                <w:rFonts w:hint="eastAsia" w:ascii="宋体" w:hAnsi="宋体"/>
                <w:sz w:val="18"/>
                <w:szCs w:val="18"/>
                <w:highlight w:val="none"/>
                <w:lang w:eastAsia="zh-CN"/>
              </w:rPr>
              <w:t>运维部经理</w:t>
            </w: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  <w:highlight w:val="none"/>
                <w:lang w:eastAsia="zh-CN"/>
              </w:rPr>
              <w:t>崔新国</w:t>
            </w:r>
          </w:p>
          <w:p w14:paraId="1140A99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hAnsi="宋体" w:cs="宋体"/>
                <w:b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18"/>
                <w:szCs w:val="18"/>
                <w:highlight w:val="none"/>
              </w:rPr>
              <w:t>查看文件：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lang w:eastAsia="zh-Hans"/>
              </w:rPr>
              <w:t>《服务级别管理程序》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《青岛北琪实业有限公司信息化应用软件联合维保项目》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《山东恒特重工有限公司应用软件维保服务项目》</w:t>
            </w:r>
          </w:p>
          <w:p w14:paraId="4F3F70E0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18"/>
                <w:szCs w:val="18"/>
                <w:highlight w:val="none"/>
              </w:rPr>
              <w:t>评估情况：</w:t>
            </w:r>
          </w:p>
          <w:p w14:paraId="5CDFE7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公司建立了</w:t>
            </w: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lang w:eastAsia="zh-Hans"/>
              </w:rPr>
              <w:t>《服务级别管理程序》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Hans"/>
              </w:rPr>
              <w:t>。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查看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《青岛北琪实业有限公司信息化应用软件联合维保项目》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《山东恒特重工有限公司应用软件维保服务项目》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val="en-US" w:eastAsia="zh-Hans" w:bidi="ar"/>
              </w:rPr>
              <w:t>服务报告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，</w:t>
            </w: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质量部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负责监控项目服务级别达成情况，通过检查项目阶段总结报告确认服务级别达成情况。</w:t>
            </w:r>
          </w:p>
          <w:p w14:paraId="1F8A2D35">
            <w:pPr>
              <w:widowControl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宋体" w:hAnsi="宋体" w:cs="宋体"/>
                <w:kern w:val="0"/>
                <w:sz w:val="18"/>
                <w:szCs w:val="18"/>
                <w:highlight w:val="none"/>
                <w:u w:color="000000"/>
              </w:rPr>
              <w:t>采用腾讯会议远程审核</w:t>
            </w:r>
          </w:p>
          <w:p w14:paraId="56EA5FF0">
            <w:pPr>
              <w:widowControl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评估发现：</w:t>
            </w:r>
          </w:p>
          <w:p w14:paraId="2B939FEE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■满足要求</w:t>
            </w:r>
          </w:p>
          <w:p w14:paraId="5CFC459A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□改进项</w:t>
            </w:r>
          </w:p>
          <w:p w14:paraId="4785F6C9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□一般不符合</w:t>
            </w:r>
          </w:p>
          <w:p w14:paraId="14017C26">
            <w:pPr>
              <w:spacing w:line="240" w:lineRule="exac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□严重不符合</w:t>
            </w:r>
          </w:p>
        </w:tc>
      </w:tr>
      <w:tr w14:paraId="3FCDDC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8" w:hRule="atLeast"/>
          <w:jc w:val="center"/>
        </w:trPr>
        <w:tc>
          <w:tcPr>
            <w:tcW w:w="1277" w:type="dxa"/>
            <w:tcMar>
              <w:left w:w="85" w:type="dxa"/>
              <w:right w:w="85" w:type="dxa"/>
            </w:tcMar>
            <w:vAlign w:val="center"/>
          </w:tcPr>
          <w:p w14:paraId="1B08D653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val="zh-TW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GB/T 28827.1-2012</w:t>
            </w:r>
          </w:p>
          <w:p w14:paraId="00F3EFA2">
            <w:pPr>
              <w:widowControl/>
              <w:jc w:val="center"/>
              <w:rPr>
                <w:rFonts w:cs="Arial Unicode MS" w:asciiTheme="minorEastAsia" w:hAnsiTheme="minorEastAsia" w:eastAsiaTheme="minorEastAsia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 xml:space="preserve">9.3 </w:t>
            </w: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服务报告</w:t>
            </w:r>
          </w:p>
        </w:tc>
        <w:tc>
          <w:tcPr>
            <w:tcW w:w="3898" w:type="dxa"/>
            <w:tcMar>
              <w:left w:w="85" w:type="dxa"/>
              <w:right w:w="85" w:type="dxa"/>
            </w:tcMar>
            <w:vAlign w:val="center"/>
          </w:tcPr>
          <w:p w14:paraId="16D769B0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3369027F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</w:t>
            </w: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 xml:space="preserve">) 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制定服务报告的管理制度，并对服务报告内容、产生频次、审核要求、传播和保存等做出说明；</w:t>
            </w:r>
          </w:p>
          <w:p w14:paraId="7CEED783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)服务报告内容应完备，至少包括运维服务相关的基本要素，如与SLA相对的服务绩效、满意度分析、工作量、重大事件后的性能分析、趋势分析、未达标的内容和事件，并针对不同运维服务内容提供服务报告模板；</w:t>
            </w:r>
          </w:p>
          <w:p w14:paraId="29A734D7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c) 及时跟进和解决服务报告中提出的问题；</w:t>
            </w:r>
          </w:p>
          <w:p w14:paraId="25F69B38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d) 服务报告计划需满足SLA的约定或供方的制度。服务报告计划可多种形式；</w:t>
            </w:r>
          </w:p>
          <w:p w14:paraId="03148CB4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e) 服务报告应进行有效的分类。</w:t>
            </w:r>
          </w:p>
        </w:tc>
        <w:tc>
          <w:tcPr>
            <w:tcW w:w="1843" w:type="dxa"/>
            <w:vAlign w:val="center"/>
          </w:tcPr>
          <w:p w14:paraId="25E9B05D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a) 服务报告管理程序的制度性；</w:t>
            </w:r>
          </w:p>
          <w:p w14:paraId="45E54B9E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b) 服务报告的完整性、及时性和准确性。</w:t>
            </w:r>
          </w:p>
        </w:tc>
        <w:tc>
          <w:tcPr>
            <w:tcW w:w="3969" w:type="dxa"/>
            <w:vAlign w:val="center"/>
          </w:tcPr>
          <w:p w14:paraId="1089AE2C">
            <w:pPr>
              <w:widowControl/>
              <w:spacing w:line="300" w:lineRule="exact"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a) 审查服务报告管理程序、服务报告计划、服务报告模板；服务报告；</w:t>
            </w:r>
          </w:p>
          <w:p w14:paraId="2CD85224">
            <w:pPr>
              <w:widowControl/>
              <w:spacing w:line="300" w:lineRule="exact"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b) 现场抽查：项目实施案例；了解</w:t>
            </w:r>
          </w:p>
          <w:p w14:paraId="3B8C004E">
            <w:pPr>
              <w:widowControl/>
              <w:spacing w:line="300" w:lineRule="exact"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1、服务报告内容是否完备（服务报告内容应包括与运维服务相关的基本要素，例如：与SLA相对的服务绩效、满意度分析、工作量、重大事件后的性能分析、趋势分析、未达标的内容和事件）</w:t>
            </w:r>
          </w:p>
          <w:p w14:paraId="511678A5">
            <w:pPr>
              <w:widowControl/>
              <w:spacing w:line="300" w:lineRule="exact"/>
              <w:rPr>
                <w:rFonts w:cs="宋体" w:asciiTheme="minorEastAsia" w:hAnsiTheme="minorEastAsia" w:eastAsiaTheme="minorEastAsia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2、服务报告中的问题是否得到跟进或解决。</w:t>
            </w:r>
          </w:p>
        </w:tc>
        <w:tc>
          <w:tcPr>
            <w:tcW w:w="4292" w:type="dxa"/>
          </w:tcPr>
          <w:p w14:paraId="1E2AB6B4">
            <w:pPr>
              <w:pStyle w:val="299"/>
              <w:jc w:val="both"/>
              <w:rPr>
                <w:rFonts w:hint="eastAsia" w:ascii="宋体" w:hAnsi="宋体" w:eastAsia="宋体"/>
                <w:sz w:val="18"/>
                <w:szCs w:val="18"/>
                <w:highlight w:val="none"/>
                <w:lang w:eastAsia="zh-CN"/>
              </w:rPr>
            </w:pPr>
            <w:r>
              <w:rPr>
                <w:rFonts w:ascii="宋体" w:hAnsi="宋体"/>
                <w:b/>
                <w:sz w:val="18"/>
                <w:szCs w:val="18"/>
                <w:highlight w:val="none"/>
              </w:rPr>
              <w:t>访问对象</w:t>
            </w:r>
            <w:r>
              <w:rPr>
                <w:rFonts w:ascii="宋体" w:hAnsi="宋体"/>
                <w:sz w:val="18"/>
                <w:szCs w:val="18"/>
                <w:highlight w:val="none"/>
              </w:rPr>
              <w:t>：</w:t>
            </w:r>
            <w:r>
              <w:rPr>
                <w:rFonts w:hint="eastAsia" w:ascii="宋体" w:hAnsi="宋体"/>
                <w:sz w:val="18"/>
                <w:szCs w:val="18"/>
                <w:highlight w:val="none"/>
                <w:lang w:eastAsia="zh-CN"/>
              </w:rPr>
              <w:t>运维部经理</w:t>
            </w: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  <w:highlight w:val="none"/>
                <w:lang w:eastAsia="zh-CN"/>
              </w:rPr>
              <w:t>崔新国</w:t>
            </w:r>
          </w:p>
          <w:p w14:paraId="52C613BD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18"/>
                <w:szCs w:val="18"/>
                <w:highlight w:val="none"/>
              </w:rPr>
              <w:t>查看文件：</w:t>
            </w:r>
          </w:p>
          <w:p w14:paraId="1AF0D9BE">
            <w:pPr>
              <w:widowControl/>
              <w:jc w:val="left"/>
              <w:rPr>
                <w:rFonts w:hint="eastAsia" w:ascii="宋体" w:hAnsi="宋体" w:cs="宋体"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  <w:lang w:eastAsia="zh-Hans"/>
              </w:rPr>
              <w:t>《服务报告管理程序》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ascii="宋体" w:hAnsi="宋体" w:cs="宋体"/>
                <w:bCs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《青岛北琪实业有限公司信息化应用软件联合维保项目》</w:t>
            </w:r>
            <w:r>
              <w:rPr>
                <w:rFonts w:hint="eastAsia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cs="宋体" w:asciiTheme="minorEastAsia" w:hAnsiTheme="minorEastAsia" w:eastAsiaTheme="minorEastAsia"/>
                <w:bCs/>
                <w:color w:val="000000"/>
                <w:kern w:val="0"/>
                <w:sz w:val="18"/>
                <w:szCs w:val="18"/>
                <w:highlight w:val="none"/>
              </w:rPr>
              <w:t>《山东恒特重工有限公司应用软件维保服务项目》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18"/>
                <w:szCs w:val="18"/>
                <w:highlight w:val="none"/>
              </w:rPr>
              <w:t>服务报告</w:t>
            </w:r>
          </w:p>
          <w:p w14:paraId="1EF336D3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18"/>
                <w:szCs w:val="18"/>
                <w:highlight w:val="none"/>
              </w:rPr>
              <w:t>评估情况：</w:t>
            </w:r>
          </w:p>
          <w:p w14:paraId="01B1C49A">
            <w:pPr>
              <w:widowControl/>
              <w:spacing w:line="300" w:lineRule="exact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项目经理负责编制服务报告，由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运维部经理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负责检查；形成服务报告检查表，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质量部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每季度会对服务报告检查表进行检查，查看公司服务报告检查表。公司会随时根据用户反馈调整，建议补充明确的服务报告修改流程（针对客户反馈情况），保留相关修订记录。对内部采用服务总结的形式，偏重对各项指标的的统计，对外采用工作报告形式，偏重工作完成情况总结。报告中包含了主要的服务指标完成情况，事件、问题、配置、变更和发布的管理情况、满意度情况、满意度分析及服务工作评价及建议情况等内容。</w:t>
            </w:r>
          </w:p>
          <w:p w14:paraId="3FCFBFB1">
            <w:pPr>
              <w:widowControl/>
              <w:spacing w:line="300" w:lineRule="exact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采用腾讯会议远程审核</w:t>
            </w:r>
          </w:p>
          <w:p w14:paraId="271D5FA9">
            <w:pPr>
              <w:widowControl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评估发现：</w:t>
            </w:r>
          </w:p>
          <w:p w14:paraId="725C46A5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■满足要求</w:t>
            </w:r>
          </w:p>
          <w:p w14:paraId="5D8ACD26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□改进项</w:t>
            </w:r>
          </w:p>
          <w:p w14:paraId="2A0073A2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□一般不符合</w:t>
            </w:r>
          </w:p>
          <w:p w14:paraId="0485A74A">
            <w:pPr>
              <w:spacing w:line="240" w:lineRule="exac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□严重不符合</w:t>
            </w:r>
          </w:p>
        </w:tc>
      </w:tr>
      <w:tr w14:paraId="46DFB3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4" w:hRule="atLeast"/>
          <w:jc w:val="center"/>
        </w:trPr>
        <w:tc>
          <w:tcPr>
            <w:tcW w:w="1277" w:type="dxa"/>
            <w:tcMar>
              <w:left w:w="85" w:type="dxa"/>
              <w:right w:w="85" w:type="dxa"/>
            </w:tcMar>
            <w:vAlign w:val="center"/>
          </w:tcPr>
          <w:p w14:paraId="44DA8DDB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val="zh-TW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GB/T 28827.1-2012</w:t>
            </w:r>
          </w:p>
          <w:p w14:paraId="32ED888A">
            <w:pPr>
              <w:rPr>
                <w:rFonts w:cs="Times New Roman" w:asciiTheme="minorEastAsia" w:hAnsiTheme="minorEastAsia" w:eastAsiaTheme="minorEastAsia"/>
                <w:sz w:val="18"/>
                <w:szCs w:val="18"/>
                <w:highlight w:val="none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 xml:space="preserve">9.4 </w:t>
            </w: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事件管理</w:t>
            </w:r>
          </w:p>
        </w:tc>
        <w:tc>
          <w:tcPr>
            <w:tcW w:w="3898" w:type="dxa"/>
            <w:tcMar>
              <w:left w:w="85" w:type="dxa"/>
              <w:right w:w="85" w:type="dxa"/>
            </w:tcMar>
            <w:vAlign w:val="center"/>
          </w:tcPr>
          <w:p w14:paraId="7F405B22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409C3DCA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a) 具备事件管理工具，制定事件记录模板，保存事件记录、事件回访记录和事件管理报告；</w:t>
            </w:r>
          </w:p>
          <w:p w14:paraId="6A273488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b) 建立事件或故障分类分级机制，并保持与组织业务相适应。</w:t>
            </w:r>
          </w:p>
          <w:p w14:paraId="0F62C4B4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c) 建立事件升级机制；</w:t>
            </w:r>
          </w:p>
          <w:p w14:paraId="2E8C2228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d) 建立事件评估机制，</w:t>
            </w: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包括事件解决率、事件平均解决时间等</w:t>
            </w:r>
          </w:p>
        </w:tc>
        <w:tc>
          <w:tcPr>
            <w:tcW w:w="1843" w:type="dxa"/>
            <w:vAlign w:val="center"/>
          </w:tcPr>
          <w:p w14:paraId="2C382EE5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a) 事件管理程序的完整性、有效性；</w:t>
            </w:r>
          </w:p>
          <w:p w14:paraId="2E1044AC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b) 事件解决评估机制的有效性；</w:t>
            </w:r>
          </w:p>
          <w:p w14:paraId="144A8BBF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c) 事件升级机制的有效性。</w:t>
            </w:r>
          </w:p>
        </w:tc>
        <w:tc>
          <w:tcPr>
            <w:tcW w:w="3969" w:type="dxa"/>
            <w:vAlign w:val="center"/>
          </w:tcPr>
          <w:p w14:paraId="2C0DADEE">
            <w:pPr>
              <w:widowControl/>
              <w:spacing w:line="300" w:lineRule="exact"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a） 审查事件管理程序（包括事件分类、分级和升级机制）；事件记录模板、事件记录、事件回访记录、事件管理报告（如服务报告中对事件数据：如事件解决率、事件响应时间、事件解决时间等量化指标； 对事件处理情况的趋势分析；事件处理与SLA的关联分析；事件解决与服务人员绩效考核相关联）；</w:t>
            </w:r>
          </w:p>
          <w:p w14:paraId="015EF483">
            <w:pPr>
              <w:widowControl/>
              <w:spacing w:line="300" w:lineRule="exact"/>
              <w:rPr>
                <w:rFonts w:cs="宋体" w:asciiTheme="minorEastAsia" w:hAnsiTheme="minorEastAsia" w:eastAsiaTheme="minorEastAsia"/>
                <w:sz w:val="18"/>
                <w:szCs w:val="18"/>
                <w:highlight w:val="none"/>
              </w:rPr>
            </w:pPr>
          </w:p>
          <w:p w14:paraId="488FE653">
            <w:pPr>
              <w:spacing w:line="300" w:lineRule="exact"/>
              <w:rPr>
                <w:rFonts w:cs="宋体" w:asciiTheme="minorEastAsia" w:hAnsiTheme="minorEastAsia" w:eastAsiaTheme="minorEastAsia"/>
                <w:sz w:val="18"/>
                <w:szCs w:val="18"/>
                <w:highlight w:val="none"/>
              </w:rPr>
            </w:pPr>
          </w:p>
        </w:tc>
        <w:tc>
          <w:tcPr>
            <w:tcW w:w="4292" w:type="dxa"/>
          </w:tcPr>
          <w:p w14:paraId="3DB689DA">
            <w:pPr>
              <w:pStyle w:val="299"/>
              <w:jc w:val="both"/>
              <w:rPr>
                <w:rFonts w:hint="eastAsia" w:ascii="宋体" w:hAnsi="宋体" w:eastAsia="宋体"/>
                <w:sz w:val="18"/>
                <w:szCs w:val="18"/>
                <w:highlight w:val="none"/>
                <w:lang w:eastAsia="zh-CN"/>
              </w:rPr>
            </w:pPr>
            <w:r>
              <w:rPr>
                <w:rFonts w:ascii="宋体" w:hAnsi="宋体"/>
                <w:b/>
                <w:sz w:val="18"/>
                <w:szCs w:val="18"/>
                <w:highlight w:val="none"/>
              </w:rPr>
              <w:t>访问对象</w:t>
            </w:r>
            <w:r>
              <w:rPr>
                <w:rFonts w:ascii="宋体" w:hAnsi="宋体"/>
                <w:sz w:val="18"/>
                <w:szCs w:val="18"/>
                <w:highlight w:val="none"/>
              </w:rPr>
              <w:t>：</w:t>
            </w:r>
            <w:r>
              <w:rPr>
                <w:rFonts w:hint="eastAsia" w:ascii="宋体" w:hAnsi="宋体"/>
                <w:sz w:val="18"/>
                <w:szCs w:val="18"/>
                <w:highlight w:val="none"/>
                <w:lang w:eastAsia="zh-CN"/>
              </w:rPr>
              <w:t>运维部经理</w:t>
            </w: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  <w:highlight w:val="none"/>
                <w:lang w:eastAsia="zh-CN"/>
              </w:rPr>
              <w:t>崔新国</w:t>
            </w:r>
          </w:p>
          <w:p w14:paraId="3C3B4659">
            <w:pPr>
              <w:pStyle w:val="299"/>
              <w:jc w:val="both"/>
              <w:rPr>
                <w:rFonts w:ascii="宋体" w:hAnsi="宋体"/>
                <w:b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b/>
                <w:sz w:val="18"/>
                <w:szCs w:val="18"/>
                <w:highlight w:val="none"/>
              </w:rPr>
              <w:t>检查文档：</w:t>
            </w:r>
          </w:p>
          <w:p w14:paraId="035EF4C7">
            <w:pPr>
              <w:pStyle w:val="304"/>
              <w:widowControl/>
              <w:spacing w:line="240" w:lineRule="exact"/>
              <w:jc w:val="left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Hans"/>
              </w:rPr>
            </w:pPr>
            <w:r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Hans"/>
              </w:rPr>
              <w:t>《事件管理程序》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Hans"/>
              </w:rPr>
              <w:t>、事件记录</w:t>
            </w:r>
          </w:p>
          <w:p w14:paraId="139BB572">
            <w:pPr>
              <w:spacing w:line="240" w:lineRule="exact"/>
              <w:rPr>
                <w:rFonts w:ascii="宋体" w:hAnsi="宋体" w:cs="宋体"/>
                <w:b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kern w:val="0"/>
                <w:sz w:val="18"/>
                <w:szCs w:val="18"/>
                <w:highlight w:val="none"/>
              </w:rPr>
              <w:t>评估情况说明：</w:t>
            </w:r>
          </w:p>
          <w:p w14:paraId="4A1A6ED9">
            <w:pPr>
              <w:widowControl/>
              <w:spacing w:line="300" w:lineRule="exact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公司建立了</w:t>
            </w:r>
            <w:r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《事件管理程序》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eastAsia="zh-Hans"/>
              </w:rPr>
              <w:t>，包括角色及职责、工作流程、事件管理策略（事件分类、分级和升级机制），以及关键指标等内容。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在itop服务流程管理平台中查看公司202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2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年1-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6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月事件、故障单分析报告，对事件分布、解决率、及时率等进行评估分析，针对分布较大的的事件给出详细的改进措施，并及时进行跟踪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eastAsia="zh-Hans"/>
              </w:rPr>
              <w:t>。</w:t>
            </w:r>
          </w:p>
          <w:p w14:paraId="5589F5AA">
            <w:pPr>
              <w:widowControl/>
              <w:spacing w:line="300" w:lineRule="exact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采用腾讯会议远程审核</w:t>
            </w:r>
          </w:p>
          <w:p w14:paraId="08F6EF26">
            <w:pPr>
              <w:widowControl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评估发现：</w:t>
            </w:r>
          </w:p>
          <w:p w14:paraId="23A0EC29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■满足要求</w:t>
            </w:r>
          </w:p>
          <w:p w14:paraId="77309A43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□改进项</w:t>
            </w:r>
          </w:p>
          <w:p w14:paraId="631FBE64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□一般不符合</w:t>
            </w:r>
          </w:p>
          <w:p w14:paraId="0F6D928B">
            <w:pPr>
              <w:spacing w:line="240" w:lineRule="exac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□严重不符合</w:t>
            </w:r>
          </w:p>
        </w:tc>
      </w:tr>
      <w:tr w14:paraId="16E718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4" w:hRule="atLeast"/>
          <w:jc w:val="center"/>
        </w:trPr>
        <w:tc>
          <w:tcPr>
            <w:tcW w:w="1277" w:type="dxa"/>
            <w:tcMar>
              <w:left w:w="85" w:type="dxa"/>
              <w:right w:w="85" w:type="dxa"/>
            </w:tcMar>
            <w:vAlign w:val="center"/>
          </w:tcPr>
          <w:p w14:paraId="4C0C37C5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val="zh-TW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GB/T 28827.1-2012</w:t>
            </w:r>
          </w:p>
          <w:p w14:paraId="35A91386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 xml:space="preserve">9.5 </w:t>
            </w: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问题管理</w:t>
            </w:r>
          </w:p>
        </w:tc>
        <w:tc>
          <w:tcPr>
            <w:tcW w:w="3898" w:type="dxa"/>
            <w:tcMar>
              <w:left w:w="85" w:type="dxa"/>
              <w:right w:w="85" w:type="dxa"/>
            </w:tcMar>
            <w:vAlign w:val="center"/>
          </w:tcPr>
          <w:p w14:paraId="6D7971C5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51E2608E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) 建立与问题管理程序一致的活动，包括问题建立、分类、调查和诊断、关闭等；</w:t>
            </w:r>
          </w:p>
          <w:p w14:paraId="39DEBF86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b) 建立有效的问题解决评估机制，包括问题解决率、问题平均解决时间等；</w:t>
            </w:r>
          </w:p>
          <w:p w14:paraId="3538294F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 xml:space="preserve">c) 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有支撑问题管理活动和结果的问题记录文档、问题管理报告等，并与知识库关联。</w:t>
            </w:r>
          </w:p>
        </w:tc>
        <w:tc>
          <w:tcPr>
            <w:tcW w:w="1843" w:type="dxa"/>
            <w:vAlign w:val="center"/>
          </w:tcPr>
          <w:p w14:paraId="13D21F10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a) 问题管理程序的完整性；</w:t>
            </w:r>
          </w:p>
          <w:p w14:paraId="142D6730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b) 问题解决评估机制有效性。</w:t>
            </w:r>
          </w:p>
        </w:tc>
        <w:tc>
          <w:tcPr>
            <w:tcW w:w="3969" w:type="dxa"/>
            <w:vAlign w:val="center"/>
          </w:tcPr>
          <w:p w14:paraId="06DC5D68">
            <w:pPr>
              <w:widowControl/>
              <w:spacing w:line="300" w:lineRule="exact"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a) 审查问题管理程序；问题记录模板、问题管理报告，问题管理程序手册要满足：</w:t>
            </w:r>
          </w:p>
          <w:p w14:paraId="40B6CB50">
            <w:pPr>
              <w:widowControl/>
              <w:spacing w:line="300" w:lineRule="exact"/>
              <w:ind w:firstLine="360" w:firstLineChars="200"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流程在项目中的实施应体现对问题识别的合理机制，问题记录应完整；问题可关联到知识库。</w:t>
            </w:r>
          </w:p>
          <w:p w14:paraId="73500765">
            <w:pPr>
              <w:widowControl/>
              <w:spacing w:line="300" w:lineRule="exact"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b）现场抽查：项目实施案例、访问知识库。</w:t>
            </w:r>
          </w:p>
        </w:tc>
        <w:tc>
          <w:tcPr>
            <w:tcW w:w="4292" w:type="dxa"/>
          </w:tcPr>
          <w:p w14:paraId="2185BB64">
            <w:pPr>
              <w:pStyle w:val="299"/>
              <w:jc w:val="both"/>
              <w:rPr>
                <w:rFonts w:hint="eastAsia" w:ascii="宋体" w:hAnsi="宋体" w:eastAsia="宋体"/>
                <w:sz w:val="18"/>
                <w:szCs w:val="18"/>
                <w:highlight w:val="none"/>
                <w:lang w:eastAsia="zh-CN"/>
              </w:rPr>
            </w:pPr>
            <w:r>
              <w:rPr>
                <w:rFonts w:ascii="宋体" w:hAnsi="宋体"/>
                <w:b/>
                <w:sz w:val="18"/>
                <w:szCs w:val="18"/>
                <w:highlight w:val="none"/>
              </w:rPr>
              <w:t>访问对象</w:t>
            </w:r>
            <w:r>
              <w:rPr>
                <w:rFonts w:ascii="宋体" w:hAnsi="宋体"/>
                <w:sz w:val="18"/>
                <w:szCs w:val="18"/>
                <w:highlight w:val="none"/>
              </w:rPr>
              <w:t>：</w:t>
            </w:r>
            <w:r>
              <w:rPr>
                <w:rFonts w:hint="eastAsia" w:ascii="宋体" w:hAnsi="宋体"/>
                <w:sz w:val="18"/>
                <w:szCs w:val="18"/>
                <w:highlight w:val="none"/>
                <w:lang w:eastAsia="zh-CN"/>
              </w:rPr>
              <w:t>运维部经理</w:t>
            </w: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  <w:highlight w:val="none"/>
                <w:lang w:eastAsia="zh-CN"/>
              </w:rPr>
              <w:t>崔新国</w:t>
            </w:r>
          </w:p>
          <w:p w14:paraId="1E010EAA">
            <w:pPr>
              <w:pStyle w:val="299"/>
              <w:jc w:val="both"/>
              <w:rPr>
                <w:rFonts w:ascii="宋体" w:hAnsi="宋体"/>
                <w:b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b/>
                <w:sz w:val="18"/>
                <w:szCs w:val="18"/>
                <w:highlight w:val="none"/>
              </w:rPr>
              <w:t>检查文档：</w:t>
            </w:r>
          </w:p>
          <w:p w14:paraId="2E506A61">
            <w:pPr>
              <w:pStyle w:val="304"/>
              <w:widowControl/>
              <w:spacing w:line="240" w:lineRule="exact"/>
              <w:jc w:val="left"/>
              <w:rPr>
                <w:rFonts w:ascii="宋体" w:hAnsi="宋体" w:cs="宋体"/>
                <w:b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《问题管理流程》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、问题记录</w:t>
            </w:r>
          </w:p>
          <w:p w14:paraId="1F2B825B">
            <w:pPr>
              <w:spacing w:line="240" w:lineRule="exact"/>
              <w:rPr>
                <w:rFonts w:ascii="宋体" w:hAnsi="宋体" w:cs="宋体"/>
                <w:b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b/>
                <w:kern w:val="0"/>
                <w:sz w:val="18"/>
                <w:szCs w:val="18"/>
                <w:highlight w:val="none"/>
                <w:u w:color="000000"/>
              </w:rPr>
              <w:t>评估情况说明：</w:t>
            </w:r>
          </w:p>
          <w:p w14:paraId="2F057B07">
            <w:pPr>
              <w:widowControl/>
              <w:spacing w:line="300" w:lineRule="exact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公司建立了</w:t>
            </w:r>
            <w:r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《问题管理流程》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eastAsia="zh-Hans"/>
              </w:rPr>
              <w:t>，包含了问题的确认受理、问题登记与归类、派单、问题调研分析和诊断、风险评估、协调测试、确定解决方案等方面内容。查看服务台系统中处理完成的问题记录，问题记录中包含了问题来源、类型、优先级、问题描述、解决方案分析等内容。抽查知识库中的知识记录，能对应到已处理完成的问题。</w:t>
            </w:r>
          </w:p>
          <w:p w14:paraId="4291C8AA">
            <w:pPr>
              <w:widowControl/>
              <w:spacing w:line="300" w:lineRule="exact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采用腾讯会议远程审核</w:t>
            </w:r>
          </w:p>
          <w:p w14:paraId="6DDDF0CB">
            <w:pPr>
              <w:widowControl/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评估发现：</w:t>
            </w:r>
          </w:p>
          <w:p w14:paraId="5A6B21BA">
            <w:pPr>
              <w:widowControl/>
              <w:rPr>
                <w:rFonts w:hint="eastAsia" w:cs="宋体" w:asciiTheme="minorEastAsia" w:hAnsiTheme="minorEastAsia" w:eastAsiaTheme="minorEastAsia"/>
                <w:b w:val="0"/>
                <w:bCs w:val="0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未</w:t>
            </w: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  <w:lang w:val="en-US" w:eastAsia="zh-Hans"/>
              </w:rPr>
              <w:t>能</w:t>
            </w: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提供202</w:t>
            </w:r>
            <w:r>
              <w:rPr>
                <w:rFonts w:hint="default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2</w:t>
            </w: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年第一季度</w:t>
            </w: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  <w:lang w:val="en-US" w:eastAsia="zh-Hans"/>
              </w:rPr>
              <w:t>的</w:t>
            </w: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问题评估记录</w:t>
            </w: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000000"/>
                <w:kern w:val="0"/>
                <w:sz w:val="18"/>
                <w:szCs w:val="18"/>
                <w:highlight w:val="none"/>
              </w:rPr>
              <w:t>。</w:t>
            </w:r>
          </w:p>
          <w:p w14:paraId="0A88F1CF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□满足要求</w:t>
            </w:r>
          </w:p>
          <w:p w14:paraId="4FCF6981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□改进项</w:t>
            </w:r>
          </w:p>
          <w:p w14:paraId="3B2A01A6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■一般不符合</w:t>
            </w:r>
          </w:p>
          <w:p w14:paraId="57972515">
            <w:pPr>
              <w:spacing w:line="240" w:lineRule="exac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□严重不符合</w:t>
            </w:r>
          </w:p>
        </w:tc>
      </w:tr>
      <w:tr w14:paraId="689E8D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1277" w:type="dxa"/>
            <w:tcMar>
              <w:left w:w="85" w:type="dxa"/>
              <w:right w:w="85" w:type="dxa"/>
            </w:tcMar>
            <w:vAlign w:val="center"/>
          </w:tcPr>
          <w:p w14:paraId="52B3EFBE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val="zh-TW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GB/T 28827.1-2012</w:t>
            </w:r>
          </w:p>
          <w:p w14:paraId="66CBAC24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 xml:space="preserve">9.6 </w:t>
            </w: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配置管理</w:t>
            </w:r>
          </w:p>
        </w:tc>
        <w:tc>
          <w:tcPr>
            <w:tcW w:w="3898" w:type="dxa"/>
            <w:tcMar>
              <w:left w:w="85" w:type="dxa"/>
              <w:right w:w="85" w:type="dxa"/>
            </w:tcMar>
            <w:vAlign w:val="center"/>
          </w:tcPr>
          <w:p w14:paraId="507B774D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1DC611BE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供方应根据配置管理的过程要求：</w:t>
            </w:r>
          </w:p>
          <w:p w14:paraId="317F628F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) 建立与业务相适应的配置管理数据库；</w:t>
            </w:r>
          </w:p>
          <w:p w14:paraId="73440078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b) 建立配置管理制度、配置管理数据库管理制度、配置管理记录。</w:t>
            </w:r>
          </w:p>
        </w:tc>
        <w:tc>
          <w:tcPr>
            <w:tcW w:w="1843" w:type="dxa"/>
            <w:vAlign w:val="center"/>
          </w:tcPr>
          <w:p w14:paraId="20F1E125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a) 配置管理活动的完整性；</w:t>
            </w:r>
          </w:p>
          <w:p w14:paraId="57EF58D3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 xml:space="preserve">b) 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配置数据的准确、完整、有效、可用和可追溯；</w:t>
            </w:r>
          </w:p>
          <w:p w14:paraId="10B05837">
            <w:pPr>
              <w:widowControl/>
              <w:spacing w:line="240" w:lineRule="exact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</w:p>
        </w:tc>
        <w:tc>
          <w:tcPr>
            <w:tcW w:w="3969" w:type="dxa"/>
            <w:vAlign w:val="center"/>
          </w:tcPr>
          <w:p w14:paraId="33AB5AEC">
            <w:pPr>
              <w:widowControl/>
              <w:spacing w:line="300" w:lineRule="exact"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a）审查文档：配置管理程序，包括：</w:t>
            </w:r>
          </w:p>
          <w:p w14:paraId="539EBDA8">
            <w:pPr>
              <w:widowControl/>
              <w:spacing w:line="300" w:lineRule="exact"/>
              <w:ind w:firstLine="360" w:firstLineChars="200"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配置管理制度、配置管理记录；</w:t>
            </w:r>
          </w:p>
          <w:p w14:paraId="368B1C9D">
            <w:pPr>
              <w:widowControl/>
              <w:spacing w:line="300" w:lineRule="exact"/>
              <w:ind w:firstLine="360" w:firstLineChars="200"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配置管理数据库管理制度；</w:t>
            </w:r>
          </w:p>
          <w:p w14:paraId="1B6E8099">
            <w:pPr>
              <w:widowControl/>
              <w:spacing w:line="300" w:lineRule="exact"/>
              <w:ind w:firstLine="360" w:firstLineChars="200"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配置项审计制度、配置审计记录等。</w:t>
            </w:r>
          </w:p>
          <w:p w14:paraId="1EEE28FE">
            <w:pPr>
              <w:widowControl/>
              <w:spacing w:line="300" w:lineRule="exact"/>
              <w:rPr>
                <w:rFonts w:cs="宋体" w:asciiTheme="minorEastAsia" w:hAnsiTheme="minorEastAsia" w:eastAsiaTheme="minorEastAsia"/>
                <w:b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b）现场展示配置管理数据库，CMDB 应包括配置项的基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</w:rPr>
              <w:t>本信息</w:t>
            </w:r>
            <w:r>
              <w:rPr>
                <w:rFonts w:hint="eastAsia" w:cs="宋体" w:asciiTheme="minorEastAsia" w:hAnsiTheme="minorEastAsia" w:eastAsiaTheme="minorEastAsia"/>
                <w:b/>
                <w:kern w:val="0"/>
                <w:sz w:val="18"/>
                <w:szCs w:val="18"/>
                <w:highlight w:val="none"/>
              </w:rPr>
              <w:t>。</w:t>
            </w:r>
          </w:p>
          <w:p w14:paraId="53B5EE75">
            <w:pPr>
              <w:widowControl/>
              <w:spacing w:line="300" w:lineRule="exact"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292" w:type="dxa"/>
          </w:tcPr>
          <w:p w14:paraId="21E9FD65">
            <w:pPr>
              <w:pStyle w:val="299"/>
              <w:jc w:val="both"/>
              <w:rPr>
                <w:rFonts w:hint="eastAsia" w:ascii="宋体" w:hAnsi="宋体" w:eastAsia="宋体"/>
                <w:sz w:val="18"/>
                <w:szCs w:val="18"/>
                <w:highlight w:val="none"/>
                <w:lang w:eastAsia="zh-CN"/>
              </w:rPr>
            </w:pPr>
            <w:r>
              <w:rPr>
                <w:rFonts w:ascii="宋体" w:hAnsi="宋体"/>
                <w:b/>
                <w:sz w:val="18"/>
                <w:szCs w:val="18"/>
                <w:highlight w:val="none"/>
              </w:rPr>
              <w:t>访问对象</w:t>
            </w:r>
            <w:r>
              <w:rPr>
                <w:rFonts w:ascii="宋体" w:hAnsi="宋体"/>
                <w:sz w:val="18"/>
                <w:szCs w:val="18"/>
                <w:highlight w:val="none"/>
              </w:rPr>
              <w:t>：</w:t>
            </w:r>
            <w:r>
              <w:rPr>
                <w:rFonts w:hint="eastAsia" w:ascii="宋体" w:hAnsi="宋体"/>
                <w:sz w:val="18"/>
                <w:szCs w:val="18"/>
                <w:highlight w:val="none"/>
                <w:lang w:eastAsia="zh-CN"/>
              </w:rPr>
              <w:t>运维部经理</w:t>
            </w: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  <w:highlight w:val="none"/>
                <w:lang w:eastAsia="zh-CN"/>
              </w:rPr>
              <w:t>崔新国</w:t>
            </w:r>
          </w:p>
          <w:p w14:paraId="2ACC79BC">
            <w:pPr>
              <w:pStyle w:val="299"/>
              <w:jc w:val="both"/>
              <w:rPr>
                <w:rFonts w:ascii="宋体" w:hAnsi="宋体" w:cs="宋体"/>
                <w:b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/>
                <w:b/>
                <w:sz w:val="18"/>
                <w:szCs w:val="18"/>
                <w:highlight w:val="none"/>
              </w:rPr>
              <w:t>检查文档：</w:t>
            </w:r>
            <w:r>
              <w:rPr>
                <w:rFonts w:ascii="宋体" w:hAnsi="宋体" w:cs="宋体"/>
                <w:color w:val="auto"/>
                <w:sz w:val="18"/>
                <w:szCs w:val="18"/>
                <w:highlight w:val="none"/>
              </w:rPr>
              <w:t>《配置管理程序》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highlight w:val="none"/>
                <w:lang w:eastAsia="zh-Hans"/>
              </w:rPr>
              <w:t>、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《配置审计计划》、《配置清单记录表》、《配置审计报告》</w:t>
            </w:r>
          </w:p>
          <w:p w14:paraId="03990453">
            <w:pPr>
              <w:spacing w:line="240" w:lineRule="exact"/>
              <w:rPr>
                <w:rFonts w:ascii="宋体" w:hAnsi="宋体" w:cs="宋体"/>
                <w:b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b/>
                <w:kern w:val="0"/>
                <w:sz w:val="18"/>
                <w:szCs w:val="18"/>
                <w:highlight w:val="none"/>
                <w:u w:color="000000"/>
              </w:rPr>
              <w:t>评估情况说明：</w:t>
            </w:r>
          </w:p>
          <w:p w14:paraId="7D9A1E53">
            <w:pPr>
              <w:widowControl/>
              <w:spacing w:line="300" w:lineRule="exact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公司使用itop运维过程管理软件进行配置管理，查看《配置管理程序》中包含配置管理数据库基线、配置项结构的深度和配置项的属性内容、配置项之间的关联关系等。《配置管理程序》中包含配置审计制度要求及流程；有明确的过程负责人和过程测量指标，管理过程包括配置计划、定义与标识、建立配置管理数据库、配置管理数据库的控制与维护、配置审计和验证、与其他流程的接口。项目上有配置记录，如：《配置审计计划》、《配置清单记录表》、《配置审计报告》等。查看了</w:t>
            </w:r>
            <w:r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《青岛北琪实业有限公司信息化应用软件联合维保项目》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《山东恒特重工有限公司应用软件维保服务项目》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val="en-US" w:eastAsia="zh-Hans"/>
              </w:rPr>
              <w:t>的《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配置审计报告》；</w:t>
            </w:r>
          </w:p>
          <w:p w14:paraId="3D97915F">
            <w:pPr>
              <w:widowControl/>
              <w:spacing w:line="300" w:lineRule="exact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采用腾讯会议远程审核</w:t>
            </w:r>
          </w:p>
          <w:p w14:paraId="77564EA5">
            <w:pPr>
              <w:widowControl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评估发现：</w:t>
            </w:r>
          </w:p>
          <w:p w14:paraId="5BC4127A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■满足要求</w:t>
            </w:r>
          </w:p>
          <w:p w14:paraId="0971EE96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□改进项</w:t>
            </w:r>
          </w:p>
          <w:p w14:paraId="07C7C122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□一般不符合</w:t>
            </w:r>
          </w:p>
          <w:p w14:paraId="7EAAD0A0">
            <w:pPr>
              <w:spacing w:line="240" w:lineRule="exac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□严重不符合</w:t>
            </w:r>
          </w:p>
        </w:tc>
      </w:tr>
      <w:tr w14:paraId="4E38F2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277" w:type="dxa"/>
            <w:tcMar>
              <w:left w:w="85" w:type="dxa"/>
              <w:right w:w="85" w:type="dxa"/>
            </w:tcMar>
            <w:vAlign w:val="center"/>
          </w:tcPr>
          <w:p w14:paraId="121F74A3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val="zh-TW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GB/T 28827.1-2012</w:t>
            </w:r>
          </w:p>
          <w:p w14:paraId="2AAD2018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 xml:space="preserve">9.7 </w:t>
            </w: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变更管理</w:t>
            </w:r>
          </w:p>
        </w:tc>
        <w:tc>
          <w:tcPr>
            <w:tcW w:w="3898" w:type="dxa"/>
            <w:tcMar>
              <w:left w:w="85" w:type="dxa"/>
              <w:right w:w="85" w:type="dxa"/>
            </w:tcMar>
            <w:vAlign w:val="center"/>
          </w:tcPr>
          <w:p w14:paraId="33BEA039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258F12E4">
            <w:pPr>
              <w:widowControl/>
              <w:spacing w:line="240" w:lineRule="exact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供方通过管理、控制变更的过程，确保变更有序实施。供方应根据变更管理的过程要求，实现以下方面：</w:t>
            </w:r>
          </w:p>
          <w:p w14:paraId="0BE1999C">
            <w:pPr>
              <w:widowControl/>
              <w:numPr>
                <w:ilvl w:val="0"/>
                <w:numId w:val="35"/>
              </w:numPr>
              <w:spacing w:line="240" w:lineRule="exact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定义变更类型，建立变更范围管理机制，明确变更审批负责人或变更审批委员会；</w:t>
            </w:r>
          </w:p>
          <w:p w14:paraId="3A55099D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b) 制定变更管理制度，保存变更管理记录，包括变更申请单、审批记录、变更管理报告等；</w:t>
            </w:r>
          </w:p>
          <w:p w14:paraId="5BA610A1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</w:p>
        </w:tc>
        <w:tc>
          <w:tcPr>
            <w:tcW w:w="1843" w:type="dxa"/>
            <w:vAlign w:val="center"/>
          </w:tcPr>
          <w:p w14:paraId="4A074538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a) 变更管理程序的完整性；</w:t>
            </w:r>
          </w:p>
          <w:p w14:paraId="3A84C2A7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b) 变更记录的完整性。</w:t>
            </w:r>
          </w:p>
        </w:tc>
        <w:tc>
          <w:tcPr>
            <w:tcW w:w="3969" w:type="dxa"/>
            <w:vAlign w:val="center"/>
          </w:tcPr>
          <w:p w14:paraId="6E097522">
            <w:pPr>
              <w:widowControl/>
              <w:spacing w:line="300" w:lineRule="exact"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a) 审查文档：变更管理程序、变更管理记录、变更管理报告；</w:t>
            </w:r>
          </w:p>
          <w:p w14:paraId="097B7930">
            <w:pPr>
              <w:widowControl/>
              <w:spacing w:line="300" w:lineRule="exact"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4292" w:type="dxa"/>
          </w:tcPr>
          <w:p w14:paraId="5C30CB40">
            <w:pPr>
              <w:pStyle w:val="299"/>
              <w:jc w:val="both"/>
              <w:rPr>
                <w:rFonts w:hint="eastAsia" w:ascii="宋体" w:hAnsi="宋体" w:eastAsia="宋体"/>
                <w:sz w:val="18"/>
                <w:szCs w:val="18"/>
                <w:highlight w:val="none"/>
                <w:lang w:eastAsia="zh-CN"/>
              </w:rPr>
            </w:pPr>
            <w:r>
              <w:rPr>
                <w:rFonts w:ascii="宋体" w:hAnsi="宋体"/>
                <w:b/>
                <w:sz w:val="18"/>
                <w:szCs w:val="18"/>
                <w:highlight w:val="none"/>
              </w:rPr>
              <w:t>访问对象</w:t>
            </w:r>
            <w:r>
              <w:rPr>
                <w:rFonts w:ascii="宋体" w:hAnsi="宋体"/>
                <w:sz w:val="18"/>
                <w:szCs w:val="18"/>
                <w:highlight w:val="none"/>
              </w:rPr>
              <w:t>：</w:t>
            </w:r>
            <w:r>
              <w:rPr>
                <w:rFonts w:hint="eastAsia" w:ascii="宋体" w:hAnsi="宋体"/>
                <w:sz w:val="18"/>
                <w:szCs w:val="18"/>
                <w:highlight w:val="none"/>
                <w:lang w:eastAsia="zh-CN"/>
              </w:rPr>
              <w:t>运维部经理</w:t>
            </w: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  <w:highlight w:val="none"/>
                <w:lang w:eastAsia="zh-CN"/>
              </w:rPr>
              <w:t>崔新国</w:t>
            </w:r>
          </w:p>
          <w:p w14:paraId="3B091119">
            <w:pPr>
              <w:pStyle w:val="299"/>
              <w:jc w:val="both"/>
              <w:rPr>
                <w:rFonts w:ascii="宋体" w:hAnsi="宋体"/>
                <w:b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b/>
                <w:sz w:val="18"/>
                <w:szCs w:val="18"/>
                <w:highlight w:val="none"/>
              </w:rPr>
              <w:t>检查文档：</w:t>
            </w:r>
          </w:p>
          <w:p w14:paraId="1836824C">
            <w:pPr>
              <w:spacing w:line="240" w:lineRule="exact"/>
              <w:rPr>
                <w:rFonts w:ascii="宋体" w:hAnsi="宋体" w:cs="宋体"/>
                <w:b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</w:rPr>
              <w:t>《变更管理流程》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</w:rPr>
              <w:t>、变更记录</w:t>
            </w:r>
          </w:p>
          <w:p w14:paraId="26283C8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18"/>
                <w:szCs w:val="18"/>
                <w:highlight w:val="none"/>
              </w:rPr>
              <w:t>评估情况：</w:t>
            </w:r>
          </w:p>
          <w:p w14:paraId="0FD00831">
            <w:pPr>
              <w:widowControl/>
              <w:spacing w:line="300" w:lineRule="exact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《变更管理流程》中包含组织级的变更管理委员会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eastAsia="zh-Hans"/>
              </w:rPr>
              <w:t>，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包括明确的变更管理职责、变更申请制度、变更审批制度、变更实施制度等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eastAsia="zh-Hans"/>
              </w:rPr>
              <w:t>。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公司使用运行维护管理平台进行变更管理，在工具中查看了近三个月的变更记录，包含了《变更方案》、《变更用户确认单》、《变更总结》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eastAsia="zh-Hans"/>
              </w:rPr>
              <w:t>。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《变更管理流程》中包含对变更分级审批机制、变更验证机制、变更回退机制、变更评价机制等进行定期评估和审核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eastAsia="zh-Hans"/>
              </w:rPr>
              <w:t>。</w:t>
            </w:r>
          </w:p>
          <w:p w14:paraId="37D0E5FB">
            <w:pPr>
              <w:widowControl/>
              <w:spacing w:line="300" w:lineRule="exact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采用腾讯会议远程审核</w:t>
            </w:r>
          </w:p>
          <w:p w14:paraId="1F84FED3">
            <w:pPr>
              <w:widowControl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评估发现：</w:t>
            </w:r>
          </w:p>
          <w:p w14:paraId="0158B637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■满足要求</w:t>
            </w:r>
          </w:p>
          <w:p w14:paraId="6AB9445F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□改进项</w:t>
            </w:r>
          </w:p>
          <w:p w14:paraId="6E1536BC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□一般不符合</w:t>
            </w:r>
          </w:p>
          <w:p w14:paraId="59C8A0A0">
            <w:pPr>
              <w:spacing w:line="240" w:lineRule="exac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□严重不符合</w:t>
            </w:r>
          </w:p>
        </w:tc>
      </w:tr>
      <w:tr w14:paraId="2F7AF9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4" w:hRule="atLeast"/>
          <w:jc w:val="center"/>
        </w:trPr>
        <w:tc>
          <w:tcPr>
            <w:tcW w:w="1277" w:type="dxa"/>
            <w:tcMar>
              <w:left w:w="85" w:type="dxa"/>
              <w:right w:w="85" w:type="dxa"/>
            </w:tcMar>
            <w:vAlign w:val="center"/>
          </w:tcPr>
          <w:p w14:paraId="6B3BCD5F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val="zh-TW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GB/T 28827.1-2012</w:t>
            </w:r>
          </w:p>
          <w:p w14:paraId="36A2DA1D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9.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8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val="zh-TW"/>
              </w:rPr>
              <w:t>发布</w:t>
            </w: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管理</w:t>
            </w:r>
          </w:p>
        </w:tc>
        <w:tc>
          <w:tcPr>
            <w:tcW w:w="3898" w:type="dxa"/>
            <w:tcMar>
              <w:left w:w="85" w:type="dxa"/>
              <w:right w:w="85" w:type="dxa"/>
            </w:tcMar>
            <w:vAlign w:val="center"/>
          </w:tcPr>
          <w:p w14:paraId="57989C6F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</w:t>
            </w:r>
          </w:p>
          <w:p w14:paraId="118EE9E7">
            <w:pPr>
              <w:widowControl/>
              <w:spacing w:line="240" w:lineRule="exact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制定发布管理制度，保存发布过程记录，包括：发布计划、测试方案、回退方案、发布记录、发布评估报告等。</w:t>
            </w:r>
          </w:p>
        </w:tc>
        <w:tc>
          <w:tcPr>
            <w:tcW w:w="1843" w:type="dxa"/>
            <w:vAlign w:val="center"/>
          </w:tcPr>
          <w:p w14:paraId="1F6FE35F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a) 发布管理过程的完整性；</w:t>
            </w:r>
          </w:p>
          <w:p w14:paraId="167AAAE0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b) 发布过程记录的完整性。</w:t>
            </w:r>
          </w:p>
        </w:tc>
        <w:tc>
          <w:tcPr>
            <w:tcW w:w="3969" w:type="dxa"/>
            <w:vAlign w:val="center"/>
          </w:tcPr>
          <w:p w14:paraId="02B692B2">
            <w:pPr>
              <w:widowControl/>
              <w:spacing w:line="300" w:lineRule="exact"/>
              <w:rPr>
                <w:rFonts w:asciiTheme="minorEastAsia" w:hAnsiTheme="minorEastAsia" w:eastAsiaTheme="minorEastAsia"/>
                <w:color w:val="000000"/>
                <w:sz w:val="18"/>
                <w:szCs w:val="18"/>
                <w:highlight w:val="none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18"/>
                <w:szCs w:val="18"/>
                <w:highlight w:val="none"/>
              </w:rPr>
              <w:t>a) 审查文档：发布管理流程、发布计划、发布方案、发布记录、发布评估报告等；</w:t>
            </w:r>
          </w:p>
          <w:p w14:paraId="5825A91D">
            <w:pPr>
              <w:widowControl/>
              <w:spacing w:line="300" w:lineRule="exact"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18"/>
                <w:szCs w:val="18"/>
                <w:highlight w:val="none"/>
              </w:rPr>
              <w:t>b) 现场抽查：发布管理报告。</w:t>
            </w:r>
          </w:p>
        </w:tc>
        <w:tc>
          <w:tcPr>
            <w:tcW w:w="4292" w:type="dxa"/>
          </w:tcPr>
          <w:p w14:paraId="5B8C5564">
            <w:pPr>
              <w:pStyle w:val="299"/>
              <w:jc w:val="both"/>
              <w:rPr>
                <w:rFonts w:hint="eastAsia" w:ascii="宋体" w:hAnsi="宋体" w:eastAsia="宋体"/>
                <w:sz w:val="18"/>
                <w:szCs w:val="18"/>
                <w:highlight w:val="none"/>
                <w:lang w:eastAsia="zh-CN"/>
              </w:rPr>
            </w:pPr>
            <w:r>
              <w:rPr>
                <w:rFonts w:ascii="宋体" w:hAnsi="宋体"/>
                <w:b/>
                <w:sz w:val="18"/>
                <w:szCs w:val="18"/>
                <w:highlight w:val="none"/>
              </w:rPr>
              <w:t>访问对象</w:t>
            </w:r>
            <w:r>
              <w:rPr>
                <w:rFonts w:ascii="宋体" w:hAnsi="宋体"/>
                <w:sz w:val="18"/>
                <w:szCs w:val="18"/>
                <w:highlight w:val="none"/>
              </w:rPr>
              <w:t>：</w:t>
            </w:r>
            <w:r>
              <w:rPr>
                <w:rFonts w:hint="eastAsia" w:ascii="宋体" w:hAnsi="宋体"/>
                <w:sz w:val="18"/>
                <w:szCs w:val="18"/>
                <w:highlight w:val="none"/>
                <w:lang w:eastAsia="zh-CN"/>
              </w:rPr>
              <w:t>运维部经理</w:t>
            </w: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  <w:highlight w:val="none"/>
                <w:lang w:eastAsia="zh-CN"/>
              </w:rPr>
              <w:t>崔新国</w:t>
            </w:r>
          </w:p>
          <w:p w14:paraId="59F25312">
            <w:pPr>
              <w:pStyle w:val="299"/>
              <w:jc w:val="both"/>
              <w:rPr>
                <w:rFonts w:ascii="宋体" w:hAnsi="宋体"/>
                <w:b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b/>
                <w:sz w:val="18"/>
                <w:szCs w:val="18"/>
                <w:highlight w:val="none"/>
              </w:rPr>
              <w:t>检查文档：</w:t>
            </w:r>
          </w:p>
          <w:p w14:paraId="01BC93A2">
            <w:pPr>
              <w:widowControl/>
              <w:spacing w:line="300" w:lineRule="exact"/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《发布管理程序》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《测试报告》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《发布信息统计表》</w:t>
            </w:r>
          </w:p>
          <w:p w14:paraId="7D3E472F">
            <w:pPr>
              <w:spacing w:line="240" w:lineRule="exact"/>
              <w:rPr>
                <w:rFonts w:ascii="宋体" w:hAnsi="宋体" w:cs="宋体"/>
                <w:b/>
                <w:kern w:val="0"/>
                <w:sz w:val="20"/>
                <w:szCs w:val="20"/>
                <w:highlight w:val="none"/>
                <w:u w:color="000000"/>
              </w:rPr>
            </w:pPr>
            <w:r>
              <w:rPr>
                <w:rFonts w:hint="eastAsia" w:ascii="宋体" w:hAnsi="宋体" w:cs="宋体"/>
                <w:b/>
                <w:kern w:val="0"/>
                <w:sz w:val="20"/>
                <w:szCs w:val="20"/>
                <w:highlight w:val="none"/>
                <w:u w:color="000000"/>
              </w:rPr>
              <w:t>评估情况说明：</w:t>
            </w:r>
          </w:p>
          <w:p w14:paraId="11717347">
            <w:pPr>
              <w:widowControl/>
              <w:spacing w:line="300" w:lineRule="exact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《发布管理程序》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包含发布管理范围和职责、发布评估制度、发布测试制度、发布申请制度、发布审核制度、发布实施制度、发布验收制度、发布回退制度、发布过程监控制度等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eastAsia="zh-Hans"/>
              </w:rPr>
              <w:t>。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《测试报告》中包含发布测试环境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eastAsia="zh-Hans"/>
              </w:rPr>
              <w:t>。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《发布信息统计表》包含发布数量、发布成功率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eastAsia="zh-Hans"/>
              </w:rPr>
              <w:t>。</w:t>
            </w:r>
            <w:r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《发布管理程序》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包含发布管理与变更管理、配置管理、问题管理流程的协同关系。</w:t>
            </w:r>
          </w:p>
          <w:p w14:paraId="5F9DEE7B">
            <w:pPr>
              <w:widowControl/>
              <w:spacing w:line="300" w:lineRule="exact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采用腾讯会议远程审核</w:t>
            </w:r>
          </w:p>
          <w:p w14:paraId="1AD728BA">
            <w:pPr>
              <w:widowControl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评估发现：</w:t>
            </w:r>
          </w:p>
          <w:p w14:paraId="5E78886D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■满足要求</w:t>
            </w:r>
          </w:p>
          <w:p w14:paraId="76D02542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□改进项</w:t>
            </w:r>
          </w:p>
          <w:p w14:paraId="5B85547E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□一般不符合</w:t>
            </w:r>
          </w:p>
          <w:p w14:paraId="78E6D1F4">
            <w:pPr>
              <w:spacing w:line="240" w:lineRule="exac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□严重不符合</w:t>
            </w:r>
          </w:p>
        </w:tc>
      </w:tr>
      <w:tr w14:paraId="2F75DA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4" w:hRule="atLeast"/>
          <w:jc w:val="center"/>
        </w:trPr>
        <w:tc>
          <w:tcPr>
            <w:tcW w:w="1277" w:type="dxa"/>
            <w:tcMar>
              <w:left w:w="85" w:type="dxa"/>
              <w:right w:w="85" w:type="dxa"/>
            </w:tcMar>
            <w:vAlign w:val="center"/>
          </w:tcPr>
          <w:p w14:paraId="31A9523D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val="zh-TW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GB/T 28827.1-2012</w:t>
            </w:r>
          </w:p>
          <w:p w14:paraId="77FCBD4B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 xml:space="preserve">9.9 </w:t>
            </w:r>
            <w:r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  <w:lang w:val="zh-TW" w:eastAsia="zh-TW"/>
              </w:rPr>
              <w:t>信息安全管理</w:t>
            </w:r>
          </w:p>
        </w:tc>
        <w:tc>
          <w:tcPr>
            <w:tcW w:w="3898" w:type="dxa"/>
            <w:tcMar>
              <w:left w:w="85" w:type="dxa"/>
              <w:right w:w="85" w:type="dxa"/>
            </w:tcMar>
            <w:vAlign w:val="center"/>
          </w:tcPr>
          <w:p w14:paraId="2C677147">
            <w:pPr>
              <w:widowControl/>
              <w:spacing w:line="240" w:lineRule="exact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除达到四级要求外，还应满足以下要求：供方应建立运行维护服务过程中的信息安全管理过程，并重点关注以下方面：</w:t>
            </w:r>
          </w:p>
          <w:p w14:paraId="69A84D53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a) 建立信息安全管理过程，包括安全方针、策略等，并对信息安全风险进行识别、评估、处置和改进，形成相关记录，如信息安全控制措施及风险评估记录、实施记录等；</w:t>
            </w:r>
          </w:p>
          <w:p w14:paraId="49C83937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b) 建立与组织业务相适应的信息安全事件处理流程。</w:t>
            </w:r>
          </w:p>
        </w:tc>
        <w:tc>
          <w:tcPr>
            <w:tcW w:w="1843" w:type="dxa"/>
            <w:vAlign w:val="center"/>
          </w:tcPr>
          <w:p w14:paraId="5850F369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a) 信息安全培训的有效性；</w:t>
            </w:r>
          </w:p>
          <w:p w14:paraId="75F70136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  <w:t>b) 信息安全事件处理记录的有效性。</w:t>
            </w:r>
          </w:p>
        </w:tc>
        <w:tc>
          <w:tcPr>
            <w:tcW w:w="3969" w:type="dxa"/>
            <w:vAlign w:val="center"/>
          </w:tcPr>
          <w:p w14:paraId="595288A5">
            <w:pPr>
              <w:widowControl/>
              <w:spacing w:line="300" w:lineRule="exact"/>
              <w:rPr>
                <w:rFonts w:asciiTheme="minorEastAsia" w:hAnsiTheme="minorEastAsia" w:eastAsiaTheme="minorEastAsia"/>
                <w:color w:val="000000"/>
                <w:sz w:val="18"/>
                <w:szCs w:val="18"/>
                <w:highlight w:val="none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18"/>
                <w:szCs w:val="18"/>
                <w:highlight w:val="none"/>
              </w:rPr>
              <w:t>a) 审查文档：信息安全管理过程（包括安全方针、策略等）、风险评估记录、信息安全控制措施及实施记录。</w:t>
            </w:r>
          </w:p>
          <w:p w14:paraId="1EE58991">
            <w:pPr>
              <w:widowControl/>
              <w:spacing w:line="300" w:lineRule="exact"/>
              <w:rPr>
                <w:rFonts w:asciiTheme="minorEastAsia" w:hAnsiTheme="minorEastAsia" w:eastAsiaTheme="minorEastAsia"/>
                <w:color w:val="000000"/>
                <w:sz w:val="18"/>
                <w:szCs w:val="18"/>
                <w:highlight w:val="none"/>
              </w:rPr>
            </w:pPr>
          </w:p>
          <w:p w14:paraId="2C071956">
            <w:pPr>
              <w:widowControl/>
              <w:spacing w:line="300" w:lineRule="exact"/>
              <w:ind w:firstLine="180" w:firstLineChars="100"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18"/>
                <w:szCs w:val="18"/>
                <w:highlight w:val="none"/>
              </w:rPr>
              <w:t>应重点关注保护需方信息资产的安全措施。</w:t>
            </w:r>
          </w:p>
        </w:tc>
        <w:tc>
          <w:tcPr>
            <w:tcW w:w="4292" w:type="dxa"/>
          </w:tcPr>
          <w:p w14:paraId="7C021522">
            <w:pPr>
              <w:pStyle w:val="299"/>
              <w:jc w:val="both"/>
              <w:rPr>
                <w:rFonts w:hint="eastAsia" w:ascii="宋体" w:hAnsi="宋体" w:eastAsia="宋体"/>
                <w:sz w:val="18"/>
                <w:szCs w:val="18"/>
                <w:highlight w:val="none"/>
                <w:lang w:eastAsia="zh-CN"/>
              </w:rPr>
            </w:pPr>
            <w:r>
              <w:rPr>
                <w:rFonts w:ascii="宋体" w:hAnsi="宋体"/>
                <w:b/>
                <w:sz w:val="18"/>
                <w:szCs w:val="18"/>
                <w:highlight w:val="none"/>
              </w:rPr>
              <w:t>访问对象</w:t>
            </w:r>
            <w:r>
              <w:rPr>
                <w:rFonts w:ascii="宋体" w:hAnsi="宋体"/>
                <w:sz w:val="18"/>
                <w:szCs w:val="18"/>
                <w:highlight w:val="none"/>
              </w:rPr>
              <w:t>：</w:t>
            </w:r>
            <w:r>
              <w:rPr>
                <w:rFonts w:hint="eastAsia" w:ascii="宋体" w:hAnsi="宋体"/>
                <w:sz w:val="18"/>
                <w:szCs w:val="18"/>
                <w:highlight w:val="none"/>
                <w:lang w:eastAsia="zh-CN"/>
              </w:rPr>
              <w:t>运维部经理</w:t>
            </w: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  <w:highlight w:val="none"/>
                <w:lang w:eastAsia="zh-CN"/>
              </w:rPr>
              <w:t>崔新国</w:t>
            </w:r>
          </w:p>
          <w:p w14:paraId="4154C3A9">
            <w:pPr>
              <w:pStyle w:val="299"/>
              <w:jc w:val="both"/>
              <w:rPr>
                <w:rFonts w:ascii="宋体" w:hAnsi="宋体"/>
                <w:b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b/>
                <w:sz w:val="18"/>
                <w:szCs w:val="18"/>
                <w:highlight w:val="none"/>
              </w:rPr>
              <w:t>检查文档：</w:t>
            </w:r>
          </w:p>
          <w:p w14:paraId="42397469">
            <w:pPr>
              <w:widowControl/>
              <w:spacing w:line="300" w:lineRule="exact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《信息安全管理程序》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、《风险识别及评估表》、</w:t>
            </w:r>
            <w:r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《青岛北琪实业有限公司信息化应用软件联合维保项目》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《山东恒特重工有限公司应用软件维保服务项目》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val="en-US" w:eastAsia="zh-Hans"/>
              </w:rPr>
              <w:t>的《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风险跟踪表》</w:t>
            </w:r>
          </w:p>
          <w:p w14:paraId="40D6CFD3">
            <w:pPr>
              <w:pStyle w:val="299"/>
              <w:jc w:val="both"/>
              <w:rPr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b/>
                <w:sz w:val="18"/>
                <w:szCs w:val="18"/>
                <w:highlight w:val="none"/>
              </w:rPr>
              <w:t>检查文档：</w:t>
            </w:r>
          </w:p>
          <w:p w14:paraId="1F58F4E8">
            <w:pPr>
              <w:widowControl/>
              <w:spacing w:line="300" w:lineRule="exact"/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查看</w:t>
            </w:r>
            <w:r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《信息安全管理程序》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，定义了信息安全评估方法和风险接受准则。查看</w:t>
            </w:r>
            <w:r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《风险识别及评估表》包含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风险评估的等级</w:t>
            </w:r>
            <w:r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评估要求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eastAsia="zh-Hans"/>
              </w:rPr>
              <w:t>、</w:t>
            </w:r>
            <w:r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定义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val="en-US" w:eastAsia="zh-Hans"/>
              </w:rPr>
              <w:t>及记录</w:t>
            </w:r>
            <w:r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。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在项目开始时会对用户信息资产进行风险评估，在随后的日常巡检工作中发现风险点随时加入该表中。</w:t>
            </w:r>
            <w:r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《青岛北琪实业有限公司信息化应用软件联合维保项目》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《山东恒特重工有限公司应用软件维保服务项目》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val="en-US" w:eastAsia="zh-Hans"/>
              </w:rPr>
              <w:t>的《</w:t>
            </w:r>
            <w:r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风险跟踪表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》对重要信息系统实施了风险评估。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  <w:lang w:val="en-US" w:eastAsia="zh-Hans"/>
              </w:rPr>
              <w:t>对于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硬件防火墙、上网行为控制设备进行病毒防护和漏洞扫描。</w:t>
            </w:r>
          </w:p>
          <w:p w14:paraId="1F5FFBB6">
            <w:pPr>
              <w:widowControl/>
              <w:spacing w:line="300" w:lineRule="exact"/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采用腾讯会议远程审核</w:t>
            </w:r>
          </w:p>
          <w:p w14:paraId="0DEA3771">
            <w:pPr>
              <w:widowControl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000000"/>
                <w:kern w:val="0"/>
                <w:sz w:val="18"/>
                <w:szCs w:val="18"/>
                <w:highlight w:val="none"/>
              </w:rPr>
              <w:t>评估发现：</w:t>
            </w:r>
          </w:p>
          <w:p w14:paraId="3352010F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■满足要求</w:t>
            </w:r>
          </w:p>
          <w:p w14:paraId="071A870C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□改进项</w:t>
            </w:r>
          </w:p>
          <w:p w14:paraId="5D157BF0"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□一般不符合</w:t>
            </w:r>
          </w:p>
          <w:p w14:paraId="45829CF7">
            <w:pPr>
              <w:spacing w:line="240" w:lineRule="exac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highlight w:val="none"/>
                <w:u w:color="000000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18"/>
                <w:szCs w:val="18"/>
                <w:highlight w:val="none"/>
              </w:rPr>
              <w:t>□严重不符合</w:t>
            </w:r>
          </w:p>
        </w:tc>
      </w:tr>
      <w:bookmarkEnd w:id="2"/>
      <w:bookmarkEnd w:id="4"/>
    </w:tbl>
    <w:p w14:paraId="729DF827">
      <w:pPr>
        <w:widowControl/>
        <w:tabs>
          <w:tab w:val="center" w:pos="4201"/>
          <w:tab w:val="right" w:leader="dot" w:pos="9298"/>
        </w:tabs>
        <w:autoSpaceDE w:val="0"/>
        <w:autoSpaceDN w:val="0"/>
        <w:rPr>
          <w:rFonts w:cs="Times New Roman" w:asciiTheme="minorEastAsia" w:hAnsiTheme="minorEastAsia" w:eastAsiaTheme="minorEastAsia"/>
          <w:kern w:val="0"/>
          <w:sz w:val="18"/>
          <w:szCs w:val="18"/>
          <w:highlight w:val="none"/>
        </w:rPr>
      </w:pPr>
    </w:p>
    <w:p w14:paraId="5EFEE4D3">
      <w:pPr>
        <w:widowControl/>
        <w:tabs>
          <w:tab w:val="center" w:pos="4201"/>
          <w:tab w:val="right" w:leader="dot" w:pos="9298"/>
        </w:tabs>
        <w:autoSpaceDE w:val="0"/>
        <w:autoSpaceDN w:val="0"/>
        <w:ind w:firstLine="360" w:firstLineChars="200"/>
        <w:rPr>
          <w:rFonts w:cs="Times New Roman" w:asciiTheme="minorEastAsia" w:hAnsiTheme="minorEastAsia" w:eastAsiaTheme="minorEastAsia"/>
          <w:kern w:val="0"/>
          <w:sz w:val="18"/>
          <w:szCs w:val="18"/>
          <w:highlight w:val="none"/>
        </w:rPr>
      </w:pPr>
    </w:p>
    <w:sectPr>
      <w:pgSz w:w="16838" w:h="11906" w:orient="landscape"/>
      <w:pgMar w:top="568" w:right="1134" w:bottom="851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ei">
    <w:altName w:val="微软雅黑"/>
    <w:panose1 w:val="00000000000000000000"/>
    <w:charset w:val="50"/>
    <w:family w:val="auto"/>
    <w:pitch w:val="default"/>
    <w:sig w:usb0="00000000" w:usb1="00000000" w:usb2="00000010" w:usb3="00000000" w:csb0="00040000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Kai">
    <w:altName w:val="Noto Serif SC"/>
    <w:panose1 w:val="00000000000000000000"/>
    <w:charset w:val="50"/>
    <w:family w:val="auto"/>
    <w:pitch w:val="default"/>
    <w:sig w:usb0="00000000" w:usb1="00000000" w:usb2="00000010" w:usb3="00000000" w:csb0="0004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楷体简">
    <w:altName w:val="宋体"/>
    <w:panose1 w:val="02010600000101010101"/>
    <w:charset w:val="86"/>
    <w:family w:val="auto"/>
    <w:pitch w:val="default"/>
    <w:sig w:usb0="00000000" w:usb1="00000000" w:usb2="00000002" w:usb3="00000000" w:csb0="0004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Futura Bk">
    <w:altName w:val="AMGDT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Helvetica">
    <w:altName w:val="Arial"/>
    <w:panose1 w:val="00000000000000000000"/>
    <w:charset w:val="00"/>
    <w:family w:val="swiss"/>
    <w:pitch w:val="default"/>
    <w:sig w:usb0="00000000" w:usb1="00000000" w:usb2="00000000" w:usb3="00000000" w:csb0="2000019F" w:csb1="4F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方正仿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3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4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29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36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17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1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079102AD"/>
    <w:multiLevelType w:val="multilevel"/>
    <w:tmpl w:val="079102AD"/>
    <w:lvl w:ilvl="0" w:tentative="0">
      <w:start w:val="1"/>
      <w:numFmt w:val="decimal"/>
      <w:pStyle w:val="164"/>
      <w:suff w:val="nothing"/>
      <w:lvlText w:val="注%1："/>
      <w:lvlJc w:val="left"/>
      <w:pPr>
        <w:ind w:left="811" w:hanging="448"/>
      </w:pPr>
      <w:rPr>
        <w:rFonts w:hint="eastAsia" w:ascii="黑体" w:eastAsia="黑体"/>
        <w:b w:val="0"/>
        <w:i w:val="0"/>
        <w:sz w:val="18"/>
        <w:lang w:val="en-US"/>
      </w:r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</w:rPr>
    </w:lvl>
  </w:abstractNum>
  <w:abstractNum w:abstractNumId="11">
    <w:nsid w:val="079925E5"/>
    <w:multiLevelType w:val="multilevel"/>
    <w:tmpl w:val="079925E5"/>
    <w:lvl w:ilvl="0" w:tentative="0">
      <w:start w:val="1"/>
      <w:numFmt w:val="decimal"/>
      <w:lvlText w:val="%1.1"/>
      <w:lvlJc w:val="left"/>
      <w:pPr>
        <w:tabs>
          <w:tab w:val="left" w:pos="3495"/>
        </w:tabs>
        <w:ind w:left="3495" w:hanging="567"/>
      </w:pPr>
      <w:rPr>
        <w:rFonts w:hint="eastAsia"/>
        <w:b w:val="0"/>
        <w:i w:val="0"/>
        <w:sz w:val="21"/>
      </w:rPr>
    </w:lvl>
    <w:lvl w:ilvl="1" w:tentative="0">
      <w:start w:val="1"/>
      <w:numFmt w:val="decimal"/>
      <w:pStyle w:val="264"/>
      <w:lvlText w:val="%1.%2"/>
      <w:lvlJc w:val="left"/>
      <w:pPr>
        <w:tabs>
          <w:tab w:val="left" w:pos="3920"/>
        </w:tabs>
        <w:ind w:left="3353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4346"/>
        </w:tabs>
        <w:ind w:left="4346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0"/>
        </w:tabs>
        <w:ind w:left="3786" w:hanging="3686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5479"/>
        </w:tabs>
        <w:ind w:left="5479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6188"/>
        </w:tabs>
        <w:ind w:left="6188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6755"/>
        </w:tabs>
        <w:ind w:left="6755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7322"/>
        </w:tabs>
        <w:ind w:left="7322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8030"/>
        </w:tabs>
        <w:ind w:left="8030" w:hanging="1700"/>
      </w:pPr>
      <w:rPr>
        <w:rFonts w:hint="eastAsia"/>
      </w:rPr>
    </w:lvl>
  </w:abstractNum>
  <w:abstractNum w:abstractNumId="12">
    <w:nsid w:val="0AE367E9"/>
    <w:multiLevelType w:val="multilevel"/>
    <w:tmpl w:val="0AE367E9"/>
    <w:lvl w:ilvl="0" w:tentative="0">
      <w:start w:val="1"/>
      <w:numFmt w:val="none"/>
      <w:pStyle w:val="158"/>
      <w:suff w:val="nothing"/>
      <w:lvlText w:val="%1示例："/>
      <w:lvlJc w:val="left"/>
      <w:pPr>
        <w:ind w:left="0" w:firstLine="363"/>
      </w:pPr>
      <w:rPr>
        <w:rFonts w:hint="eastAsia" w:ascii="黑体" w:eastAsia="黑体"/>
        <w:b w:val="0"/>
        <w:i w:val="0"/>
        <w:sz w:val="18"/>
        <w:szCs w:val="18"/>
      </w:rPr>
    </w:lvl>
    <w:lvl w:ilvl="1" w:tentative="0">
      <w:start w:val="1"/>
      <w:numFmt w:val="lowerLetter"/>
      <w:lvlText w:val="%2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363"/>
        </w:tabs>
        <w:ind w:left="0" w:firstLine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63"/>
        </w:tabs>
        <w:ind w:left="0" w:firstLine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"/>
        </w:tabs>
        <w:ind w:left="0" w:firstLine="363"/>
      </w:pPr>
      <w:rPr>
        <w:rFonts w:hint="eastAsia"/>
      </w:rPr>
    </w:lvl>
  </w:abstractNum>
  <w:abstractNum w:abstractNumId="13">
    <w:nsid w:val="0D983844"/>
    <w:multiLevelType w:val="multilevel"/>
    <w:tmpl w:val="0D983844"/>
    <w:lvl w:ilvl="0" w:tentative="0">
      <w:start w:val="1"/>
      <w:numFmt w:val="decimal"/>
      <w:pStyle w:val="231"/>
      <w:suff w:val="nothing"/>
      <w:lvlText w:val="图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4">
    <w:nsid w:val="0ECA08B6"/>
    <w:multiLevelType w:val="multilevel"/>
    <w:tmpl w:val="0ECA08B6"/>
    <w:lvl w:ilvl="0" w:tentative="0">
      <w:start w:val="3"/>
      <w:numFmt w:val="upperLetter"/>
      <w:pStyle w:val="191"/>
      <w:lvlText w:val="表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24"/>
      <w:numFmt w:val="decimal"/>
      <w:pStyle w:val="192"/>
      <w:suff w:val="nothing"/>
      <w:lvlText w:val="表%1.%2　"/>
      <w:lvlJc w:val="left"/>
      <w:pPr>
        <w:ind w:left="4253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15">
    <w:nsid w:val="152C0026"/>
    <w:multiLevelType w:val="multilevel"/>
    <w:tmpl w:val="152C0026"/>
    <w:lvl w:ilvl="0" w:tentative="0">
      <w:start w:val="1"/>
      <w:numFmt w:val="decimal"/>
      <w:pStyle w:val="3"/>
      <w:lvlText w:val="%1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2"/>
      <w:lvlText w:val="C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4"/>
      <w:lvlText w:val="C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C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>
    <w:nsid w:val="174B3BCF"/>
    <w:multiLevelType w:val="multilevel"/>
    <w:tmpl w:val="174B3BCF"/>
    <w:lvl w:ilvl="0" w:tentative="0">
      <w:start w:val="1"/>
      <w:numFmt w:val="lowerLetter"/>
      <w:pStyle w:val="165"/>
      <w:lvlText w:val="%1)"/>
      <w:lvlJc w:val="left"/>
      <w:pPr>
        <w:tabs>
          <w:tab w:val="left" w:pos="840"/>
        </w:tabs>
        <w:ind w:left="839" w:hanging="419"/>
      </w:pPr>
      <w:rPr>
        <w:rFonts w:hint="default" w:ascii="Times New Roman" w:hAnsi="Times New Roman" w:eastAsia="宋体" w:cs="Times New Roman"/>
        <w:b w:val="0"/>
        <w:i w:val="0"/>
        <w:sz w:val="21"/>
        <w:szCs w:val="21"/>
      </w:rPr>
    </w:lvl>
    <w:lvl w:ilvl="1" w:tentative="0">
      <w:start w:val="1"/>
      <w:numFmt w:val="decimal"/>
      <w:pStyle w:val="160"/>
      <w:lvlText w:val="%2)"/>
      <w:lvlJc w:val="left"/>
      <w:pPr>
        <w:tabs>
          <w:tab w:val="left" w:pos="1260"/>
        </w:tabs>
        <w:ind w:left="1259" w:hanging="419"/>
      </w:pPr>
      <w:rPr>
        <w:rFonts w:hint="eastAsia"/>
      </w:rPr>
    </w:lvl>
    <w:lvl w:ilvl="2" w:tentative="0">
      <w:start w:val="1"/>
      <w:numFmt w:val="decimal"/>
      <w:lvlText w:val="(%3)"/>
      <w:lvlJc w:val="left"/>
      <w:pPr>
        <w:tabs>
          <w:tab w:val="left" w:pos="0"/>
        </w:tabs>
        <w:ind w:left="1679" w:hanging="420"/>
      </w:pPr>
      <w:rPr>
        <w:rFonts w:hint="eastAsia" w:ascii="宋体" w:eastAsia="宋体"/>
        <w:b w:val="0"/>
        <w:i w:val="0"/>
        <w:sz w:val="21"/>
        <w:szCs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17">
    <w:nsid w:val="1DBF583A"/>
    <w:multiLevelType w:val="multilevel"/>
    <w:tmpl w:val="1DBF583A"/>
    <w:lvl w:ilvl="0" w:tentative="0">
      <w:start w:val="0"/>
      <w:numFmt w:val="none"/>
      <w:pStyle w:val="171"/>
      <w:lvlText w:val=""/>
      <w:lvlJc w:val="left"/>
      <w:pPr>
        <w:tabs>
          <w:tab w:val="left" w:pos="360"/>
        </w:tabs>
      </w:pPr>
    </w:lvl>
    <w:lvl w:ilvl="1" w:tentative="0">
      <w:start w:val="1"/>
      <w:numFmt w:val="lowerLetter"/>
      <w:lvlText w:val="%2)"/>
      <w:lvlJc w:val="left"/>
      <w:pPr>
        <w:tabs>
          <w:tab w:val="left" w:pos="180"/>
        </w:tabs>
        <w:ind w:left="1172" w:hanging="629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0"/>
        </w:tabs>
        <w:ind w:left="1172" w:hanging="629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80"/>
        </w:tabs>
        <w:ind w:left="1172" w:hanging="62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180"/>
        </w:tabs>
        <w:ind w:left="1172" w:hanging="62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180"/>
        </w:tabs>
        <w:ind w:left="1172" w:hanging="62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180"/>
        </w:tabs>
        <w:ind w:left="1172" w:hanging="62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180"/>
        </w:tabs>
        <w:ind w:left="1172" w:hanging="62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180"/>
        </w:tabs>
        <w:ind w:left="1172" w:hanging="629"/>
      </w:pPr>
      <w:rPr>
        <w:rFonts w:hint="eastAsia"/>
      </w:rPr>
    </w:lvl>
  </w:abstractNum>
  <w:abstractNum w:abstractNumId="18">
    <w:nsid w:val="22827D5B"/>
    <w:multiLevelType w:val="multilevel"/>
    <w:tmpl w:val="22827D5B"/>
    <w:lvl w:ilvl="0" w:tentative="0">
      <w:start w:val="1"/>
      <w:numFmt w:val="none"/>
      <w:pStyle w:val="170"/>
      <w:suff w:val="nothing"/>
      <w:lvlText w:val="%1注："/>
      <w:lvlJc w:val="left"/>
      <w:pPr>
        <w:ind w:left="726" w:hanging="363"/>
      </w:pPr>
      <w:rPr>
        <w:rFonts w:hint="eastAsia" w:ascii="黑体" w:hAnsi="Times New Roman" w:eastAsia="黑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1140"/>
        </w:tabs>
        <w:ind w:left="726" w:hanging="363"/>
      </w:pPr>
      <w:rPr>
        <w:rFonts w:hint="eastAsia"/>
      </w:rPr>
    </w:lvl>
  </w:abstractNum>
  <w:abstractNum w:abstractNumId="19">
    <w:nsid w:val="2A8F7113"/>
    <w:multiLevelType w:val="multilevel"/>
    <w:tmpl w:val="2A8F7113"/>
    <w:lvl w:ilvl="0" w:tentative="0">
      <w:start w:val="1"/>
      <w:numFmt w:val="upperLetter"/>
      <w:pStyle w:val="202"/>
      <w:suff w:val="space"/>
      <w:lvlText w:val="%1"/>
      <w:lvlJc w:val="left"/>
      <w:pPr>
        <w:ind w:left="623" w:hanging="425"/>
      </w:pPr>
      <w:rPr>
        <w:rFonts w:hint="eastAsia"/>
      </w:rPr>
    </w:lvl>
    <w:lvl w:ilvl="1" w:tentative="0">
      <w:start w:val="1"/>
      <w:numFmt w:val="decimal"/>
      <w:pStyle w:val="203"/>
      <w:suff w:val="nothing"/>
      <w:lvlText w:val="图%1.%2　"/>
      <w:lvlJc w:val="left"/>
      <w:pPr>
        <w:ind w:left="1190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616"/>
        </w:tabs>
        <w:ind w:left="1616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914"/>
        </w:tabs>
        <w:ind w:left="2182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699"/>
        </w:tabs>
        <w:ind w:left="2749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4484"/>
        </w:tabs>
        <w:ind w:left="3458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5269"/>
        </w:tabs>
        <w:ind w:left="4025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6054"/>
        </w:tabs>
        <w:ind w:left="4592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840"/>
        </w:tabs>
        <w:ind w:left="5300" w:hanging="1700"/>
      </w:pPr>
      <w:rPr>
        <w:rFonts w:hint="eastAsia"/>
      </w:rPr>
    </w:lvl>
  </w:abstractNum>
  <w:abstractNum w:abstractNumId="20">
    <w:nsid w:val="2AF11DFC"/>
    <w:multiLevelType w:val="multilevel"/>
    <w:tmpl w:val="2AF11DFC"/>
    <w:lvl w:ilvl="0" w:tentative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2C5917C3"/>
    <w:multiLevelType w:val="multilevel"/>
    <w:tmpl w:val="2C5917C3"/>
    <w:lvl w:ilvl="0" w:tentative="0">
      <w:start w:val="1"/>
      <w:numFmt w:val="none"/>
      <w:pStyle w:val="154"/>
      <w:suff w:val="nothing"/>
      <w:lvlText w:val="%1——"/>
      <w:lvlJc w:val="left"/>
      <w:pPr>
        <w:ind w:left="833" w:hanging="408"/>
      </w:pPr>
      <w:rPr>
        <w:rFonts w:hint="eastAsia"/>
      </w:rPr>
    </w:lvl>
    <w:lvl w:ilvl="1" w:tentative="0">
      <w:start w:val="1"/>
      <w:numFmt w:val="bullet"/>
      <w:pStyle w:val="155"/>
      <w:lvlText w:val=""/>
      <w:lvlJc w:val="left"/>
      <w:pPr>
        <w:tabs>
          <w:tab w:val="left" w:pos="760"/>
        </w:tabs>
        <w:ind w:left="1264" w:hanging="413"/>
      </w:pPr>
      <w:rPr>
        <w:rFonts w:hint="default" w:ascii="Symbol" w:hAnsi="Symbol"/>
        <w:color w:val="auto"/>
      </w:rPr>
    </w:lvl>
    <w:lvl w:ilvl="2" w:tentative="0">
      <w:start w:val="1"/>
      <w:numFmt w:val="bullet"/>
      <w:pStyle w:val="166"/>
      <w:lvlText w:val=""/>
      <w:lvlJc w:val="left"/>
      <w:pPr>
        <w:tabs>
          <w:tab w:val="left" w:pos="1678"/>
        </w:tabs>
        <w:ind w:left="1678" w:hanging="414"/>
      </w:pPr>
      <w:rPr>
        <w:rFonts w:hint="default" w:ascii="Symbol" w:hAnsi="Symbol"/>
        <w:color w:val="auto"/>
      </w:rPr>
    </w:lvl>
    <w:lvl w:ilvl="3" w:tentative="0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22">
    <w:nsid w:val="3D733618"/>
    <w:multiLevelType w:val="multilevel"/>
    <w:tmpl w:val="3D733618"/>
    <w:lvl w:ilvl="0" w:tentative="0">
      <w:start w:val="1"/>
      <w:numFmt w:val="decimal"/>
      <w:pStyle w:val="64"/>
      <w:lvlText w:val="%1)"/>
      <w:lvlJc w:val="left"/>
      <w:pPr>
        <w:tabs>
          <w:tab w:val="left" w:pos="0"/>
        </w:tabs>
        <w:ind w:left="720" w:hanging="35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504"/>
        </w:tabs>
        <w:ind w:left="544" w:hanging="544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532"/>
        </w:tabs>
        <w:ind w:left="544" w:hanging="544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0"/>
        </w:tabs>
        <w:ind w:left="544" w:hanging="544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588"/>
        </w:tabs>
        <w:ind w:left="544" w:hanging="544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616"/>
        </w:tabs>
        <w:ind w:left="544" w:hanging="544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644"/>
        </w:tabs>
        <w:ind w:left="544" w:hanging="544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672"/>
        </w:tabs>
        <w:ind w:left="544" w:hanging="544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700"/>
        </w:tabs>
        <w:ind w:left="544" w:hanging="544"/>
      </w:pPr>
      <w:rPr>
        <w:rFonts w:hint="eastAsia"/>
      </w:rPr>
    </w:lvl>
  </w:abstractNum>
  <w:abstractNum w:abstractNumId="23">
    <w:nsid w:val="49952FDA"/>
    <w:multiLevelType w:val="multilevel"/>
    <w:tmpl w:val="49952FDA"/>
    <w:lvl w:ilvl="0" w:tentative="0">
      <w:start w:val="1"/>
      <w:numFmt w:val="decimal"/>
      <w:pStyle w:val="257"/>
      <w:lvlText w:val="%1"/>
      <w:lvlJc w:val="left"/>
      <w:pPr>
        <w:tabs>
          <w:tab w:val="left" w:pos="850"/>
        </w:tabs>
        <w:ind w:left="850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1417"/>
        </w:tabs>
        <w:ind w:left="141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843"/>
        </w:tabs>
        <w:ind w:left="184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409"/>
        </w:tabs>
        <w:ind w:left="240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976"/>
        </w:tabs>
        <w:ind w:left="297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685"/>
        </w:tabs>
        <w:ind w:left="368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252"/>
        </w:tabs>
        <w:ind w:left="425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819"/>
        </w:tabs>
        <w:ind w:left="481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27"/>
        </w:tabs>
        <w:ind w:left="5527" w:hanging="1700"/>
      </w:pPr>
      <w:rPr>
        <w:rFonts w:hint="eastAsia"/>
      </w:rPr>
    </w:lvl>
  </w:abstractNum>
  <w:abstractNum w:abstractNumId="24">
    <w:nsid w:val="4B733A5F"/>
    <w:multiLevelType w:val="multilevel"/>
    <w:tmpl w:val="4B733A5F"/>
    <w:lvl w:ilvl="0" w:tentative="0">
      <w:start w:val="0"/>
      <w:numFmt w:val="none"/>
      <w:pStyle w:val="168"/>
      <w:lvlText w:val=""/>
      <w:lvlJc w:val="left"/>
      <w:pPr>
        <w:tabs>
          <w:tab w:val="left" w:pos="360"/>
        </w:tabs>
      </w:pPr>
    </w:lvl>
    <w:lvl w:ilvl="1" w:tentative="0">
      <w:start w:val="1"/>
      <w:numFmt w:val="none"/>
      <w:suff w:val="space"/>
      <w:lvlText w:val="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space"/>
      <w:lvlText w:val="2.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</w:rPr>
    </w:lvl>
  </w:abstractNum>
  <w:abstractNum w:abstractNumId="25">
    <w:nsid w:val="4F94353B"/>
    <w:multiLevelType w:val="multilevel"/>
    <w:tmpl w:val="4F94353B"/>
    <w:lvl w:ilvl="0" w:tentative="0">
      <w:start w:val="1"/>
      <w:numFmt w:val="decimal"/>
      <w:pStyle w:val="256"/>
      <w:isLgl/>
      <w:lvlText w:val="第%1章"/>
      <w:lvlJc w:val="left"/>
      <w:pPr>
        <w:tabs>
          <w:tab w:val="left" w:pos="1500"/>
        </w:tabs>
        <w:ind w:left="1500" w:hanging="1080"/>
      </w:pPr>
      <w:rPr>
        <w:rFonts w:hint="default"/>
      </w:rPr>
    </w:lvl>
    <w:lvl w:ilvl="1" w:tentative="0">
      <w:start w:val="1"/>
      <w:numFmt w:val="decimal"/>
      <w:suff w:val="nothing"/>
      <w:lvlText w:val="%1.%2   "/>
      <w:lvlJc w:val="left"/>
      <w:pPr>
        <w:ind w:left="3028" w:hanging="2608"/>
      </w:pPr>
      <w:rPr>
        <w:rFonts w:hint="eastAsia"/>
      </w:rPr>
    </w:lvl>
    <w:lvl w:ilvl="2" w:tentative="0">
      <w:start w:val="1"/>
      <w:numFmt w:val="decimal"/>
      <w:suff w:val="nothing"/>
      <w:lvlText w:val="%1.%2.%3  "/>
      <w:lvlJc w:val="left"/>
      <w:pPr>
        <w:ind w:left="4106" w:hanging="3686"/>
      </w:pPr>
      <w:rPr>
        <w:rFonts w:hint="eastAsia"/>
      </w:rPr>
    </w:lvl>
    <w:lvl w:ilvl="3" w:tentative="0">
      <w:start w:val="1"/>
      <w:numFmt w:val="decimal"/>
      <w:lvlText w:val="%1.%2.%3.%4 "/>
      <w:lvlJc w:val="left"/>
      <w:pPr>
        <w:tabs>
          <w:tab w:val="left" w:pos="4559"/>
        </w:tabs>
        <w:ind w:left="4559" w:hanging="4139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428"/>
        </w:tabs>
        <w:ind w:left="142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572"/>
        </w:tabs>
        <w:ind w:left="157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716"/>
        </w:tabs>
        <w:ind w:left="171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860"/>
        </w:tabs>
        <w:ind w:left="186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004"/>
        </w:tabs>
        <w:ind w:left="2004" w:hanging="1584"/>
      </w:pPr>
      <w:rPr>
        <w:rFonts w:hint="eastAsia"/>
      </w:rPr>
    </w:lvl>
  </w:abstractNum>
  <w:abstractNum w:abstractNumId="26">
    <w:nsid w:val="502E3A98"/>
    <w:multiLevelType w:val="multilevel"/>
    <w:tmpl w:val="502E3A98"/>
    <w:lvl w:ilvl="0" w:tentative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5C3E7F3C"/>
    <w:multiLevelType w:val="multilevel"/>
    <w:tmpl w:val="5C3E7F3C"/>
    <w:lvl w:ilvl="0" w:tentative="0">
      <w:start w:val="1"/>
      <w:numFmt w:val="decimal"/>
      <w:suff w:val="nothing"/>
      <w:lvlText w:val="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  <w:szCs w:val="21"/>
      </w:rPr>
    </w:lvl>
    <w:lvl w:ilvl="1" w:tentative="0">
      <w:start w:val="1"/>
      <w:numFmt w:val="decimal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trike w:val="0"/>
        <w:dstrike w:val="0"/>
        <w:color w:val="000000"/>
        <w:spacing w:val="0"/>
        <w:kern w:val="0"/>
        <w:position w:val="0"/>
        <w:sz w:val="21"/>
        <w:szCs w:val="21"/>
        <w:u w:val="none"/>
      </w:rPr>
    </w:lvl>
    <w:lvl w:ilvl="2" w:tentative="0">
      <w:start w:val="1"/>
      <w:numFmt w:val="decimal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161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162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28">
    <w:nsid w:val="646260FA"/>
    <w:multiLevelType w:val="multilevel"/>
    <w:tmpl w:val="646260FA"/>
    <w:lvl w:ilvl="0" w:tentative="0">
      <w:start w:val="1"/>
      <w:numFmt w:val="decimal"/>
      <w:pStyle w:val="229"/>
      <w:suff w:val="nothing"/>
      <w:lvlText w:val="表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29">
    <w:nsid w:val="657D3FBC"/>
    <w:multiLevelType w:val="multilevel"/>
    <w:tmpl w:val="657D3FBC"/>
    <w:lvl w:ilvl="0" w:tentative="0">
      <w:start w:val="1"/>
      <w:numFmt w:val="upperLetter"/>
      <w:pStyle w:val="189"/>
      <w:suff w:val="nothing"/>
      <w:lvlText w:val="附　录　%1"/>
      <w:lvlJc w:val="left"/>
      <w:pPr>
        <w:ind w:left="0" w:firstLine="0"/>
      </w:pPr>
      <w:rPr>
        <w:rFonts w:hint="eastAsia" w:ascii="Hei" w:hAnsi="Times New Roman" w:eastAsia="Hei"/>
        <w:b w:val="0"/>
        <w:i w:val="0"/>
        <w:spacing w:val="0"/>
        <w:w w:val="100"/>
        <w:sz w:val="21"/>
      </w:rPr>
    </w:lvl>
    <w:lvl w:ilvl="1" w:tentative="0">
      <w:start w:val="1"/>
      <w:numFmt w:val="decimal"/>
      <w:pStyle w:val="206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pacing w:val="0"/>
        <w:w w:val="100"/>
        <w:kern w:val="21"/>
        <w:sz w:val="21"/>
      </w:rPr>
    </w:lvl>
    <w:lvl w:ilvl="2" w:tentative="0">
      <w:start w:val="1"/>
      <w:numFmt w:val="decimal"/>
      <w:pStyle w:val="207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193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197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200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pStyle w:val="204"/>
      <w:suff w:val="nothing"/>
      <w:lvlText w:val="%1.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30">
    <w:nsid w:val="65C51397"/>
    <w:multiLevelType w:val="multilevel"/>
    <w:tmpl w:val="65C51397"/>
    <w:lvl w:ilvl="0" w:tentative="0">
      <w:start w:val="1"/>
      <w:numFmt w:val="decimal"/>
      <w:pStyle w:val="243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3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1">
    <w:nsid w:val="6BDB7ECE"/>
    <w:multiLevelType w:val="multilevel"/>
    <w:tmpl w:val="6BDB7ECE"/>
    <w:lvl w:ilvl="0" w:tentative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6D6C07CD"/>
    <w:multiLevelType w:val="multilevel"/>
    <w:tmpl w:val="6D6C07CD"/>
    <w:lvl w:ilvl="0" w:tentative="0">
      <w:start w:val="1"/>
      <w:numFmt w:val="lowerLetter"/>
      <w:pStyle w:val="209"/>
      <w:lvlText w:val="%1)"/>
      <w:lvlJc w:val="left"/>
      <w:pPr>
        <w:tabs>
          <w:tab w:val="left" w:pos="839"/>
        </w:tabs>
        <w:ind w:left="839" w:hanging="419"/>
      </w:pPr>
      <w:rPr>
        <w:rFonts w:hint="eastAsia" w:ascii="宋体" w:eastAsia="宋体"/>
        <w:b w:val="0"/>
        <w:i w:val="0"/>
        <w:sz w:val="21"/>
      </w:rPr>
    </w:lvl>
    <w:lvl w:ilvl="1" w:tentative="0">
      <w:start w:val="1"/>
      <w:numFmt w:val="decimal"/>
      <w:pStyle w:val="199"/>
      <w:lvlText w:val="%2)"/>
      <w:lvlJc w:val="left"/>
      <w:pPr>
        <w:tabs>
          <w:tab w:val="left" w:pos="840"/>
        </w:tabs>
        <w:ind w:left="839" w:hanging="419"/>
      </w:pPr>
      <w:rPr>
        <w:rFonts w:hint="eastAsia" w:ascii="宋体" w:eastAsia="宋体"/>
        <w:b w:val="0"/>
        <w:i w:val="0"/>
        <w:sz w:val="21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59" w:hanging="419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7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1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3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79" w:hanging="419"/>
      </w:pPr>
      <w:rPr>
        <w:rFonts w:hint="eastAsia"/>
      </w:rPr>
    </w:lvl>
  </w:abstractNum>
  <w:abstractNum w:abstractNumId="33">
    <w:nsid w:val="6DBF04F4"/>
    <w:multiLevelType w:val="multilevel"/>
    <w:tmpl w:val="6DBF04F4"/>
    <w:lvl w:ilvl="0" w:tentative="0">
      <w:start w:val="1"/>
      <w:numFmt w:val="none"/>
      <w:pStyle w:val="163"/>
      <w:suff w:val="nothing"/>
      <w:lvlText w:val="%1注："/>
      <w:lvlJc w:val="left"/>
      <w:pPr>
        <w:ind w:left="726" w:hanging="363"/>
      </w:pPr>
      <w:rPr>
        <w:rFonts w:hint="eastAsia" w:ascii="黑体" w:hAnsi="Times New Roman" w:eastAsia="黑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1140"/>
        </w:tabs>
        <w:ind w:left="726" w:hanging="363"/>
      </w:pPr>
      <w:rPr>
        <w:rFonts w:hint="eastAsia"/>
      </w:rPr>
    </w:lvl>
  </w:abstractNum>
  <w:abstractNum w:abstractNumId="34">
    <w:nsid w:val="77BF1BBF"/>
    <w:multiLevelType w:val="multilevel"/>
    <w:tmpl w:val="77BF1BBF"/>
    <w:lvl w:ilvl="0" w:tentative="0">
      <w:start w:val="1"/>
      <w:numFmt w:val="lowerLetter"/>
      <w:pStyle w:val="242"/>
      <w:lvlText w:val="%1)"/>
      <w:lvlJc w:val="left"/>
      <w:pPr>
        <w:tabs>
          <w:tab w:val="left" w:pos="709"/>
        </w:tabs>
        <w:ind w:left="0" w:firstLine="420"/>
      </w:pPr>
      <w:rPr>
        <w:rFonts w:hint="eastAsia"/>
      </w:rPr>
    </w:lvl>
    <w:lvl w:ilvl="1" w:tentative="0">
      <w:start w:val="1"/>
      <w:numFmt w:val="upperLetter"/>
      <w:lvlText w:val="%2."/>
      <w:lvlJc w:val="left"/>
      <w:pPr>
        <w:tabs>
          <w:tab w:val="left" w:pos="850"/>
        </w:tabs>
        <w:ind w:left="850" w:hanging="425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1276"/>
        </w:tabs>
        <w:ind w:left="1276" w:hanging="426"/>
      </w:pPr>
      <w:rPr>
        <w:rFonts w:hint="eastAsia"/>
      </w:rPr>
    </w:lvl>
    <w:lvl w:ilvl="3" w:tentative="0">
      <w:start w:val="1"/>
      <w:numFmt w:val="lowerLetter"/>
      <w:lvlText w:val="%4."/>
      <w:lvlJc w:val="left"/>
      <w:pPr>
        <w:tabs>
          <w:tab w:val="left" w:pos="1559"/>
        </w:tabs>
        <w:ind w:left="1559" w:hanging="283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1984"/>
        </w:tabs>
        <w:ind w:left="1984" w:hanging="425"/>
      </w:pPr>
      <w:rPr>
        <w:rFonts w:hint="eastAsia"/>
      </w:rPr>
    </w:lvl>
    <w:lvl w:ilvl="5" w:tentative="0">
      <w:start w:val="1"/>
      <w:numFmt w:val="lowerLetter"/>
      <w:lvlText w:val="%6."/>
      <w:lvlJc w:val="left"/>
      <w:pPr>
        <w:tabs>
          <w:tab w:val="left" w:pos="2409"/>
        </w:tabs>
        <w:ind w:left="2409" w:hanging="425"/>
      </w:pPr>
      <w:rPr>
        <w:rFonts w:hint="eastAsia"/>
      </w:rPr>
    </w:lvl>
    <w:lvl w:ilvl="6" w:tentative="0">
      <w:start w:val="1"/>
      <w:numFmt w:val="lowerRoman"/>
      <w:lvlText w:val="%7."/>
      <w:lvlJc w:val="left"/>
      <w:pPr>
        <w:tabs>
          <w:tab w:val="left" w:pos="2835"/>
        </w:tabs>
        <w:ind w:left="2835" w:hanging="426"/>
      </w:pPr>
      <w:rPr>
        <w:rFonts w:hint="eastAsia"/>
      </w:rPr>
    </w:lvl>
    <w:lvl w:ilvl="7" w:tentative="0">
      <w:start w:val="1"/>
      <w:numFmt w:val="lowerLetter"/>
      <w:lvlText w:val="%8."/>
      <w:lvlJc w:val="left"/>
      <w:pPr>
        <w:tabs>
          <w:tab w:val="left" w:pos="3260"/>
        </w:tabs>
        <w:ind w:left="3260" w:hanging="425"/>
      </w:pPr>
      <w:rPr>
        <w:rFonts w:hint="eastAsia"/>
      </w:rPr>
    </w:lvl>
    <w:lvl w:ilvl="8" w:tentative="0">
      <w:start w:val="1"/>
      <w:numFmt w:val="lowerRoman"/>
      <w:lvlText w:val="%9."/>
      <w:lvlJc w:val="left"/>
      <w:pPr>
        <w:tabs>
          <w:tab w:val="left" w:pos="3685"/>
        </w:tabs>
        <w:ind w:left="3685" w:hanging="425"/>
      </w:pPr>
      <w:rPr>
        <w:rFonts w:hint="eastAsia"/>
      </w:rPr>
    </w:lvl>
  </w:abstractNum>
  <w:num w:numId="1">
    <w:abstractNumId w:val="15"/>
  </w:num>
  <w:num w:numId="2">
    <w:abstractNumId w:val="3"/>
  </w:num>
  <w:num w:numId="3">
    <w:abstractNumId w:val="5"/>
  </w:num>
  <w:num w:numId="4">
    <w:abstractNumId w:val="8"/>
  </w:num>
  <w:num w:numId="5">
    <w:abstractNumId w:val="9"/>
  </w:num>
  <w:num w:numId="6">
    <w:abstractNumId w:val="6"/>
  </w:num>
  <w:num w:numId="7">
    <w:abstractNumId w:val="2"/>
  </w:num>
  <w:num w:numId="8">
    <w:abstractNumId w:val="7"/>
  </w:num>
  <w:num w:numId="9">
    <w:abstractNumId w:val="4"/>
  </w:num>
  <w:num w:numId="10">
    <w:abstractNumId w:val="1"/>
  </w:num>
  <w:num w:numId="11">
    <w:abstractNumId w:val="0"/>
  </w:num>
  <w:num w:numId="12">
    <w:abstractNumId w:val="22"/>
  </w:num>
  <w:num w:numId="13">
    <w:abstractNumId w:val="21"/>
  </w:num>
  <w:num w:numId="14">
    <w:abstractNumId w:val="12"/>
  </w:num>
  <w:num w:numId="15">
    <w:abstractNumId w:val="16"/>
  </w:num>
  <w:num w:numId="16">
    <w:abstractNumId w:val="27"/>
  </w:num>
  <w:num w:numId="17">
    <w:abstractNumId w:val="33"/>
  </w:num>
  <w:num w:numId="18">
    <w:abstractNumId w:val="10"/>
  </w:num>
  <w:num w:numId="19">
    <w:abstractNumId w:val="24"/>
  </w:num>
  <w:num w:numId="20">
    <w:abstractNumId w:val="18"/>
  </w:num>
  <w:num w:numId="21">
    <w:abstractNumId w:val="17"/>
  </w:num>
  <w:num w:numId="22">
    <w:abstractNumId w:val="29"/>
  </w:num>
  <w:num w:numId="23">
    <w:abstractNumId w:val="14"/>
  </w:num>
  <w:num w:numId="24">
    <w:abstractNumId w:val="32"/>
  </w:num>
  <w:num w:numId="25">
    <w:abstractNumId w:val="19"/>
  </w:num>
  <w:num w:numId="26">
    <w:abstractNumId w:val="28"/>
  </w:num>
  <w:num w:numId="27">
    <w:abstractNumId w:val="13"/>
  </w:num>
  <w:num w:numId="28">
    <w:abstractNumId w:val="34"/>
  </w:num>
  <w:num w:numId="29">
    <w:abstractNumId w:val="30"/>
  </w:num>
  <w:num w:numId="30">
    <w:abstractNumId w:val="25"/>
  </w:num>
  <w:num w:numId="31">
    <w:abstractNumId w:val="23"/>
  </w:num>
  <w:num w:numId="32">
    <w:abstractNumId w:val="11"/>
  </w:num>
  <w:num w:numId="33">
    <w:abstractNumId w:val="26"/>
  </w:num>
  <w:num w:numId="34">
    <w:abstractNumId w:val="20"/>
  </w:num>
  <w:num w:numId="3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43"/>
  <w:bordersDoNotSurroundHeader w:val="0"/>
  <w:bordersDoNotSurroundFooter w:val="0"/>
  <w:doNotTrackMove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ZkNzQ4ZWFiZmQ4NTRhOWRkZTk3YTMwMjlmMmZhYmUifQ=="/>
  </w:docVars>
  <w:rsids>
    <w:rsidRoot w:val="00AA5A3A"/>
    <w:rsid w:val="00027E28"/>
    <w:rsid w:val="00156768"/>
    <w:rsid w:val="00391BD3"/>
    <w:rsid w:val="004F5B29"/>
    <w:rsid w:val="00540CA3"/>
    <w:rsid w:val="005B4AD1"/>
    <w:rsid w:val="007660E7"/>
    <w:rsid w:val="0078135B"/>
    <w:rsid w:val="009E6D8D"/>
    <w:rsid w:val="00A14404"/>
    <w:rsid w:val="00A870C5"/>
    <w:rsid w:val="00AA5A3A"/>
    <w:rsid w:val="00C020BB"/>
    <w:rsid w:val="00CF2109"/>
    <w:rsid w:val="00F71831"/>
    <w:rsid w:val="00FD4AA9"/>
    <w:rsid w:val="00FF0481"/>
    <w:rsid w:val="022A4B20"/>
    <w:rsid w:val="02B56978"/>
    <w:rsid w:val="03304250"/>
    <w:rsid w:val="0AE53B72"/>
    <w:rsid w:val="0B106175"/>
    <w:rsid w:val="0C575C12"/>
    <w:rsid w:val="0C5D27CF"/>
    <w:rsid w:val="0FFC4938"/>
    <w:rsid w:val="102F6EE3"/>
    <w:rsid w:val="11641C95"/>
    <w:rsid w:val="11A007F3"/>
    <w:rsid w:val="120C7C36"/>
    <w:rsid w:val="12435D4E"/>
    <w:rsid w:val="136B8AEA"/>
    <w:rsid w:val="14FB23DF"/>
    <w:rsid w:val="151E215B"/>
    <w:rsid w:val="15415E49"/>
    <w:rsid w:val="1675142B"/>
    <w:rsid w:val="17550CC0"/>
    <w:rsid w:val="176E36CE"/>
    <w:rsid w:val="184406A5"/>
    <w:rsid w:val="186B56B7"/>
    <w:rsid w:val="19B07BE2"/>
    <w:rsid w:val="19ED5121"/>
    <w:rsid w:val="1A766595"/>
    <w:rsid w:val="1EF5C776"/>
    <w:rsid w:val="1F034425"/>
    <w:rsid w:val="1FBF7E13"/>
    <w:rsid w:val="1FDD7E44"/>
    <w:rsid w:val="1FFE62D7"/>
    <w:rsid w:val="20841572"/>
    <w:rsid w:val="20994D8B"/>
    <w:rsid w:val="20C75298"/>
    <w:rsid w:val="219958B3"/>
    <w:rsid w:val="22FDFAE6"/>
    <w:rsid w:val="28A32C4B"/>
    <w:rsid w:val="29C44866"/>
    <w:rsid w:val="2AD4533E"/>
    <w:rsid w:val="2D7BB598"/>
    <w:rsid w:val="2D7F8907"/>
    <w:rsid w:val="2F1077A1"/>
    <w:rsid w:val="2F2223E6"/>
    <w:rsid w:val="2F778CA3"/>
    <w:rsid w:val="2F7F5D44"/>
    <w:rsid w:val="2FE7807F"/>
    <w:rsid w:val="2FF93068"/>
    <w:rsid w:val="30AC31B4"/>
    <w:rsid w:val="31FBCA01"/>
    <w:rsid w:val="32CFDE05"/>
    <w:rsid w:val="3507028C"/>
    <w:rsid w:val="358E6A31"/>
    <w:rsid w:val="3659703F"/>
    <w:rsid w:val="37F725C7"/>
    <w:rsid w:val="38D75544"/>
    <w:rsid w:val="397273BD"/>
    <w:rsid w:val="39D78540"/>
    <w:rsid w:val="3A3DEFA1"/>
    <w:rsid w:val="3A7ECDA9"/>
    <w:rsid w:val="3AE70398"/>
    <w:rsid w:val="3BFAACF9"/>
    <w:rsid w:val="3C7968F0"/>
    <w:rsid w:val="3C7FE9C7"/>
    <w:rsid w:val="3D772200"/>
    <w:rsid w:val="3DD50B23"/>
    <w:rsid w:val="3DF6C258"/>
    <w:rsid w:val="3DFDD151"/>
    <w:rsid w:val="3EDD1540"/>
    <w:rsid w:val="3EDE40B1"/>
    <w:rsid w:val="3FAF7F10"/>
    <w:rsid w:val="3FDCDE86"/>
    <w:rsid w:val="3FE6490D"/>
    <w:rsid w:val="3FEBA161"/>
    <w:rsid w:val="3FEFBB9C"/>
    <w:rsid w:val="3FF79D49"/>
    <w:rsid w:val="3FFFBC8E"/>
    <w:rsid w:val="3FFFD29C"/>
    <w:rsid w:val="413F2C56"/>
    <w:rsid w:val="42274495"/>
    <w:rsid w:val="4235270E"/>
    <w:rsid w:val="42B56017"/>
    <w:rsid w:val="43042FD0"/>
    <w:rsid w:val="432C6B7A"/>
    <w:rsid w:val="43F4C99B"/>
    <w:rsid w:val="44110CDB"/>
    <w:rsid w:val="46A47E62"/>
    <w:rsid w:val="47CD33E9"/>
    <w:rsid w:val="49746212"/>
    <w:rsid w:val="4A90515E"/>
    <w:rsid w:val="4ABF6408"/>
    <w:rsid w:val="4DBCD630"/>
    <w:rsid w:val="4ED70DD8"/>
    <w:rsid w:val="4FA16AC9"/>
    <w:rsid w:val="4FEBEE8C"/>
    <w:rsid w:val="51FC3E24"/>
    <w:rsid w:val="53B30207"/>
    <w:rsid w:val="53FD1D1B"/>
    <w:rsid w:val="54BBCA81"/>
    <w:rsid w:val="54C677EB"/>
    <w:rsid w:val="56E116D0"/>
    <w:rsid w:val="56F4DF97"/>
    <w:rsid w:val="575C0DAC"/>
    <w:rsid w:val="57B5492C"/>
    <w:rsid w:val="57EB70F5"/>
    <w:rsid w:val="57FB7353"/>
    <w:rsid w:val="58D45BAA"/>
    <w:rsid w:val="59DF3E67"/>
    <w:rsid w:val="5A413F17"/>
    <w:rsid w:val="5ABF98E2"/>
    <w:rsid w:val="5B4D3256"/>
    <w:rsid w:val="5BDE8BD5"/>
    <w:rsid w:val="5BF31A63"/>
    <w:rsid w:val="5D677F99"/>
    <w:rsid w:val="5E7C4EF6"/>
    <w:rsid w:val="5EF1B964"/>
    <w:rsid w:val="5EF9178C"/>
    <w:rsid w:val="5EFEAFBF"/>
    <w:rsid w:val="5F6F3B0B"/>
    <w:rsid w:val="5F77B533"/>
    <w:rsid w:val="5F7E205A"/>
    <w:rsid w:val="5F7E5F8C"/>
    <w:rsid w:val="5F95B7F9"/>
    <w:rsid w:val="5FACE762"/>
    <w:rsid w:val="5FBE5452"/>
    <w:rsid w:val="5FE10DDC"/>
    <w:rsid w:val="5FE9485B"/>
    <w:rsid w:val="5FF362EE"/>
    <w:rsid w:val="5FF7E332"/>
    <w:rsid w:val="5FFB94FC"/>
    <w:rsid w:val="5FFE0ADD"/>
    <w:rsid w:val="5FFE7BFD"/>
    <w:rsid w:val="5FFEF42F"/>
    <w:rsid w:val="5FFF2249"/>
    <w:rsid w:val="60AF1486"/>
    <w:rsid w:val="63D30A41"/>
    <w:rsid w:val="63F20007"/>
    <w:rsid w:val="64FEF9AD"/>
    <w:rsid w:val="67BF9245"/>
    <w:rsid w:val="67DE9C8E"/>
    <w:rsid w:val="67DFA8BC"/>
    <w:rsid w:val="6B2018FE"/>
    <w:rsid w:val="6B7DF6E5"/>
    <w:rsid w:val="6BF79011"/>
    <w:rsid w:val="6D6830E8"/>
    <w:rsid w:val="6DC13190"/>
    <w:rsid w:val="6DFF6865"/>
    <w:rsid w:val="6E3F3AD0"/>
    <w:rsid w:val="6EA3D596"/>
    <w:rsid w:val="6EDF7694"/>
    <w:rsid w:val="6EFEFEEC"/>
    <w:rsid w:val="6F3FE8CF"/>
    <w:rsid w:val="6F5E0C47"/>
    <w:rsid w:val="6F7F5CBB"/>
    <w:rsid w:val="6FBB9C12"/>
    <w:rsid w:val="6FF70CC5"/>
    <w:rsid w:val="6FFFA6FD"/>
    <w:rsid w:val="6FFFE420"/>
    <w:rsid w:val="717F2223"/>
    <w:rsid w:val="73F59A94"/>
    <w:rsid w:val="74A6BCCC"/>
    <w:rsid w:val="75CD61DE"/>
    <w:rsid w:val="75F6FDBE"/>
    <w:rsid w:val="775D128A"/>
    <w:rsid w:val="7760FF1A"/>
    <w:rsid w:val="77E794E9"/>
    <w:rsid w:val="77EEF396"/>
    <w:rsid w:val="77F6084D"/>
    <w:rsid w:val="77FB5EF5"/>
    <w:rsid w:val="77FBA185"/>
    <w:rsid w:val="77FD7A8B"/>
    <w:rsid w:val="77FFF2AD"/>
    <w:rsid w:val="78BD36C3"/>
    <w:rsid w:val="78FF0511"/>
    <w:rsid w:val="7972670F"/>
    <w:rsid w:val="79735536"/>
    <w:rsid w:val="79BDF5C9"/>
    <w:rsid w:val="79BFC14C"/>
    <w:rsid w:val="79DF2CDC"/>
    <w:rsid w:val="7A6FE83D"/>
    <w:rsid w:val="7ABEF8FA"/>
    <w:rsid w:val="7B7303E6"/>
    <w:rsid w:val="7B7BC18E"/>
    <w:rsid w:val="7BC71486"/>
    <w:rsid w:val="7BEFDFDC"/>
    <w:rsid w:val="7BFF43BE"/>
    <w:rsid w:val="7D1EA4C1"/>
    <w:rsid w:val="7D9E6978"/>
    <w:rsid w:val="7E3789AA"/>
    <w:rsid w:val="7E697B3E"/>
    <w:rsid w:val="7E7DCCEA"/>
    <w:rsid w:val="7EAE7118"/>
    <w:rsid w:val="7EBD5937"/>
    <w:rsid w:val="7ED1CFA9"/>
    <w:rsid w:val="7EF631DA"/>
    <w:rsid w:val="7EFF4E08"/>
    <w:rsid w:val="7EFF5E59"/>
    <w:rsid w:val="7FD6C4EC"/>
    <w:rsid w:val="7FDCC561"/>
    <w:rsid w:val="7FDF5BD2"/>
    <w:rsid w:val="7FDFD3B5"/>
    <w:rsid w:val="7FDFD5F3"/>
    <w:rsid w:val="7FE0EF01"/>
    <w:rsid w:val="7FE341F9"/>
    <w:rsid w:val="7FEE8E77"/>
    <w:rsid w:val="7FEEE8DE"/>
    <w:rsid w:val="7FEF18D5"/>
    <w:rsid w:val="7FF7543C"/>
    <w:rsid w:val="7FFBFE22"/>
    <w:rsid w:val="7FFC250D"/>
    <w:rsid w:val="9B3D3150"/>
    <w:rsid w:val="9B7D845B"/>
    <w:rsid w:val="9D6D6C04"/>
    <w:rsid w:val="9DE58656"/>
    <w:rsid w:val="9EFE2C80"/>
    <w:rsid w:val="9F5F9FE5"/>
    <w:rsid w:val="9FDD05EF"/>
    <w:rsid w:val="A7C68750"/>
    <w:rsid w:val="AAFF9687"/>
    <w:rsid w:val="AB703F2D"/>
    <w:rsid w:val="ABB70FA3"/>
    <w:rsid w:val="AD517A61"/>
    <w:rsid w:val="AD9AD287"/>
    <w:rsid w:val="AEDEE2E7"/>
    <w:rsid w:val="AFBFBA37"/>
    <w:rsid w:val="AFE7E2EA"/>
    <w:rsid w:val="AFFE0FF1"/>
    <w:rsid w:val="B3F7258A"/>
    <w:rsid w:val="B3F766F2"/>
    <w:rsid w:val="B5FBB33A"/>
    <w:rsid w:val="B6FFBDA1"/>
    <w:rsid w:val="B7EF0809"/>
    <w:rsid w:val="BA9FA94B"/>
    <w:rsid w:val="BBEFE08A"/>
    <w:rsid w:val="BBF954D6"/>
    <w:rsid w:val="BBFD448D"/>
    <w:rsid w:val="BDB9EC77"/>
    <w:rsid w:val="BDEA538E"/>
    <w:rsid w:val="BE9F7031"/>
    <w:rsid w:val="BEED00B2"/>
    <w:rsid w:val="BF6E6D50"/>
    <w:rsid w:val="BF774C65"/>
    <w:rsid w:val="BF9F0299"/>
    <w:rsid w:val="C7D66138"/>
    <w:rsid w:val="CE7379D2"/>
    <w:rsid w:val="CFB4EE9A"/>
    <w:rsid w:val="D6EE5F45"/>
    <w:rsid w:val="D7B7B541"/>
    <w:rsid w:val="D7CFB15F"/>
    <w:rsid w:val="D7EE41FF"/>
    <w:rsid w:val="DBCF8568"/>
    <w:rsid w:val="DBFD548C"/>
    <w:rsid w:val="DDAB8A93"/>
    <w:rsid w:val="DDB32587"/>
    <w:rsid w:val="DDFE3BD4"/>
    <w:rsid w:val="DE753CB8"/>
    <w:rsid w:val="DE7F5BEE"/>
    <w:rsid w:val="DEEF6991"/>
    <w:rsid w:val="DF95D079"/>
    <w:rsid w:val="DFBA42E1"/>
    <w:rsid w:val="DFD7D743"/>
    <w:rsid w:val="DFEFCA71"/>
    <w:rsid w:val="DFFFDB3A"/>
    <w:rsid w:val="E3FB4384"/>
    <w:rsid w:val="E76B018D"/>
    <w:rsid w:val="EBFA5E83"/>
    <w:rsid w:val="EE7B5731"/>
    <w:rsid w:val="EF57518B"/>
    <w:rsid w:val="EF5F119E"/>
    <w:rsid w:val="EF6FCB4E"/>
    <w:rsid w:val="EF7D1ACD"/>
    <w:rsid w:val="EF7FBEE6"/>
    <w:rsid w:val="EFB9F551"/>
    <w:rsid w:val="EFBF02DF"/>
    <w:rsid w:val="EFDFF085"/>
    <w:rsid w:val="EFEB60F9"/>
    <w:rsid w:val="EFEFF474"/>
    <w:rsid w:val="F3B200C2"/>
    <w:rsid w:val="F3FF03B9"/>
    <w:rsid w:val="F3FFFB0F"/>
    <w:rsid w:val="F4F74A72"/>
    <w:rsid w:val="F5759BF7"/>
    <w:rsid w:val="F6B63777"/>
    <w:rsid w:val="F6BC7B35"/>
    <w:rsid w:val="F6D5C067"/>
    <w:rsid w:val="F6FFA072"/>
    <w:rsid w:val="F77D7828"/>
    <w:rsid w:val="F7D7F090"/>
    <w:rsid w:val="F7DB280A"/>
    <w:rsid w:val="F7ED6CA5"/>
    <w:rsid w:val="F7EF92E3"/>
    <w:rsid w:val="F7FF0638"/>
    <w:rsid w:val="F9BD0D13"/>
    <w:rsid w:val="F9DD3892"/>
    <w:rsid w:val="F9E7E85F"/>
    <w:rsid w:val="F9FF1B13"/>
    <w:rsid w:val="FA9F0DF7"/>
    <w:rsid w:val="FAB736A2"/>
    <w:rsid w:val="FABFEB6F"/>
    <w:rsid w:val="FAFB5848"/>
    <w:rsid w:val="FB5FE178"/>
    <w:rsid w:val="FB9DF150"/>
    <w:rsid w:val="FB9FA6B5"/>
    <w:rsid w:val="FBC6EB09"/>
    <w:rsid w:val="FBEE0D43"/>
    <w:rsid w:val="FBFB0CAA"/>
    <w:rsid w:val="FBFF0C59"/>
    <w:rsid w:val="FCA8E595"/>
    <w:rsid w:val="FCFFDF4B"/>
    <w:rsid w:val="FDBF5FB6"/>
    <w:rsid w:val="FDD7F542"/>
    <w:rsid w:val="FDF70EAE"/>
    <w:rsid w:val="FE1F3A8B"/>
    <w:rsid w:val="FE7F5F3A"/>
    <w:rsid w:val="FE9FDEB4"/>
    <w:rsid w:val="FEA7677B"/>
    <w:rsid w:val="FECF3CD5"/>
    <w:rsid w:val="FECF5C2A"/>
    <w:rsid w:val="FED9959F"/>
    <w:rsid w:val="FEDBF217"/>
    <w:rsid w:val="FEEFAE38"/>
    <w:rsid w:val="FEF7A373"/>
    <w:rsid w:val="FF2F30E0"/>
    <w:rsid w:val="FF5D32A3"/>
    <w:rsid w:val="FF7919DC"/>
    <w:rsid w:val="FF792B03"/>
    <w:rsid w:val="FF7E0F22"/>
    <w:rsid w:val="FF7F1D22"/>
    <w:rsid w:val="FF7FA09E"/>
    <w:rsid w:val="FF7FC049"/>
    <w:rsid w:val="FF8EED4A"/>
    <w:rsid w:val="FF9F3D75"/>
    <w:rsid w:val="FFBFA611"/>
    <w:rsid w:val="FFC78605"/>
    <w:rsid w:val="FFD66881"/>
    <w:rsid w:val="FFD70438"/>
    <w:rsid w:val="FFDD29BE"/>
    <w:rsid w:val="FFDFFDE1"/>
    <w:rsid w:val="FFE37866"/>
    <w:rsid w:val="FFF3DD74"/>
    <w:rsid w:val="FFF53566"/>
    <w:rsid w:val="FFF7D0AC"/>
    <w:rsid w:val="FFF7E41A"/>
    <w:rsid w:val="FFF91A06"/>
    <w:rsid w:val="FFF9819A"/>
    <w:rsid w:val="FFFAFA73"/>
    <w:rsid w:val="FFFB8A8C"/>
    <w:rsid w:val="FFFC725B"/>
    <w:rsid w:val="FFFF1809"/>
    <w:rsid w:val="FFFF2EB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iPriority="0" w:semiHidden="0" w:name="header"/>
    <w:lsdException w:qFormat="1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99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name="endnote reference"/>
    <w:lsdException w:qFormat="1" w:unhideWhenUsed="0" w:uiPriority="0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99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99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99" w:semiHidden="0" w:name="Balloon Text"/>
    <w:lsdException w:qFormat="1" w:unhideWhenUsed="0" w:uiPriority="59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314"/>
    <w:qFormat/>
    <w:uiPriority w:val="0"/>
    <w:pPr>
      <w:numPr>
        <w:ilvl w:val="0"/>
        <w:numId w:val="1"/>
      </w:numPr>
      <w:spacing w:beforeLines="50" w:afterLines="50"/>
      <w:outlineLvl w:val="0"/>
    </w:pPr>
    <w:rPr>
      <w:rFonts w:ascii="Times New Roman" w:hAnsi="Times New Roman" w:eastAsia="黑体" w:cs="Times New Roman"/>
      <w:bCs/>
      <w:kern w:val="44"/>
      <w:sz w:val="20"/>
      <w:szCs w:val="36"/>
    </w:rPr>
  </w:style>
  <w:style w:type="paragraph" w:styleId="2">
    <w:name w:val="heading 2"/>
    <w:basedOn w:val="1"/>
    <w:next w:val="1"/>
    <w:link w:val="315"/>
    <w:qFormat/>
    <w:uiPriority w:val="0"/>
    <w:pPr>
      <w:numPr>
        <w:ilvl w:val="1"/>
        <w:numId w:val="1"/>
      </w:numPr>
      <w:jc w:val="left"/>
      <w:outlineLvl w:val="1"/>
    </w:pPr>
    <w:rPr>
      <w:rFonts w:ascii="Times New Roman" w:hAnsi="Times New Roman" w:eastAsia="黑体" w:cs="Times New Roman"/>
      <w:bCs/>
      <w:kern w:val="0"/>
      <w:sz w:val="20"/>
      <w:szCs w:val="32"/>
    </w:rPr>
  </w:style>
  <w:style w:type="paragraph" w:styleId="4">
    <w:name w:val="heading 3"/>
    <w:basedOn w:val="1"/>
    <w:next w:val="1"/>
    <w:link w:val="316"/>
    <w:qFormat/>
    <w:uiPriority w:val="9"/>
    <w:pPr>
      <w:keepNext/>
      <w:keepLines/>
      <w:numPr>
        <w:ilvl w:val="2"/>
        <w:numId w:val="1"/>
      </w:numPr>
      <w:outlineLvl w:val="2"/>
    </w:pPr>
    <w:rPr>
      <w:rFonts w:ascii="Arial" w:hAnsi="Arial" w:eastAsia="黑体" w:cs="Times New Roman"/>
      <w:bCs/>
      <w:kern w:val="0"/>
      <w:sz w:val="20"/>
      <w:szCs w:val="32"/>
    </w:rPr>
  </w:style>
  <w:style w:type="paragraph" w:styleId="5">
    <w:name w:val="heading 4"/>
    <w:basedOn w:val="1"/>
    <w:next w:val="1"/>
    <w:link w:val="317"/>
    <w:qFormat/>
    <w:uiPriority w:val="0"/>
    <w:pPr>
      <w:keepNext/>
      <w:keepLines/>
      <w:numPr>
        <w:ilvl w:val="3"/>
        <w:numId w:val="1"/>
      </w:numPr>
      <w:outlineLvl w:val="3"/>
    </w:pPr>
    <w:rPr>
      <w:rFonts w:ascii="宋体" w:hAnsi="宋体" w:eastAsia="黑体" w:cs="Times New Roman"/>
      <w:bCs/>
      <w:kern w:val="0"/>
      <w:sz w:val="20"/>
      <w:szCs w:val="28"/>
    </w:rPr>
  </w:style>
  <w:style w:type="paragraph" w:styleId="6">
    <w:name w:val="heading 5"/>
    <w:basedOn w:val="1"/>
    <w:next w:val="1"/>
    <w:link w:val="318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Arial" w:hAnsi="Arial" w:cs="Times New Roman"/>
      <w:b/>
      <w:bCs/>
      <w:kern w:val="0"/>
      <w:sz w:val="28"/>
      <w:szCs w:val="28"/>
    </w:rPr>
  </w:style>
  <w:style w:type="paragraph" w:styleId="7">
    <w:name w:val="heading 6"/>
    <w:basedOn w:val="1"/>
    <w:next w:val="1"/>
    <w:link w:val="319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 w:cs="Times New Roman"/>
      <w:b/>
      <w:bCs/>
      <w:kern w:val="0"/>
      <w:sz w:val="24"/>
      <w:szCs w:val="21"/>
    </w:rPr>
  </w:style>
  <w:style w:type="paragraph" w:styleId="8">
    <w:name w:val="heading 7"/>
    <w:basedOn w:val="1"/>
    <w:next w:val="1"/>
    <w:link w:val="320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Arial" w:hAnsi="Arial" w:cs="Times New Roman"/>
      <w:b/>
      <w:bCs/>
      <w:kern w:val="0"/>
      <w:sz w:val="24"/>
      <w:szCs w:val="21"/>
    </w:rPr>
  </w:style>
  <w:style w:type="paragraph" w:styleId="9">
    <w:name w:val="heading 8"/>
    <w:basedOn w:val="1"/>
    <w:next w:val="1"/>
    <w:link w:val="32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 w:cs="Times New Roman"/>
      <w:kern w:val="0"/>
      <w:sz w:val="24"/>
      <w:szCs w:val="21"/>
    </w:rPr>
  </w:style>
  <w:style w:type="paragraph" w:styleId="10">
    <w:name w:val="heading 9"/>
    <w:basedOn w:val="1"/>
    <w:next w:val="1"/>
    <w:link w:val="322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 w:cs="Times New Roman"/>
      <w:kern w:val="0"/>
      <w:sz w:val="20"/>
      <w:szCs w:val="21"/>
    </w:rPr>
  </w:style>
  <w:style w:type="character" w:default="1" w:styleId="130">
    <w:name w:val="Default Paragraph Font"/>
    <w:unhideWhenUsed/>
    <w:qFormat/>
    <w:uiPriority w:val="1"/>
  </w:style>
  <w:style w:type="table" w:default="1" w:styleId="8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qFormat/>
    <w:uiPriority w:val="0"/>
    <w:pPr>
      <w:ind w:left="100" w:leftChars="400" w:hanging="200" w:hangingChars="200"/>
    </w:pPr>
    <w:rPr>
      <w:rFonts w:ascii="Arial" w:hAnsi="Arial" w:cs="Times New Roman"/>
      <w:szCs w:val="21"/>
    </w:rPr>
  </w:style>
  <w:style w:type="paragraph" w:styleId="12">
    <w:name w:val="toc 7"/>
    <w:basedOn w:val="1"/>
    <w:next w:val="1"/>
    <w:qFormat/>
    <w:uiPriority w:val="39"/>
    <w:pPr>
      <w:tabs>
        <w:tab w:val="right" w:leader="dot" w:pos="9241"/>
      </w:tabs>
      <w:ind w:firstLine="505" w:firstLineChars="500"/>
      <w:jc w:val="left"/>
    </w:pPr>
    <w:rPr>
      <w:rFonts w:ascii="宋体" w:hAnsi="Times New Roman" w:cs="Times New Roman"/>
      <w:szCs w:val="21"/>
    </w:r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  <w:rPr>
      <w:rFonts w:ascii="Arial" w:hAnsi="Arial" w:cs="Times New Roman"/>
      <w:szCs w:val="21"/>
    </w:rPr>
  </w:style>
  <w:style w:type="paragraph" w:styleId="14">
    <w:name w:val="List Bullet 4"/>
    <w:basedOn w:val="1"/>
    <w:qFormat/>
    <w:uiPriority w:val="0"/>
    <w:pPr>
      <w:numPr>
        <w:ilvl w:val="0"/>
        <w:numId w:val="3"/>
      </w:numPr>
    </w:pPr>
    <w:rPr>
      <w:rFonts w:ascii="Arial" w:hAnsi="Arial" w:cs="Times New Roman"/>
      <w:szCs w:val="21"/>
    </w:rPr>
  </w:style>
  <w:style w:type="paragraph" w:styleId="15">
    <w:name w:val="index 8"/>
    <w:basedOn w:val="1"/>
    <w:next w:val="1"/>
    <w:qFormat/>
    <w:uiPriority w:val="0"/>
    <w:pPr>
      <w:ind w:left="1680" w:hanging="210"/>
      <w:jc w:val="left"/>
    </w:pPr>
    <w:rPr>
      <w:rFonts w:cs="Times New Roman"/>
      <w:sz w:val="20"/>
      <w:szCs w:val="20"/>
    </w:rPr>
  </w:style>
  <w:style w:type="paragraph" w:styleId="16">
    <w:name w:val="E-mail Signature"/>
    <w:basedOn w:val="1"/>
    <w:link w:val="335"/>
    <w:qFormat/>
    <w:uiPriority w:val="0"/>
    <w:pPr>
      <w:ind w:firstLine="420"/>
    </w:pPr>
    <w:rPr>
      <w:rFonts w:ascii="Arial" w:hAnsi="Arial" w:cs="Times New Roman"/>
      <w:kern w:val="0"/>
      <w:sz w:val="20"/>
      <w:szCs w:val="21"/>
    </w:rPr>
  </w:style>
  <w:style w:type="paragraph" w:styleId="17">
    <w:name w:val="List Number"/>
    <w:basedOn w:val="1"/>
    <w:qFormat/>
    <w:uiPriority w:val="0"/>
    <w:pPr>
      <w:numPr>
        <w:ilvl w:val="0"/>
        <w:numId w:val="4"/>
      </w:numPr>
    </w:pPr>
    <w:rPr>
      <w:rFonts w:ascii="Arial" w:hAnsi="Arial" w:cs="Times New Roman"/>
      <w:szCs w:val="21"/>
    </w:rPr>
  </w:style>
  <w:style w:type="paragraph" w:styleId="18">
    <w:name w:val="Normal Indent"/>
    <w:basedOn w:val="1"/>
    <w:link w:val="354"/>
    <w:qFormat/>
    <w:uiPriority w:val="0"/>
    <w:pPr>
      <w:ind w:firstLine="200" w:firstLineChars="200"/>
    </w:pPr>
    <w:rPr>
      <w:rFonts w:ascii="Arial" w:hAnsi="Arial" w:cs="Times New Roman"/>
      <w:kern w:val="0"/>
      <w:sz w:val="20"/>
      <w:szCs w:val="21"/>
    </w:rPr>
  </w:style>
  <w:style w:type="paragraph" w:styleId="19">
    <w:name w:val="caption"/>
    <w:basedOn w:val="1"/>
    <w:next w:val="1"/>
    <w:qFormat/>
    <w:uiPriority w:val="0"/>
    <w:pPr>
      <w:spacing w:before="152" w:after="160"/>
      <w:ind w:firstLine="420"/>
    </w:pPr>
    <w:rPr>
      <w:rFonts w:ascii="Arial" w:hAnsi="Arial" w:eastAsia="黑体" w:cs="Arial"/>
      <w:sz w:val="20"/>
      <w:szCs w:val="20"/>
    </w:rPr>
  </w:style>
  <w:style w:type="paragraph" w:styleId="20">
    <w:name w:val="index 5"/>
    <w:basedOn w:val="1"/>
    <w:next w:val="1"/>
    <w:qFormat/>
    <w:uiPriority w:val="0"/>
    <w:pPr>
      <w:ind w:left="1050" w:hanging="210"/>
      <w:jc w:val="left"/>
    </w:pPr>
    <w:rPr>
      <w:rFonts w:cs="Times New Roman"/>
      <w:sz w:val="20"/>
      <w:szCs w:val="20"/>
    </w:rPr>
  </w:style>
  <w:style w:type="paragraph" w:styleId="21">
    <w:name w:val="List Bullet"/>
    <w:basedOn w:val="1"/>
    <w:qFormat/>
    <w:uiPriority w:val="0"/>
    <w:pPr>
      <w:numPr>
        <w:ilvl w:val="0"/>
        <w:numId w:val="5"/>
      </w:numPr>
    </w:pPr>
    <w:rPr>
      <w:rFonts w:ascii="Arial" w:hAnsi="Arial" w:cs="Times New Roman"/>
      <w:szCs w:val="21"/>
    </w:rPr>
  </w:style>
  <w:style w:type="paragraph" w:styleId="22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snapToGrid w:val="0"/>
      <w:ind w:left="100" w:leftChars="1400" w:firstLine="420"/>
    </w:pPr>
    <w:rPr>
      <w:rFonts w:ascii="Arial" w:hAnsi="Arial" w:cs="Arial"/>
      <w:sz w:val="24"/>
      <w:szCs w:val="21"/>
    </w:rPr>
  </w:style>
  <w:style w:type="paragraph" w:styleId="23">
    <w:name w:val="Document Map"/>
    <w:basedOn w:val="1"/>
    <w:link w:val="329"/>
    <w:semiHidden/>
    <w:qFormat/>
    <w:uiPriority w:val="99"/>
    <w:pPr>
      <w:shd w:val="clear" w:color="auto" w:fill="000080"/>
      <w:ind w:firstLine="420"/>
    </w:pPr>
    <w:rPr>
      <w:rFonts w:ascii="Times New Roman" w:hAnsi="Times New Roman" w:cs="Times New Roman"/>
      <w:kern w:val="0"/>
      <w:sz w:val="20"/>
      <w:szCs w:val="21"/>
    </w:rPr>
  </w:style>
  <w:style w:type="paragraph" w:styleId="24">
    <w:name w:val="annotation text"/>
    <w:basedOn w:val="1"/>
    <w:link w:val="353"/>
    <w:qFormat/>
    <w:uiPriority w:val="0"/>
    <w:pPr>
      <w:ind w:firstLine="420"/>
      <w:jc w:val="left"/>
    </w:pPr>
    <w:rPr>
      <w:rFonts w:ascii="Times New Roman" w:hAnsi="Times New Roman" w:cs="Times New Roman"/>
      <w:kern w:val="0"/>
      <w:sz w:val="20"/>
      <w:szCs w:val="21"/>
    </w:rPr>
  </w:style>
  <w:style w:type="paragraph" w:styleId="25">
    <w:name w:val="index 6"/>
    <w:basedOn w:val="1"/>
    <w:next w:val="1"/>
    <w:qFormat/>
    <w:uiPriority w:val="0"/>
    <w:pPr>
      <w:ind w:left="1260" w:hanging="210"/>
      <w:jc w:val="left"/>
    </w:pPr>
    <w:rPr>
      <w:rFonts w:cs="Times New Roman"/>
      <w:sz w:val="20"/>
      <w:szCs w:val="20"/>
    </w:rPr>
  </w:style>
  <w:style w:type="paragraph" w:styleId="26">
    <w:name w:val="Salutation"/>
    <w:basedOn w:val="1"/>
    <w:next w:val="1"/>
    <w:link w:val="333"/>
    <w:qFormat/>
    <w:uiPriority w:val="0"/>
    <w:pPr>
      <w:ind w:firstLine="420"/>
    </w:pPr>
    <w:rPr>
      <w:rFonts w:ascii="Arial" w:hAnsi="Arial" w:cs="Times New Roman"/>
      <w:kern w:val="0"/>
      <w:sz w:val="20"/>
      <w:szCs w:val="21"/>
    </w:rPr>
  </w:style>
  <w:style w:type="paragraph" w:styleId="27">
    <w:name w:val="Body Text 3"/>
    <w:basedOn w:val="1"/>
    <w:link w:val="343"/>
    <w:qFormat/>
    <w:uiPriority w:val="0"/>
    <w:pPr>
      <w:spacing w:after="120"/>
      <w:ind w:firstLine="420"/>
    </w:pPr>
    <w:rPr>
      <w:rFonts w:ascii="Arial" w:hAnsi="Arial" w:cs="Times New Roman"/>
      <w:kern w:val="0"/>
      <w:sz w:val="16"/>
      <w:szCs w:val="16"/>
    </w:rPr>
  </w:style>
  <w:style w:type="paragraph" w:styleId="28">
    <w:name w:val="Closing"/>
    <w:basedOn w:val="1"/>
    <w:link w:val="336"/>
    <w:qFormat/>
    <w:uiPriority w:val="0"/>
    <w:pPr>
      <w:ind w:left="100" w:leftChars="2100" w:firstLine="420"/>
    </w:pPr>
    <w:rPr>
      <w:rFonts w:ascii="Arial" w:hAnsi="Arial" w:cs="Times New Roman"/>
      <w:kern w:val="0"/>
      <w:sz w:val="20"/>
      <w:szCs w:val="21"/>
    </w:rPr>
  </w:style>
  <w:style w:type="paragraph" w:styleId="29">
    <w:name w:val="List Bullet 3"/>
    <w:basedOn w:val="1"/>
    <w:qFormat/>
    <w:uiPriority w:val="0"/>
    <w:pPr>
      <w:numPr>
        <w:ilvl w:val="0"/>
        <w:numId w:val="6"/>
      </w:numPr>
    </w:pPr>
    <w:rPr>
      <w:rFonts w:ascii="Arial" w:hAnsi="Arial" w:cs="Times New Roman"/>
      <w:szCs w:val="21"/>
    </w:rPr>
  </w:style>
  <w:style w:type="paragraph" w:styleId="30">
    <w:name w:val="Body Text"/>
    <w:basedOn w:val="1"/>
    <w:link w:val="349"/>
    <w:qFormat/>
    <w:uiPriority w:val="0"/>
    <w:pPr>
      <w:spacing w:line="300" w:lineRule="auto"/>
      <w:ind w:firstLine="420"/>
    </w:pPr>
    <w:rPr>
      <w:rFonts w:ascii="Arial" w:hAnsi="Arial" w:cs="Times New Roman"/>
      <w:kern w:val="0"/>
      <w:sz w:val="20"/>
      <w:szCs w:val="21"/>
    </w:rPr>
  </w:style>
  <w:style w:type="paragraph" w:styleId="31">
    <w:name w:val="Body Text Indent"/>
    <w:basedOn w:val="1"/>
    <w:link w:val="340"/>
    <w:qFormat/>
    <w:uiPriority w:val="0"/>
    <w:pPr>
      <w:spacing w:after="120" w:line="360" w:lineRule="auto"/>
      <w:ind w:left="200" w:hanging="200" w:hangingChars="200"/>
    </w:pPr>
    <w:rPr>
      <w:rFonts w:ascii="Arial" w:hAnsi="Arial" w:eastAsia="楷体" w:cs="Times New Roman"/>
      <w:kern w:val="0"/>
      <w:sz w:val="24"/>
      <w:szCs w:val="21"/>
    </w:rPr>
  </w:style>
  <w:style w:type="paragraph" w:styleId="32">
    <w:name w:val="List Number 3"/>
    <w:basedOn w:val="1"/>
    <w:qFormat/>
    <w:uiPriority w:val="0"/>
    <w:pPr>
      <w:numPr>
        <w:ilvl w:val="0"/>
        <w:numId w:val="7"/>
      </w:numPr>
    </w:pPr>
    <w:rPr>
      <w:rFonts w:ascii="Arial" w:hAnsi="Arial" w:cs="Times New Roman"/>
      <w:szCs w:val="21"/>
    </w:rPr>
  </w:style>
  <w:style w:type="paragraph" w:styleId="33">
    <w:name w:val="List 2"/>
    <w:basedOn w:val="1"/>
    <w:qFormat/>
    <w:uiPriority w:val="0"/>
    <w:pPr>
      <w:ind w:left="100" w:leftChars="200" w:hanging="200" w:hangingChars="200"/>
    </w:pPr>
    <w:rPr>
      <w:rFonts w:ascii="Arial" w:hAnsi="Arial" w:cs="Times New Roman"/>
      <w:szCs w:val="21"/>
    </w:rPr>
  </w:style>
  <w:style w:type="paragraph" w:styleId="34">
    <w:name w:val="List Continue"/>
    <w:basedOn w:val="1"/>
    <w:qFormat/>
    <w:uiPriority w:val="0"/>
    <w:pPr>
      <w:spacing w:after="120"/>
      <w:ind w:left="420" w:leftChars="200" w:firstLine="420"/>
    </w:pPr>
    <w:rPr>
      <w:rFonts w:ascii="Arial" w:hAnsi="Arial" w:cs="Times New Roman"/>
      <w:szCs w:val="21"/>
    </w:rPr>
  </w:style>
  <w:style w:type="paragraph" w:styleId="35">
    <w:name w:val="Block Text"/>
    <w:basedOn w:val="1"/>
    <w:qFormat/>
    <w:uiPriority w:val="0"/>
    <w:pPr>
      <w:spacing w:after="120"/>
      <w:ind w:left="1440" w:leftChars="700" w:right="1440" w:rightChars="700" w:firstLine="420"/>
    </w:pPr>
    <w:rPr>
      <w:rFonts w:ascii="Arial" w:hAnsi="Arial" w:cs="Times New Roman"/>
      <w:szCs w:val="21"/>
    </w:rPr>
  </w:style>
  <w:style w:type="paragraph" w:styleId="36">
    <w:name w:val="List Bullet 2"/>
    <w:basedOn w:val="1"/>
    <w:qFormat/>
    <w:uiPriority w:val="0"/>
    <w:pPr>
      <w:numPr>
        <w:ilvl w:val="0"/>
        <w:numId w:val="8"/>
      </w:numPr>
    </w:pPr>
    <w:rPr>
      <w:rFonts w:ascii="Arial" w:hAnsi="Arial" w:cs="Times New Roman"/>
      <w:szCs w:val="21"/>
    </w:rPr>
  </w:style>
  <w:style w:type="paragraph" w:styleId="37">
    <w:name w:val="HTML Address"/>
    <w:basedOn w:val="1"/>
    <w:link w:val="331"/>
    <w:qFormat/>
    <w:uiPriority w:val="0"/>
    <w:pPr>
      <w:ind w:firstLine="420"/>
    </w:pPr>
    <w:rPr>
      <w:rFonts w:ascii="Arial" w:hAnsi="Arial" w:cs="Times New Roman"/>
      <w:i/>
      <w:iCs/>
      <w:kern w:val="0"/>
      <w:sz w:val="20"/>
      <w:szCs w:val="21"/>
    </w:rPr>
  </w:style>
  <w:style w:type="paragraph" w:styleId="38">
    <w:name w:val="index 4"/>
    <w:basedOn w:val="1"/>
    <w:next w:val="1"/>
    <w:qFormat/>
    <w:uiPriority w:val="0"/>
    <w:pPr>
      <w:ind w:left="840" w:hanging="210"/>
      <w:jc w:val="left"/>
    </w:pPr>
    <w:rPr>
      <w:rFonts w:cs="Times New Roman"/>
      <w:sz w:val="20"/>
      <w:szCs w:val="20"/>
    </w:rPr>
  </w:style>
  <w:style w:type="paragraph" w:styleId="39">
    <w:name w:val="toc 5"/>
    <w:basedOn w:val="1"/>
    <w:next w:val="1"/>
    <w:qFormat/>
    <w:uiPriority w:val="39"/>
    <w:pPr>
      <w:tabs>
        <w:tab w:val="right" w:leader="dot" w:pos="9241"/>
      </w:tabs>
      <w:ind w:firstLine="300" w:firstLineChars="300"/>
      <w:jc w:val="left"/>
    </w:pPr>
    <w:rPr>
      <w:rFonts w:ascii="宋体" w:hAnsi="Times New Roman" w:cs="Times New Roman"/>
      <w:szCs w:val="21"/>
    </w:rPr>
  </w:style>
  <w:style w:type="paragraph" w:styleId="40">
    <w:name w:val="toc 3"/>
    <w:basedOn w:val="1"/>
    <w:next w:val="1"/>
    <w:qFormat/>
    <w:uiPriority w:val="39"/>
    <w:pPr>
      <w:tabs>
        <w:tab w:val="right" w:leader="dot" w:pos="9241"/>
      </w:tabs>
      <w:ind w:firstLine="102" w:firstLineChars="100"/>
      <w:jc w:val="left"/>
    </w:pPr>
    <w:rPr>
      <w:rFonts w:ascii="宋体" w:hAnsi="Times New Roman" w:cs="Times New Roman"/>
      <w:szCs w:val="21"/>
    </w:rPr>
  </w:style>
  <w:style w:type="paragraph" w:styleId="41">
    <w:name w:val="Plain Text"/>
    <w:basedOn w:val="1"/>
    <w:link w:val="334"/>
    <w:qFormat/>
    <w:uiPriority w:val="0"/>
    <w:pPr>
      <w:ind w:firstLine="420"/>
    </w:pPr>
    <w:rPr>
      <w:rFonts w:ascii="宋体" w:hAnsi="Courier New" w:cs="Times New Roman"/>
      <w:kern w:val="0"/>
      <w:sz w:val="20"/>
      <w:szCs w:val="21"/>
    </w:rPr>
  </w:style>
  <w:style w:type="paragraph" w:styleId="42">
    <w:name w:val="List Bullet 5"/>
    <w:basedOn w:val="1"/>
    <w:qFormat/>
    <w:uiPriority w:val="0"/>
    <w:pPr>
      <w:numPr>
        <w:ilvl w:val="0"/>
        <w:numId w:val="9"/>
      </w:numPr>
    </w:pPr>
    <w:rPr>
      <w:rFonts w:ascii="Arial" w:hAnsi="Arial" w:cs="Times New Roman"/>
      <w:szCs w:val="21"/>
    </w:rPr>
  </w:style>
  <w:style w:type="paragraph" w:styleId="43">
    <w:name w:val="List Number 4"/>
    <w:basedOn w:val="1"/>
    <w:qFormat/>
    <w:uiPriority w:val="0"/>
    <w:pPr>
      <w:numPr>
        <w:ilvl w:val="0"/>
        <w:numId w:val="10"/>
      </w:numPr>
    </w:pPr>
    <w:rPr>
      <w:rFonts w:ascii="Arial" w:hAnsi="Arial" w:cs="Times New Roman"/>
      <w:szCs w:val="21"/>
    </w:rPr>
  </w:style>
  <w:style w:type="paragraph" w:styleId="44">
    <w:name w:val="toc 8"/>
    <w:basedOn w:val="1"/>
    <w:next w:val="1"/>
    <w:qFormat/>
    <w:uiPriority w:val="39"/>
    <w:pPr>
      <w:tabs>
        <w:tab w:val="right" w:leader="dot" w:pos="9241"/>
      </w:tabs>
      <w:ind w:firstLine="607" w:firstLineChars="600"/>
      <w:jc w:val="left"/>
    </w:pPr>
    <w:rPr>
      <w:rFonts w:ascii="宋体" w:hAnsi="Times New Roman" w:cs="Times New Roman"/>
      <w:szCs w:val="21"/>
    </w:rPr>
  </w:style>
  <w:style w:type="paragraph" w:styleId="45">
    <w:name w:val="index 3"/>
    <w:basedOn w:val="1"/>
    <w:next w:val="1"/>
    <w:qFormat/>
    <w:uiPriority w:val="0"/>
    <w:pPr>
      <w:ind w:left="630" w:hanging="210"/>
      <w:jc w:val="left"/>
    </w:pPr>
    <w:rPr>
      <w:rFonts w:cs="Times New Roman"/>
      <w:sz w:val="20"/>
      <w:szCs w:val="20"/>
    </w:rPr>
  </w:style>
  <w:style w:type="paragraph" w:styleId="46">
    <w:name w:val="Date"/>
    <w:basedOn w:val="1"/>
    <w:next w:val="1"/>
    <w:link w:val="338"/>
    <w:qFormat/>
    <w:uiPriority w:val="0"/>
    <w:pPr>
      <w:ind w:left="100" w:leftChars="2500" w:firstLine="420"/>
    </w:pPr>
    <w:rPr>
      <w:rFonts w:ascii="Arial" w:hAnsi="Arial" w:cs="Times New Roman"/>
      <w:kern w:val="0"/>
      <w:sz w:val="20"/>
      <w:szCs w:val="21"/>
    </w:rPr>
  </w:style>
  <w:style w:type="paragraph" w:styleId="47">
    <w:name w:val="Body Text Indent 2"/>
    <w:basedOn w:val="1"/>
    <w:link w:val="344"/>
    <w:qFormat/>
    <w:uiPriority w:val="0"/>
    <w:pPr>
      <w:spacing w:after="120" w:line="480" w:lineRule="auto"/>
      <w:ind w:left="420" w:leftChars="200" w:firstLine="420"/>
    </w:pPr>
    <w:rPr>
      <w:rFonts w:ascii="Arial" w:hAnsi="Arial" w:cs="Times New Roman"/>
      <w:kern w:val="0"/>
      <w:sz w:val="20"/>
      <w:szCs w:val="21"/>
    </w:rPr>
  </w:style>
  <w:style w:type="paragraph" w:styleId="48">
    <w:name w:val="endnote text"/>
    <w:basedOn w:val="1"/>
    <w:link w:val="328"/>
    <w:semiHidden/>
    <w:qFormat/>
    <w:uiPriority w:val="0"/>
    <w:pPr>
      <w:snapToGrid w:val="0"/>
      <w:ind w:firstLine="420"/>
      <w:jc w:val="left"/>
    </w:pPr>
    <w:rPr>
      <w:rFonts w:ascii="Times New Roman" w:hAnsi="Times New Roman" w:cs="Times New Roman"/>
      <w:kern w:val="0"/>
      <w:sz w:val="20"/>
      <w:szCs w:val="21"/>
    </w:rPr>
  </w:style>
  <w:style w:type="paragraph" w:styleId="49">
    <w:name w:val="List Continue 5"/>
    <w:basedOn w:val="1"/>
    <w:qFormat/>
    <w:uiPriority w:val="0"/>
    <w:pPr>
      <w:spacing w:after="120"/>
      <w:ind w:left="2100" w:leftChars="1000" w:firstLine="420"/>
    </w:pPr>
    <w:rPr>
      <w:rFonts w:ascii="Arial" w:hAnsi="Arial" w:cs="Times New Roman"/>
      <w:szCs w:val="21"/>
    </w:rPr>
  </w:style>
  <w:style w:type="paragraph" w:styleId="50">
    <w:name w:val="Balloon Text"/>
    <w:basedOn w:val="1"/>
    <w:link w:val="351"/>
    <w:qFormat/>
    <w:uiPriority w:val="99"/>
    <w:pPr>
      <w:ind w:firstLine="420"/>
    </w:pPr>
    <w:rPr>
      <w:rFonts w:ascii="Arial" w:hAnsi="Arial" w:cs="Times New Roman"/>
      <w:kern w:val="0"/>
      <w:sz w:val="18"/>
      <w:szCs w:val="18"/>
    </w:rPr>
  </w:style>
  <w:style w:type="paragraph" w:styleId="51">
    <w:name w:val="footer"/>
    <w:basedOn w:val="1"/>
    <w:link w:val="313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2">
    <w:name w:val="envelope return"/>
    <w:basedOn w:val="1"/>
    <w:qFormat/>
    <w:uiPriority w:val="0"/>
    <w:pPr>
      <w:snapToGrid w:val="0"/>
      <w:ind w:firstLine="420"/>
    </w:pPr>
    <w:rPr>
      <w:rFonts w:ascii="Arial" w:hAnsi="Arial" w:cs="Arial"/>
      <w:szCs w:val="21"/>
    </w:rPr>
  </w:style>
  <w:style w:type="paragraph" w:styleId="53">
    <w:name w:val="header"/>
    <w:basedOn w:val="1"/>
    <w:link w:val="312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4">
    <w:name w:val="Signature"/>
    <w:basedOn w:val="1"/>
    <w:link w:val="337"/>
    <w:qFormat/>
    <w:uiPriority w:val="0"/>
    <w:pPr>
      <w:ind w:left="100" w:leftChars="2100" w:firstLine="420"/>
    </w:pPr>
    <w:rPr>
      <w:rFonts w:ascii="Arial" w:hAnsi="Arial" w:cs="Times New Roman"/>
      <w:kern w:val="0"/>
      <w:sz w:val="20"/>
      <w:szCs w:val="21"/>
    </w:rPr>
  </w:style>
  <w:style w:type="paragraph" w:styleId="55">
    <w:name w:val="toc 1"/>
    <w:basedOn w:val="1"/>
    <w:next w:val="1"/>
    <w:qFormat/>
    <w:uiPriority w:val="39"/>
    <w:pPr>
      <w:tabs>
        <w:tab w:val="left" w:pos="735"/>
        <w:tab w:val="right" w:leader="dot" w:pos="9241"/>
      </w:tabs>
      <w:ind w:firstLine="420"/>
      <w:jc w:val="left"/>
    </w:pPr>
    <w:rPr>
      <w:rFonts w:ascii="宋体" w:hAnsi="Times New Roman" w:cs="Times New Roman"/>
      <w:szCs w:val="21"/>
    </w:rPr>
  </w:style>
  <w:style w:type="paragraph" w:styleId="56">
    <w:name w:val="List Continue 4"/>
    <w:basedOn w:val="1"/>
    <w:qFormat/>
    <w:uiPriority w:val="0"/>
    <w:pPr>
      <w:spacing w:after="120"/>
      <w:ind w:left="1680" w:leftChars="800" w:firstLine="420"/>
    </w:pPr>
    <w:rPr>
      <w:rFonts w:ascii="Arial" w:hAnsi="Arial" w:cs="Times New Roman"/>
      <w:szCs w:val="21"/>
    </w:rPr>
  </w:style>
  <w:style w:type="paragraph" w:styleId="57">
    <w:name w:val="toc 4"/>
    <w:basedOn w:val="1"/>
    <w:next w:val="1"/>
    <w:qFormat/>
    <w:uiPriority w:val="39"/>
    <w:pPr>
      <w:tabs>
        <w:tab w:val="right" w:leader="dot" w:pos="9241"/>
      </w:tabs>
      <w:ind w:firstLine="198" w:firstLineChars="200"/>
      <w:jc w:val="left"/>
    </w:pPr>
    <w:rPr>
      <w:rFonts w:ascii="宋体" w:hAnsi="Times New Roman" w:cs="Times New Roman"/>
      <w:szCs w:val="21"/>
    </w:rPr>
  </w:style>
  <w:style w:type="paragraph" w:styleId="58">
    <w:name w:val="index heading"/>
    <w:basedOn w:val="1"/>
    <w:next w:val="59"/>
    <w:qFormat/>
    <w:uiPriority w:val="0"/>
    <w:pPr>
      <w:spacing w:before="120" w:after="120"/>
      <w:ind w:firstLine="420"/>
      <w:jc w:val="center"/>
    </w:pPr>
    <w:rPr>
      <w:rFonts w:cs="Times New Roman"/>
      <w:b/>
      <w:bCs/>
      <w:iCs/>
      <w:szCs w:val="20"/>
    </w:rPr>
  </w:style>
  <w:style w:type="paragraph" w:styleId="59">
    <w:name w:val="index 1"/>
    <w:basedOn w:val="1"/>
    <w:next w:val="60"/>
    <w:qFormat/>
    <w:uiPriority w:val="0"/>
    <w:pPr>
      <w:tabs>
        <w:tab w:val="right" w:leader="dot" w:pos="9299"/>
      </w:tabs>
      <w:ind w:firstLine="420"/>
      <w:jc w:val="left"/>
    </w:pPr>
    <w:rPr>
      <w:rFonts w:ascii="宋体" w:hAnsi="Times New Roman" w:cs="Times New Roman"/>
      <w:szCs w:val="21"/>
    </w:rPr>
  </w:style>
  <w:style w:type="paragraph" w:customStyle="1" w:styleId="60">
    <w:name w:val="段"/>
    <w:link w:val="323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Cs w:val="24"/>
      <w:lang w:val="en-US" w:eastAsia="zh-CN" w:bidi="ar-SA"/>
    </w:rPr>
  </w:style>
  <w:style w:type="paragraph" w:styleId="61">
    <w:name w:val="Subtitle"/>
    <w:basedOn w:val="1"/>
    <w:link w:val="348"/>
    <w:qFormat/>
    <w:uiPriority w:val="0"/>
    <w:pPr>
      <w:spacing w:before="480"/>
      <w:ind w:firstLine="420"/>
      <w:jc w:val="center"/>
      <w:outlineLvl w:val="1"/>
    </w:pPr>
    <w:rPr>
      <w:rFonts w:ascii="Arial" w:hAnsi="Arial" w:eastAsia="黑体" w:cs="Times New Roman"/>
      <w:bCs/>
      <w:kern w:val="28"/>
      <w:sz w:val="36"/>
      <w:szCs w:val="32"/>
    </w:rPr>
  </w:style>
  <w:style w:type="paragraph" w:styleId="62">
    <w:name w:val="List Number 5"/>
    <w:basedOn w:val="1"/>
    <w:qFormat/>
    <w:uiPriority w:val="0"/>
    <w:pPr>
      <w:numPr>
        <w:ilvl w:val="0"/>
        <w:numId w:val="11"/>
      </w:numPr>
    </w:pPr>
    <w:rPr>
      <w:rFonts w:ascii="Arial" w:hAnsi="Arial" w:cs="Times New Roman"/>
      <w:szCs w:val="21"/>
    </w:rPr>
  </w:style>
  <w:style w:type="paragraph" w:styleId="63">
    <w:name w:val="List"/>
    <w:basedOn w:val="1"/>
    <w:qFormat/>
    <w:uiPriority w:val="0"/>
    <w:pPr>
      <w:ind w:left="200" w:hanging="200" w:hangingChars="200"/>
    </w:pPr>
    <w:rPr>
      <w:rFonts w:ascii="Arial" w:hAnsi="Arial" w:cs="Times New Roman"/>
      <w:szCs w:val="21"/>
    </w:rPr>
  </w:style>
  <w:style w:type="paragraph" w:styleId="64">
    <w:name w:val="footnote text"/>
    <w:basedOn w:val="1"/>
    <w:link w:val="326"/>
    <w:qFormat/>
    <w:uiPriority w:val="0"/>
    <w:pPr>
      <w:numPr>
        <w:ilvl w:val="0"/>
        <w:numId w:val="12"/>
      </w:numPr>
      <w:snapToGrid w:val="0"/>
      <w:jc w:val="left"/>
    </w:pPr>
    <w:rPr>
      <w:rFonts w:ascii="宋体" w:hAnsi="Times New Roman" w:cs="Times New Roman"/>
      <w:kern w:val="0"/>
      <w:sz w:val="18"/>
      <w:szCs w:val="18"/>
    </w:rPr>
  </w:style>
  <w:style w:type="paragraph" w:styleId="65">
    <w:name w:val="toc 6"/>
    <w:basedOn w:val="1"/>
    <w:next w:val="1"/>
    <w:qFormat/>
    <w:uiPriority w:val="39"/>
    <w:pPr>
      <w:tabs>
        <w:tab w:val="right" w:leader="dot" w:pos="9241"/>
      </w:tabs>
      <w:ind w:firstLine="403" w:firstLineChars="400"/>
      <w:jc w:val="left"/>
    </w:pPr>
    <w:rPr>
      <w:rFonts w:ascii="宋体" w:hAnsi="Times New Roman" w:cs="Times New Roman"/>
      <w:szCs w:val="21"/>
    </w:rPr>
  </w:style>
  <w:style w:type="paragraph" w:styleId="66">
    <w:name w:val="List 5"/>
    <w:basedOn w:val="1"/>
    <w:qFormat/>
    <w:uiPriority w:val="0"/>
    <w:pPr>
      <w:ind w:left="100" w:leftChars="800" w:hanging="200" w:hangingChars="200"/>
    </w:pPr>
    <w:rPr>
      <w:rFonts w:ascii="Arial" w:hAnsi="Arial" w:cs="Times New Roman"/>
      <w:szCs w:val="21"/>
    </w:rPr>
  </w:style>
  <w:style w:type="paragraph" w:styleId="67">
    <w:name w:val="Body Text Indent 3"/>
    <w:basedOn w:val="1"/>
    <w:link w:val="345"/>
    <w:qFormat/>
    <w:uiPriority w:val="0"/>
    <w:pPr>
      <w:spacing w:after="120"/>
      <w:ind w:left="420" w:leftChars="200" w:firstLine="420"/>
    </w:pPr>
    <w:rPr>
      <w:rFonts w:ascii="Arial" w:hAnsi="Arial" w:cs="Times New Roman"/>
      <w:kern w:val="0"/>
      <w:sz w:val="16"/>
      <w:szCs w:val="16"/>
    </w:rPr>
  </w:style>
  <w:style w:type="paragraph" w:styleId="68">
    <w:name w:val="index 7"/>
    <w:basedOn w:val="1"/>
    <w:next w:val="1"/>
    <w:qFormat/>
    <w:uiPriority w:val="0"/>
    <w:pPr>
      <w:ind w:left="1470" w:hanging="210"/>
      <w:jc w:val="left"/>
    </w:pPr>
    <w:rPr>
      <w:rFonts w:cs="Times New Roman"/>
      <w:sz w:val="20"/>
      <w:szCs w:val="20"/>
    </w:rPr>
  </w:style>
  <w:style w:type="paragraph" w:styleId="69">
    <w:name w:val="index 9"/>
    <w:basedOn w:val="1"/>
    <w:next w:val="1"/>
    <w:qFormat/>
    <w:uiPriority w:val="0"/>
    <w:pPr>
      <w:ind w:left="1890" w:hanging="210"/>
      <w:jc w:val="left"/>
    </w:pPr>
    <w:rPr>
      <w:rFonts w:cs="Times New Roman"/>
      <w:sz w:val="20"/>
      <w:szCs w:val="20"/>
    </w:rPr>
  </w:style>
  <w:style w:type="paragraph" w:styleId="70">
    <w:name w:val="table of figures"/>
    <w:basedOn w:val="1"/>
    <w:next w:val="1"/>
    <w:qFormat/>
    <w:uiPriority w:val="99"/>
    <w:pPr>
      <w:ind w:firstLine="420"/>
    </w:pPr>
    <w:rPr>
      <w:rFonts w:ascii="Arial" w:hAnsi="Arial" w:cs="Times New Roman"/>
      <w:szCs w:val="21"/>
    </w:rPr>
  </w:style>
  <w:style w:type="paragraph" w:styleId="71">
    <w:name w:val="toc 2"/>
    <w:basedOn w:val="1"/>
    <w:next w:val="1"/>
    <w:qFormat/>
    <w:uiPriority w:val="39"/>
    <w:pPr>
      <w:tabs>
        <w:tab w:val="right" w:leader="dot" w:pos="9241"/>
      </w:tabs>
      <w:ind w:firstLine="630" w:firstLineChars="300"/>
    </w:pPr>
    <w:rPr>
      <w:rFonts w:ascii="宋体" w:hAnsi="Times New Roman" w:cs="Times New Roman"/>
      <w:szCs w:val="21"/>
    </w:rPr>
  </w:style>
  <w:style w:type="paragraph" w:styleId="72">
    <w:name w:val="toc 9"/>
    <w:basedOn w:val="1"/>
    <w:next w:val="1"/>
    <w:qFormat/>
    <w:uiPriority w:val="39"/>
    <w:pPr>
      <w:ind w:left="1470" w:firstLine="420"/>
      <w:jc w:val="left"/>
    </w:pPr>
    <w:rPr>
      <w:rFonts w:ascii="Times New Roman" w:hAnsi="Times New Roman" w:cs="Times New Roman"/>
      <w:sz w:val="20"/>
      <w:szCs w:val="20"/>
    </w:rPr>
  </w:style>
  <w:style w:type="paragraph" w:styleId="73">
    <w:name w:val="Body Text 2"/>
    <w:basedOn w:val="1"/>
    <w:link w:val="342"/>
    <w:qFormat/>
    <w:uiPriority w:val="0"/>
    <w:pPr>
      <w:spacing w:beforeLines="50" w:afterLines="50" w:line="300" w:lineRule="auto"/>
      <w:ind w:firstLine="200" w:firstLineChars="200"/>
    </w:pPr>
    <w:rPr>
      <w:rFonts w:ascii="Arial" w:hAnsi="Arial" w:eastAsia="黑体" w:cs="Times New Roman"/>
      <w:b/>
      <w:kern w:val="0"/>
      <w:sz w:val="20"/>
      <w:szCs w:val="21"/>
    </w:rPr>
  </w:style>
  <w:style w:type="paragraph" w:styleId="74">
    <w:name w:val="List 4"/>
    <w:basedOn w:val="1"/>
    <w:qFormat/>
    <w:uiPriority w:val="0"/>
    <w:pPr>
      <w:ind w:left="100" w:leftChars="600" w:hanging="200" w:hangingChars="200"/>
    </w:pPr>
    <w:rPr>
      <w:rFonts w:ascii="Arial" w:hAnsi="Arial" w:cs="Times New Roman"/>
      <w:szCs w:val="21"/>
    </w:rPr>
  </w:style>
  <w:style w:type="paragraph" w:styleId="75">
    <w:name w:val="List Continue 2"/>
    <w:basedOn w:val="1"/>
    <w:qFormat/>
    <w:uiPriority w:val="0"/>
    <w:pPr>
      <w:spacing w:after="120"/>
      <w:ind w:left="840" w:leftChars="400" w:firstLine="420"/>
    </w:pPr>
    <w:rPr>
      <w:rFonts w:ascii="Arial" w:hAnsi="Arial" w:cs="Times New Roman"/>
      <w:szCs w:val="21"/>
    </w:rPr>
  </w:style>
  <w:style w:type="paragraph" w:styleId="76">
    <w:name w:val="Message Header"/>
    <w:basedOn w:val="1"/>
    <w:link w:val="339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Times New Roman"/>
      <w:kern w:val="0"/>
      <w:sz w:val="24"/>
      <w:szCs w:val="21"/>
    </w:rPr>
  </w:style>
  <w:style w:type="paragraph" w:styleId="77">
    <w:name w:val="HTML Preformatted"/>
    <w:basedOn w:val="1"/>
    <w:link w:val="332"/>
    <w:qFormat/>
    <w:uiPriority w:val="0"/>
    <w:pPr>
      <w:ind w:firstLine="420"/>
    </w:pPr>
    <w:rPr>
      <w:rFonts w:ascii="Courier New" w:hAnsi="Courier New" w:cs="Times New Roman"/>
      <w:kern w:val="0"/>
      <w:sz w:val="20"/>
      <w:szCs w:val="20"/>
    </w:rPr>
  </w:style>
  <w:style w:type="paragraph" w:styleId="78">
    <w:name w:val="Normal (Web)"/>
    <w:basedOn w:val="1"/>
    <w:qFormat/>
    <w:uiPriority w:val="99"/>
    <w:pPr>
      <w:ind w:firstLine="420"/>
    </w:pPr>
    <w:rPr>
      <w:rFonts w:ascii="Arial" w:hAnsi="Arial" w:cs="Times New Roman"/>
      <w:sz w:val="24"/>
      <w:szCs w:val="21"/>
    </w:rPr>
  </w:style>
  <w:style w:type="paragraph" w:styleId="79">
    <w:name w:val="List Continue 3"/>
    <w:basedOn w:val="1"/>
    <w:qFormat/>
    <w:uiPriority w:val="0"/>
    <w:pPr>
      <w:spacing w:after="120"/>
      <w:ind w:left="1260" w:leftChars="600" w:firstLine="420"/>
    </w:pPr>
    <w:rPr>
      <w:rFonts w:ascii="Arial" w:hAnsi="Arial" w:cs="Times New Roman"/>
      <w:szCs w:val="21"/>
    </w:rPr>
  </w:style>
  <w:style w:type="paragraph" w:styleId="80">
    <w:name w:val="index 2"/>
    <w:basedOn w:val="1"/>
    <w:next w:val="1"/>
    <w:qFormat/>
    <w:uiPriority w:val="0"/>
    <w:pPr>
      <w:ind w:left="420" w:hanging="210"/>
      <w:jc w:val="left"/>
    </w:pPr>
    <w:rPr>
      <w:rFonts w:cs="Times New Roman"/>
      <w:sz w:val="20"/>
      <w:szCs w:val="20"/>
    </w:rPr>
  </w:style>
  <w:style w:type="paragraph" w:styleId="81">
    <w:name w:val="Title"/>
    <w:basedOn w:val="1"/>
    <w:link w:val="347"/>
    <w:qFormat/>
    <w:uiPriority w:val="0"/>
    <w:pPr>
      <w:spacing w:after="360"/>
      <w:ind w:firstLine="420"/>
      <w:jc w:val="center"/>
      <w:outlineLvl w:val="0"/>
    </w:pPr>
    <w:rPr>
      <w:rFonts w:ascii="Times New Roman" w:hAnsi="Times New Roman" w:eastAsia="楷体" w:cs="Times New Roman"/>
      <w:b/>
      <w:bCs/>
      <w:color w:val="CC3300"/>
      <w:kern w:val="0"/>
      <w:sz w:val="44"/>
      <w:szCs w:val="36"/>
    </w:rPr>
  </w:style>
  <w:style w:type="paragraph" w:styleId="82">
    <w:name w:val="annotation subject"/>
    <w:basedOn w:val="24"/>
    <w:next w:val="24"/>
    <w:link w:val="356"/>
    <w:qFormat/>
    <w:uiPriority w:val="0"/>
    <w:rPr>
      <w:b/>
      <w:bCs/>
    </w:rPr>
  </w:style>
  <w:style w:type="paragraph" w:styleId="83">
    <w:name w:val="Body Text First Indent"/>
    <w:basedOn w:val="30"/>
    <w:link w:val="350"/>
    <w:qFormat/>
    <w:uiPriority w:val="0"/>
    <w:pPr>
      <w:spacing w:after="60"/>
      <w:ind w:firstLine="200" w:firstLineChars="200"/>
    </w:pPr>
  </w:style>
  <w:style w:type="paragraph" w:styleId="84">
    <w:name w:val="Body Text First Indent 2"/>
    <w:basedOn w:val="31"/>
    <w:link w:val="341"/>
    <w:qFormat/>
    <w:uiPriority w:val="0"/>
    <w:pPr>
      <w:ind w:firstLine="420" w:firstLineChars="200"/>
    </w:pPr>
  </w:style>
  <w:style w:type="table" w:styleId="86">
    <w:name w:val="Table Grid"/>
    <w:basedOn w:val="85"/>
    <w:qFormat/>
    <w:uiPriority w:val="59"/>
    <w:rPr>
      <w:rFonts w:ascii="宋体"/>
      <w:sz w:val="18"/>
      <w:szCs w:val="1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7">
    <w:name w:val="Table Theme"/>
    <w:basedOn w:val="85"/>
    <w:qFormat/>
    <w:uiPriority w:val="0"/>
    <w:pPr>
      <w:widowControl w:val="0"/>
      <w:jc w:val="both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8">
    <w:name w:val="Table Colorful 1"/>
    <w:basedOn w:val="85"/>
    <w:qFormat/>
    <w:uiPriority w:val="0"/>
    <w:pPr>
      <w:widowControl w:val="0"/>
      <w:jc w:val="both"/>
    </w:pPr>
    <w:rPr>
      <w:color w:val="FFFFFF"/>
      <w:sz w:val="24"/>
      <w:szCs w:val="24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  <w:tblPr/>
    </w:tblStylePr>
  </w:style>
  <w:style w:type="table" w:styleId="89">
    <w:name w:val="Table Colorful 2"/>
    <w:basedOn w:val="85"/>
    <w:qFormat/>
    <w:uiPriority w:val="0"/>
    <w:pPr>
      <w:widowControl w:val="0"/>
      <w:jc w:val="both"/>
    </w:pPr>
    <w:rPr>
      <w:sz w:val="24"/>
      <w:szCs w:val="24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  <w:tblPr/>
    </w:tblStylePr>
  </w:style>
  <w:style w:type="table" w:styleId="90">
    <w:name w:val="Table Colorful 3"/>
    <w:basedOn w:val="85"/>
    <w:qFormat/>
    <w:uiPriority w:val="0"/>
    <w:pPr>
      <w:widowControl w:val="0"/>
      <w:jc w:val="both"/>
    </w:pPr>
    <w:rPr>
      <w:sz w:val="24"/>
      <w:szCs w:val="24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color="000000" w:sz="36" w:space="0"/>
          <w:bottom w:val="nil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styleId="91">
    <w:name w:val="Table Elegant"/>
    <w:basedOn w:val="85"/>
    <w:qFormat/>
    <w:uiPriority w:val="0"/>
    <w:pPr>
      <w:widowControl w:val="0"/>
      <w:jc w:val="both"/>
    </w:pPr>
    <w:rPr>
      <w:sz w:val="24"/>
      <w:szCs w:val="24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</w:tblStylePr>
  </w:style>
  <w:style w:type="table" w:styleId="92">
    <w:name w:val="Table Classic 1"/>
    <w:basedOn w:val="85"/>
    <w:qFormat/>
    <w:uiPriority w:val="0"/>
    <w:pPr>
      <w:widowControl w:val="0"/>
      <w:jc w:val="both"/>
    </w:pPr>
    <w:rPr>
      <w:sz w:val="24"/>
      <w:szCs w:val="24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</w:tblStylePr>
    <w:tblStylePr w:type="swCell">
      <w:rPr>
        <w:b/>
        <w:bCs/>
      </w:rPr>
      <w:tblPr/>
    </w:tblStylePr>
  </w:style>
  <w:style w:type="table" w:styleId="93">
    <w:name w:val="Table Classic 2"/>
    <w:basedOn w:val="85"/>
    <w:qFormat/>
    <w:uiPriority w:val="0"/>
    <w:pPr>
      <w:widowControl w:val="0"/>
      <w:jc w:val="both"/>
    </w:pPr>
    <w:rPr>
      <w:sz w:val="24"/>
      <w:szCs w:val="24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  <w:tblPr/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  <w:tblPr/>
    </w:tblStylePr>
  </w:style>
  <w:style w:type="table" w:styleId="94">
    <w:name w:val="Table Classic 3"/>
    <w:basedOn w:val="85"/>
    <w:qFormat/>
    <w:uiPriority w:val="0"/>
    <w:pPr>
      <w:widowControl w:val="0"/>
      <w:jc w:val="both"/>
    </w:pPr>
    <w:rPr>
      <w:color w:val="000080"/>
      <w:sz w:val="24"/>
      <w:szCs w:val="24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</w:tblStylePr>
  </w:style>
  <w:style w:type="table" w:styleId="95">
    <w:name w:val="Table Classic 4"/>
    <w:basedOn w:val="85"/>
    <w:qFormat/>
    <w:uiPriority w:val="0"/>
    <w:pPr>
      <w:widowControl w:val="0"/>
      <w:jc w:val="both"/>
    </w:pPr>
    <w:rPr>
      <w:sz w:val="24"/>
      <w:szCs w:val="24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</w:tblStylePr>
    <w:tblStylePr w:type="nwCell">
      <w:rPr>
        <w:b/>
        <w:bCs/>
      </w:rPr>
      <w:tblPr/>
    </w:tblStylePr>
    <w:tblStylePr w:type="swCell">
      <w:rPr>
        <w:color w:val="000080"/>
      </w:rPr>
      <w:tblPr/>
    </w:tblStylePr>
  </w:style>
  <w:style w:type="table" w:styleId="96">
    <w:name w:val="Table Simple 1"/>
    <w:basedOn w:val="85"/>
    <w:qFormat/>
    <w:uiPriority w:val="0"/>
    <w:pPr>
      <w:widowControl w:val="0"/>
      <w:jc w:val="both"/>
    </w:pPr>
    <w:rPr>
      <w:sz w:val="24"/>
      <w:szCs w:val="24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8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7">
    <w:name w:val="Table Simple 2"/>
    <w:basedOn w:val="85"/>
    <w:qFormat/>
    <w:uiPriority w:val="0"/>
    <w:pPr>
      <w:widowControl w:val="0"/>
      <w:jc w:val="both"/>
    </w:pPr>
    <w:rPr>
      <w:sz w:val="24"/>
      <w:szCs w:val="24"/>
    </w:rPr>
    <w:tblPr/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</w:tblStylePr>
    <w:tblStylePr w:type="swCell">
      <w:rPr>
        <w:b/>
        <w:bCs/>
      </w:rPr>
      <w:tblPr/>
    </w:tblStylePr>
  </w:style>
  <w:style w:type="table" w:styleId="98">
    <w:name w:val="Table Simple 3"/>
    <w:basedOn w:val="85"/>
    <w:qFormat/>
    <w:uiPriority w:val="0"/>
    <w:pPr>
      <w:widowControl w:val="0"/>
      <w:jc w:val="both"/>
    </w:pPr>
    <w:rPr>
      <w:sz w:val="24"/>
      <w:szCs w:val="24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styleId="99">
    <w:name w:val="Table Subtle 1"/>
    <w:basedOn w:val="85"/>
    <w:qFormat/>
    <w:uiPriority w:val="0"/>
    <w:pPr>
      <w:widowControl w:val="0"/>
      <w:jc w:val="both"/>
    </w:pPr>
    <w:rPr>
      <w:sz w:val="24"/>
      <w:szCs w:val="24"/>
    </w:rPr>
    <w:tblPr>
      <w:tblStyleRowBandSize w:val="1"/>
    </w:tblPr>
    <w:tblStylePr w:type="firstRow">
      <w:tblPr/>
      <w:tcPr>
        <w:tcBorders>
          <w:top w:val="single" w:color="000000" w:sz="6" w:space="0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</w:tblStylePr>
    <w:tblStylePr w:type="swCell">
      <w:rPr>
        <w:b/>
        <w:bCs/>
      </w:rPr>
      <w:tblPr/>
    </w:tblStylePr>
  </w:style>
  <w:style w:type="table" w:styleId="100">
    <w:name w:val="Table Subtle 2"/>
    <w:basedOn w:val="85"/>
    <w:qFormat/>
    <w:uiPriority w:val="0"/>
    <w:pPr>
      <w:widowControl w:val="0"/>
      <w:jc w:val="both"/>
    </w:pPr>
    <w:rPr>
      <w:sz w:val="24"/>
      <w:szCs w:val="24"/>
    </w:r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</w:tblStylePr>
    <w:tblStylePr w:type="swCell">
      <w:rPr>
        <w:b/>
        <w:bCs/>
      </w:rPr>
      <w:tblPr/>
    </w:tblStylePr>
  </w:style>
  <w:style w:type="table" w:styleId="101">
    <w:name w:val="Table 3D effects 1"/>
    <w:basedOn w:val="85"/>
    <w:qFormat/>
    <w:uiPriority w:val="0"/>
    <w:pPr>
      <w:widowControl w:val="0"/>
      <w:jc w:val="both"/>
    </w:pPr>
    <w:rPr>
      <w:sz w:val="24"/>
      <w:szCs w:val="24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</w:tblStylePr>
  </w:style>
  <w:style w:type="table" w:styleId="102">
    <w:name w:val="Table 3D effects 2"/>
    <w:basedOn w:val="85"/>
    <w:qFormat/>
    <w:uiPriority w:val="0"/>
    <w:pPr>
      <w:widowControl w:val="0"/>
      <w:jc w:val="both"/>
    </w:pPr>
    <w:rPr>
      <w:sz w:val="24"/>
      <w:szCs w:val="24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</w:tblStylePr>
  </w:style>
  <w:style w:type="table" w:styleId="103">
    <w:name w:val="Table 3D effects 3"/>
    <w:basedOn w:val="85"/>
    <w:qFormat/>
    <w:uiPriority w:val="0"/>
    <w:pPr>
      <w:widowControl w:val="0"/>
      <w:jc w:val="both"/>
    </w:pPr>
    <w:rPr>
      <w:sz w:val="24"/>
      <w:szCs w:val="24"/>
    </w:rPr>
    <w:tblPr>
      <w:tblStyleRowBandSize w:val="1"/>
      <w:tblStyleColBandSize w:val="1"/>
    </w:tblPr>
    <w:tblStylePr w:type="firstRow">
      <w:rPr>
        <w:b/>
        <w:bCs/>
      </w:rPr>
      <w:tblPr/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</w:tblStylePr>
  </w:style>
  <w:style w:type="table" w:styleId="104">
    <w:name w:val="Table List 1"/>
    <w:basedOn w:val="85"/>
    <w:qFormat/>
    <w:uiPriority w:val="0"/>
    <w:pPr>
      <w:widowControl w:val="0"/>
      <w:jc w:val="both"/>
    </w:pPr>
    <w:rPr>
      <w:sz w:val="24"/>
      <w:szCs w:val="24"/>
    </w:r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  <w:tblPr/>
    </w:tblStylePr>
    <w:tblStylePr w:type="swCell">
      <w:rPr>
        <w:b/>
        <w:bCs/>
      </w:rPr>
      <w:tblPr/>
    </w:tblStylePr>
  </w:style>
  <w:style w:type="table" w:styleId="105">
    <w:name w:val="Table List 2"/>
    <w:basedOn w:val="85"/>
    <w:qFormat/>
    <w:uiPriority w:val="0"/>
    <w:pPr>
      <w:widowControl w:val="0"/>
      <w:jc w:val="both"/>
    </w:pPr>
    <w:rPr>
      <w:sz w:val="24"/>
      <w:szCs w:val="24"/>
    </w:r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  <w:tblPr/>
    </w:tblStylePr>
    <w:tblStylePr w:type="swCell">
      <w:rPr>
        <w:b/>
        <w:bCs/>
      </w:rPr>
      <w:tblPr/>
    </w:tblStylePr>
  </w:style>
  <w:style w:type="table" w:styleId="106">
    <w:name w:val="Table List 3"/>
    <w:basedOn w:val="85"/>
    <w:qFormat/>
    <w:uiPriority w:val="0"/>
    <w:pPr>
      <w:widowControl w:val="0"/>
      <w:jc w:val="both"/>
    </w:pPr>
    <w:rPr>
      <w:sz w:val="24"/>
      <w:szCs w:val="24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</w:tblStylePr>
  </w:style>
  <w:style w:type="table" w:styleId="107">
    <w:name w:val="Table List 4"/>
    <w:basedOn w:val="85"/>
    <w:qFormat/>
    <w:uiPriority w:val="0"/>
    <w:pPr>
      <w:widowControl w:val="0"/>
      <w:jc w:val="both"/>
    </w:pPr>
    <w:rPr>
      <w:sz w:val="24"/>
      <w:szCs w:val="24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08">
    <w:name w:val="Table List 5"/>
    <w:basedOn w:val="85"/>
    <w:qFormat/>
    <w:uiPriority w:val="0"/>
    <w:pPr>
      <w:widowControl w:val="0"/>
      <w:jc w:val="both"/>
    </w:pPr>
    <w:rPr>
      <w:sz w:val="24"/>
      <w:szCs w:val="24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</w:tblStylePr>
  </w:style>
  <w:style w:type="table" w:styleId="109">
    <w:name w:val="Table List 6"/>
    <w:basedOn w:val="85"/>
    <w:qFormat/>
    <w:uiPriority w:val="0"/>
    <w:pPr>
      <w:widowControl w:val="0"/>
      <w:jc w:val="both"/>
    </w:pPr>
    <w:rPr>
      <w:sz w:val="24"/>
      <w:szCs w:val="24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0">
    <w:name w:val="Table List 7"/>
    <w:basedOn w:val="85"/>
    <w:qFormat/>
    <w:uiPriority w:val="0"/>
    <w:pPr>
      <w:widowControl w:val="0"/>
      <w:jc w:val="both"/>
    </w:pPr>
    <w:rPr>
      <w:sz w:val="24"/>
      <w:szCs w:val="24"/>
    </w:r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008000" w:sz="12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111">
    <w:name w:val="Table List 8"/>
    <w:basedOn w:val="85"/>
    <w:qFormat/>
    <w:uiPriority w:val="0"/>
    <w:pPr>
      <w:widowControl w:val="0"/>
      <w:jc w:val="both"/>
    </w:pPr>
    <w:rPr>
      <w:sz w:val="24"/>
      <w:szCs w:val="24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auto" w:sz="6" w:space="0"/>
          <w:tr2bl w:val="nil"/>
        </w:tcBorders>
      </w:tcPr>
    </w:tblStylePr>
  </w:style>
  <w:style w:type="table" w:styleId="112">
    <w:name w:val="Table Contemporary"/>
    <w:basedOn w:val="85"/>
    <w:qFormat/>
    <w:uiPriority w:val="0"/>
    <w:pPr>
      <w:widowControl w:val="0"/>
      <w:jc w:val="both"/>
    </w:pPr>
    <w:rPr>
      <w:sz w:val="24"/>
      <w:szCs w:val="24"/>
    </w:r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styleId="113">
    <w:name w:val="Table Columns 1"/>
    <w:basedOn w:val="85"/>
    <w:qFormat/>
    <w:uiPriority w:val="0"/>
    <w:pPr>
      <w:widowControl w:val="0"/>
      <w:jc w:val="both"/>
    </w:pPr>
    <w:rPr>
      <w:b/>
      <w:bCs/>
      <w:sz w:val="24"/>
      <w:szCs w:val="24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</w:tblStylePr>
    <w:tblStylePr w:type="firstCol">
      <w:rPr>
        <w:b w:val="0"/>
        <w:bCs w:val="0"/>
      </w:rPr>
      <w:tblPr/>
    </w:tblStylePr>
    <w:tblStylePr w:type="lastCol">
      <w:rPr>
        <w:b w:val="0"/>
        <w:bCs w:val="0"/>
      </w:rPr>
      <w:tblPr/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</w:tblStylePr>
    <w:tblStylePr w:type="swCell">
      <w:rPr>
        <w:b/>
        <w:bCs/>
      </w:rPr>
      <w:tblPr/>
    </w:tblStylePr>
  </w:style>
  <w:style w:type="table" w:styleId="114">
    <w:name w:val="Table Columns 2"/>
    <w:basedOn w:val="85"/>
    <w:qFormat/>
    <w:uiPriority w:val="0"/>
    <w:pPr>
      <w:widowControl w:val="0"/>
      <w:jc w:val="both"/>
    </w:pPr>
    <w:rPr>
      <w:b/>
      <w:bCs/>
      <w:sz w:val="24"/>
      <w:szCs w:val="24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</w:tblStylePr>
    <w:tblStylePr w:type="firstCol">
      <w:rPr>
        <w:b w:val="0"/>
        <w:bCs w:val="0"/>
        <w:color w:val="000000"/>
      </w:rPr>
      <w:tblPr/>
    </w:tblStylePr>
    <w:tblStylePr w:type="lastCol">
      <w:rPr>
        <w:b w:val="0"/>
        <w:bCs w:val="0"/>
      </w:rPr>
      <w:tblPr/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</w:tblStylePr>
    <w:tblStylePr w:type="swCell">
      <w:rPr>
        <w:b/>
        <w:bCs/>
      </w:rPr>
      <w:tblPr/>
    </w:tblStylePr>
  </w:style>
  <w:style w:type="table" w:styleId="115">
    <w:name w:val="Table Columns 3"/>
    <w:basedOn w:val="85"/>
    <w:qFormat/>
    <w:uiPriority w:val="0"/>
    <w:pPr>
      <w:widowControl w:val="0"/>
      <w:jc w:val="both"/>
    </w:pPr>
    <w:rPr>
      <w:b/>
      <w:bCs/>
      <w:sz w:val="24"/>
      <w:szCs w:val="24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</w:tblStylePr>
    <w:tblStylePr w:type="lastCol">
      <w:rPr>
        <w:b w:val="0"/>
        <w:bCs w:val="0"/>
      </w:rPr>
      <w:tblPr/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</w:tblStylePr>
  </w:style>
  <w:style w:type="table" w:styleId="116">
    <w:name w:val="Table Columns 4"/>
    <w:basedOn w:val="85"/>
    <w:qFormat/>
    <w:uiPriority w:val="0"/>
    <w:pPr>
      <w:widowControl w:val="0"/>
      <w:jc w:val="both"/>
    </w:pPr>
    <w:rPr>
      <w:sz w:val="24"/>
      <w:szCs w:val="24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17">
    <w:name w:val="Table Columns 5"/>
    <w:basedOn w:val="85"/>
    <w:qFormat/>
    <w:uiPriority w:val="0"/>
    <w:pPr>
      <w:widowControl w:val="0"/>
      <w:jc w:val="both"/>
    </w:pPr>
    <w:rPr>
      <w:sz w:val="24"/>
      <w:szCs w:val="24"/>
    </w:r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18">
    <w:name w:val="Table Grid 1"/>
    <w:basedOn w:val="85"/>
    <w:qFormat/>
    <w:uiPriority w:val="0"/>
    <w:pPr>
      <w:widowControl w:val="0"/>
      <w:jc w:val="both"/>
    </w:pPr>
    <w:rPr>
      <w:sz w:val="24"/>
      <w:szCs w:val="24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</w:tblStylePr>
    <w:tblStylePr w:type="lastCol">
      <w:rPr>
        <w:i/>
        <w:iCs/>
      </w:rPr>
      <w:tblPr/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9">
    <w:name w:val="Table Grid 2"/>
    <w:basedOn w:val="85"/>
    <w:qFormat/>
    <w:uiPriority w:val="0"/>
    <w:pPr>
      <w:widowControl w:val="0"/>
      <w:jc w:val="both"/>
    </w:pPr>
    <w:rPr>
      <w:sz w:val="24"/>
      <w:szCs w:val="24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120">
    <w:name w:val="Table Grid 3"/>
    <w:basedOn w:val="85"/>
    <w:qFormat/>
    <w:uiPriority w:val="0"/>
    <w:pPr>
      <w:widowControl w:val="0"/>
      <w:jc w:val="both"/>
    </w:pPr>
    <w:rPr>
      <w:sz w:val="24"/>
      <w:szCs w:val="24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</w:tblStylePr>
    <w:tblStylePr w:type="lastCol">
      <w:rPr>
        <w:b/>
        <w:bCs/>
      </w:rPr>
      <w:tblPr/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Grid 4"/>
    <w:basedOn w:val="85"/>
    <w:qFormat/>
    <w:uiPriority w:val="0"/>
    <w:pPr>
      <w:widowControl w:val="0"/>
      <w:jc w:val="both"/>
    </w:pPr>
    <w:rPr>
      <w:sz w:val="24"/>
      <w:szCs w:val="24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</w:tblStylePr>
  </w:style>
  <w:style w:type="table" w:styleId="122">
    <w:name w:val="Table Grid 5"/>
    <w:basedOn w:val="85"/>
    <w:qFormat/>
    <w:uiPriority w:val="0"/>
    <w:pPr>
      <w:widowControl w:val="0"/>
      <w:jc w:val="both"/>
    </w:pPr>
    <w:rPr>
      <w:sz w:val="24"/>
      <w:szCs w:val="24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</w:tblStylePr>
    <w:tblStylePr w:type="lastCol">
      <w:rPr>
        <w:b/>
        <w:bCs/>
      </w:rPr>
      <w:tblPr/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3">
    <w:name w:val="Table Grid 6"/>
    <w:basedOn w:val="85"/>
    <w:qFormat/>
    <w:uiPriority w:val="0"/>
    <w:pPr>
      <w:widowControl w:val="0"/>
      <w:jc w:val="both"/>
    </w:pPr>
    <w:rPr>
      <w:sz w:val="24"/>
      <w:szCs w:val="24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4">
    <w:name w:val="Table Grid 7"/>
    <w:basedOn w:val="85"/>
    <w:qFormat/>
    <w:uiPriority w:val="0"/>
    <w:pPr>
      <w:widowControl w:val="0"/>
      <w:jc w:val="both"/>
    </w:pPr>
    <w:rPr>
      <w:b/>
      <w:bCs/>
      <w:sz w:val="24"/>
      <w:szCs w:val="24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</w:tblStylePr>
    <w:tblStylePr w:type="lastCol">
      <w:rPr>
        <w:b w:val="0"/>
        <w:bCs w:val="0"/>
      </w:rPr>
      <w:tblPr/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5">
    <w:name w:val="Table Grid 8"/>
    <w:basedOn w:val="85"/>
    <w:qFormat/>
    <w:uiPriority w:val="0"/>
    <w:pPr>
      <w:widowControl w:val="0"/>
      <w:jc w:val="both"/>
    </w:pPr>
    <w:rPr>
      <w:sz w:val="24"/>
      <w:szCs w:val="24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  <w:tblPr/>
    </w:tblStylePr>
    <w:tblStylePr w:type="lastCol">
      <w:rPr>
        <w:b/>
        <w:bCs/>
        <w:color w:val="auto"/>
      </w:rPr>
      <w:tblPr/>
    </w:tblStylePr>
  </w:style>
  <w:style w:type="table" w:styleId="126">
    <w:name w:val="Table Web 1"/>
    <w:basedOn w:val="85"/>
    <w:qFormat/>
    <w:uiPriority w:val="0"/>
    <w:pPr>
      <w:widowControl w:val="0"/>
      <w:jc w:val="both"/>
    </w:pPr>
    <w:rPr>
      <w:sz w:val="24"/>
      <w:szCs w:val="24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</w:tblStylePr>
  </w:style>
  <w:style w:type="table" w:styleId="127">
    <w:name w:val="Table Web 2"/>
    <w:basedOn w:val="85"/>
    <w:qFormat/>
    <w:uiPriority w:val="0"/>
    <w:pPr>
      <w:widowControl w:val="0"/>
      <w:jc w:val="both"/>
    </w:pPr>
    <w:rPr>
      <w:sz w:val="24"/>
      <w:szCs w:val="24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</w:tblStylePr>
  </w:style>
  <w:style w:type="table" w:styleId="128">
    <w:name w:val="Table Web 3"/>
    <w:basedOn w:val="85"/>
    <w:qFormat/>
    <w:uiPriority w:val="0"/>
    <w:pPr>
      <w:widowControl w:val="0"/>
      <w:jc w:val="both"/>
    </w:pPr>
    <w:rPr>
      <w:sz w:val="24"/>
      <w:szCs w:val="24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</w:tblStylePr>
  </w:style>
  <w:style w:type="table" w:styleId="129">
    <w:name w:val="Table Professional"/>
    <w:basedOn w:val="85"/>
    <w:qFormat/>
    <w:uiPriority w:val="0"/>
    <w:pPr>
      <w:widowControl w:val="0"/>
      <w:jc w:val="both"/>
    </w:pPr>
    <w:rPr>
      <w:sz w:val="24"/>
      <w:szCs w:val="24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character" w:styleId="131">
    <w:name w:val="Strong"/>
    <w:qFormat/>
    <w:uiPriority w:val="0"/>
    <w:rPr>
      <w:b/>
      <w:bCs/>
    </w:rPr>
  </w:style>
  <w:style w:type="character" w:styleId="132">
    <w:name w:val="endnote reference"/>
    <w:semiHidden/>
    <w:qFormat/>
    <w:uiPriority w:val="0"/>
    <w:rPr>
      <w:vertAlign w:val="superscript"/>
    </w:rPr>
  </w:style>
  <w:style w:type="character" w:styleId="133">
    <w:name w:val="page number"/>
    <w:qFormat/>
    <w:uiPriority w:val="0"/>
    <w:rPr>
      <w:rFonts w:ascii="Times New Roman" w:hAnsi="Times New Roman" w:eastAsia="宋体"/>
      <w:sz w:val="18"/>
    </w:rPr>
  </w:style>
  <w:style w:type="character" w:styleId="134">
    <w:name w:val="Emphasis"/>
    <w:qFormat/>
    <w:uiPriority w:val="20"/>
    <w:rPr>
      <w:i/>
      <w:iCs/>
    </w:rPr>
  </w:style>
  <w:style w:type="character" w:styleId="135">
    <w:name w:val="line number"/>
    <w:basedOn w:val="130"/>
    <w:qFormat/>
    <w:uiPriority w:val="0"/>
  </w:style>
  <w:style w:type="character" w:styleId="136">
    <w:name w:val="HTML Definition"/>
    <w:qFormat/>
    <w:uiPriority w:val="0"/>
    <w:rPr>
      <w:i/>
      <w:iCs/>
    </w:rPr>
  </w:style>
  <w:style w:type="character" w:styleId="137">
    <w:name w:val="HTML Typewriter"/>
    <w:qFormat/>
    <w:uiPriority w:val="0"/>
    <w:rPr>
      <w:rFonts w:ascii="Courier New" w:hAnsi="Courier New" w:cs="Courier New"/>
      <w:sz w:val="20"/>
      <w:szCs w:val="20"/>
    </w:rPr>
  </w:style>
  <w:style w:type="character" w:styleId="138">
    <w:name w:val="HTML Acronym"/>
    <w:basedOn w:val="130"/>
    <w:qFormat/>
    <w:uiPriority w:val="0"/>
  </w:style>
  <w:style w:type="character" w:styleId="139">
    <w:name w:val="HTML Variable"/>
    <w:qFormat/>
    <w:uiPriority w:val="0"/>
    <w:rPr>
      <w:i/>
      <w:iCs/>
    </w:rPr>
  </w:style>
  <w:style w:type="character" w:styleId="140">
    <w:name w:val="Hyperlink"/>
    <w:qFormat/>
    <w:uiPriority w:val="99"/>
    <w:rPr>
      <w:color w:val="0000FF"/>
      <w:spacing w:val="0"/>
      <w:w w:val="100"/>
      <w:szCs w:val="21"/>
      <w:u w:val="single"/>
    </w:rPr>
  </w:style>
  <w:style w:type="character" w:styleId="141">
    <w:name w:val="HTML Code"/>
    <w:qFormat/>
    <w:uiPriority w:val="0"/>
    <w:rPr>
      <w:rFonts w:ascii="Courier New" w:hAnsi="Courier New" w:cs="Courier New"/>
      <w:sz w:val="20"/>
      <w:szCs w:val="20"/>
    </w:rPr>
  </w:style>
  <w:style w:type="character" w:styleId="142">
    <w:name w:val="annotation reference"/>
    <w:qFormat/>
    <w:uiPriority w:val="0"/>
    <w:rPr>
      <w:sz w:val="21"/>
      <w:szCs w:val="21"/>
    </w:rPr>
  </w:style>
  <w:style w:type="character" w:styleId="143">
    <w:name w:val="HTML Cite"/>
    <w:qFormat/>
    <w:uiPriority w:val="0"/>
    <w:rPr>
      <w:i/>
      <w:iCs/>
    </w:rPr>
  </w:style>
  <w:style w:type="character" w:styleId="144">
    <w:name w:val="footnote reference"/>
    <w:semiHidden/>
    <w:qFormat/>
    <w:uiPriority w:val="0"/>
    <w:rPr>
      <w:vertAlign w:val="superscript"/>
    </w:rPr>
  </w:style>
  <w:style w:type="character" w:styleId="145">
    <w:name w:val="HTML Keyboard"/>
    <w:qFormat/>
    <w:uiPriority w:val="0"/>
    <w:rPr>
      <w:rFonts w:ascii="Courier New" w:hAnsi="Courier New" w:cs="Courier New"/>
      <w:sz w:val="20"/>
      <w:szCs w:val="20"/>
    </w:rPr>
  </w:style>
  <w:style w:type="character" w:styleId="146">
    <w:name w:val="HTML Sample"/>
    <w:qFormat/>
    <w:uiPriority w:val="0"/>
    <w:rPr>
      <w:rFonts w:ascii="Courier New" w:hAnsi="Courier New" w:cs="Courier New"/>
    </w:rPr>
  </w:style>
  <w:style w:type="paragraph" w:customStyle="1" w:styleId="147">
    <w:name w:val="注释标题1"/>
    <w:basedOn w:val="1"/>
    <w:next w:val="1"/>
    <w:link w:val="346"/>
    <w:qFormat/>
    <w:uiPriority w:val="0"/>
    <w:pPr>
      <w:ind w:firstLine="420"/>
      <w:jc w:val="center"/>
    </w:pPr>
    <w:rPr>
      <w:rFonts w:ascii="Arial" w:hAnsi="Arial" w:cs="Times New Roman"/>
      <w:kern w:val="0"/>
      <w:sz w:val="20"/>
      <w:szCs w:val="21"/>
    </w:rPr>
  </w:style>
  <w:style w:type="paragraph" w:customStyle="1" w:styleId="148">
    <w:name w:val="一级条标题"/>
    <w:next w:val="60"/>
    <w:qFormat/>
    <w:uiPriority w:val="0"/>
    <w:pPr>
      <w:spacing w:beforeLines="50" w:afterLines="50"/>
      <w:outlineLvl w:val="2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149">
    <w:name w:val="标准书脚_奇数页"/>
    <w:qFormat/>
    <w:uiPriority w:val="0"/>
    <w:pPr>
      <w:spacing w:before="120"/>
      <w:ind w:right="198"/>
      <w:jc w:val="right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50">
    <w:name w:val="标准书眉_奇数页"/>
    <w:next w:val="1"/>
    <w:qFormat/>
    <w:uiPriority w:val="0"/>
    <w:pPr>
      <w:tabs>
        <w:tab w:val="center" w:pos="4154"/>
        <w:tab w:val="right" w:pos="8306"/>
      </w:tabs>
      <w:spacing w:after="220"/>
      <w:jc w:val="right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151">
    <w:name w:val="章标题"/>
    <w:next w:val="60"/>
    <w:qFormat/>
    <w:uiPriority w:val="0"/>
    <w:pPr>
      <w:spacing w:beforeLines="100" w:afterLines="100"/>
      <w:jc w:val="both"/>
      <w:outlineLvl w:val="1"/>
    </w:pPr>
    <w:rPr>
      <w:rFonts w:ascii="黑体" w:hAnsi="Times New Roman" w:eastAsia="黑体" w:cs="Times New Roman"/>
      <w:sz w:val="21"/>
      <w:szCs w:val="24"/>
      <w:lang w:val="en-US" w:eastAsia="zh-CN" w:bidi="ar-SA"/>
    </w:rPr>
  </w:style>
  <w:style w:type="paragraph" w:customStyle="1" w:styleId="152">
    <w:name w:val="二级条标题"/>
    <w:basedOn w:val="148"/>
    <w:next w:val="60"/>
    <w:qFormat/>
    <w:uiPriority w:val="0"/>
    <w:pPr>
      <w:spacing w:before="50" w:after="50"/>
      <w:outlineLvl w:val="3"/>
    </w:pPr>
  </w:style>
  <w:style w:type="paragraph" w:customStyle="1" w:styleId="153">
    <w:name w:val="封面标准号2"/>
    <w:qFormat/>
    <w:uiPriority w:val="0"/>
    <w:pPr>
      <w:spacing w:before="357" w:line="280" w:lineRule="exact"/>
      <w:jc w:val="right"/>
    </w:pPr>
    <w:rPr>
      <w:rFonts w:ascii="黑体" w:hAnsi="Times New Roman" w:eastAsia="黑体" w:cs="Times New Roman"/>
      <w:sz w:val="28"/>
      <w:szCs w:val="28"/>
      <w:lang w:val="en-US" w:eastAsia="zh-CN" w:bidi="ar-SA"/>
    </w:rPr>
  </w:style>
  <w:style w:type="paragraph" w:customStyle="1" w:styleId="154">
    <w:name w:val="列项——（一级）"/>
    <w:qFormat/>
    <w:uiPriority w:val="0"/>
    <w:pPr>
      <w:widowControl w:val="0"/>
      <w:numPr>
        <w:ilvl w:val="0"/>
        <w:numId w:val="13"/>
      </w:numPr>
      <w:jc w:val="both"/>
    </w:pPr>
    <w:rPr>
      <w:rFonts w:ascii="宋体" w:hAnsi="Times New Roman" w:eastAsia="宋体" w:cs="Times New Roman"/>
      <w:sz w:val="21"/>
      <w:szCs w:val="24"/>
      <w:lang w:val="en-US" w:eastAsia="zh-CN" w:bidi="ar-SA"/>
    </w:rPr>
  </w:style>
  <w:style w:type="paragraph" w:customStyle="1" w:styleId="155">
    <w:name w:val="列项●（二级）"/>
    <w:qFormat/>
    <w:uiPriority w:val="0"/>
    <w:pPr>
      <w:numPr>
        <w:ilvl w:val="1"/>
        <w:numId w:val="13"/>
      </w:numPr>
      <w:tabs>
        <w:tab w:val="left" w:pos="840"/>
        <w:tab w:val="clear" w:pos="760"/>
      </w:tabs>
      <w:jc w:val="both"/>
    </w:pPr>
    <w:rPr>
      <w:rFonts w:ascii="宋体" w:hAnsi="Times New Roman" w:eastAsia="宋体" w:cs="Times New Roman"/>
      <w:sz w:val="21"/>
      <w:szCs w:val="24"/>
      <w:lang w:val="en-US" w:eastAsia="zh-CN" w:bidi="ar-SA"/>
    </w:rPr>
  </w:style>
  <w:style w:type="paragraph" w:customStyle="1" w:styleId="156">
    <w:name w:val="目次、标准名称标题"/>
    <w:basedOn w:val="1"/>
    <w:next w:val="60"/>
    <w:qFormat/>
    <w:uiPriority w:val="0"/>
    <w:pPr>
      <w:keepNext/>
      <w:pageBreakBefore/>
      <w:widowControl/>
      <w:shd w:val="clear" w:color="FFFFFF" w:fill="FFFFFF"/>
      <w:spacing w:before="640" w:after="560" w:line="460" w:lineRule="exact"/>
      <w:ind w:firstLine="420"/>
      <w:jc w:val="center"/>
      <w:outlineLvl w:val="0"/>
    </w:pPr>
    <w:rPr>
      <w:rFonts w:ascii="黑体" w:hAnsi="Times New Roman" w:eastAsia="黑体" w:cs="Times New Roman"/>
      <w:kern w:val="0"/>
      <w:sz w:val="32"/>
      <w:szCs w:val="20"/>
    </w:rPr>
  </w:style>
  <w:style w:type="paragraph" w:customStyle="1" w:styleId="157">
    <w:name w:val="三级条标题"/>
    <w:basedOn w:val="152"/>
    <w:next w:val="60"/>
    <w:qFormat/>
    <w:uiPriority w:val="0"/>
    <w:pPr>
      <w:outlineLvl w:val="4"/>
    </w:pPr>
  </w:style>
  <w:style w:type="paragraph" w:customStyle="1" w:styleId="158">
    <w:name w:val="示例"/>
    <w:next w:val="159"/>
    <w:qFormat/>
    <w:uiPriority w:val="0"/>
    <w:pPr>
      <w:widowControl w:val="0"/>
      <w:numPr>
        <w:ilvl w:val="0"/>
        <w:numId w:val="14"/>
      </w:numPr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59">
    <w:name w:val="示例内容"/>
    <w:qFormat/>
    <w:uiPriority w:val="0"/>
    <w:pPr>
      <w:ind w:firstLine="200" w:firstLineChars="200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60">
    <w:name w:val="数字编号列项（二级）"/>
    <w:qFormat/>
    <w:uiPriority w:val="0"/>
    <w:pPr>
      <w:numPr>
        <w:ilvl w:val="1"/>
        <w:numId w:val="15"/>
      </w:numPr>
      <w:tabs>
        <w:tab w:val="left" w:pos="840"/>
        <w:tab w:val="clear" w:pos="1260"/>
      </w:tabs>
      <w:jc w:val="both"/>
    </w:pPr>
    <w:rPr>
      <w:rFonts w:ascii="宋体" w:hAnsi="Times New Roman" w:eastAsia="宋体" w:cs="Times New Roman"/>
      <w:sz w:val="21"/>
      <w:szCs w:val="24"/>
      <w:lang w:val="en-US" w:eastAsia="zh-CN" w:bidi="ar-SA"/>
    </w:rPr>
  </w:style>
  <w:style w:type="paragraph" w:customStyle="1" w:styleId="161">
    <w:name w:val="四级条标题"/>
    <w:basedOn w:val="157"/>
    <w:next w:val="60"/>
    <w:qFormat/>
    <w:uiPriority w:val="0"/>
    <w:pPr>
      <w:numPr>
        <w:ilvl w:val="4"/>
        <w:numId w:val="16"/>
      </w:numPr>
      <w:outlineLvl w:val="5"/>
    </w:pPr>
  </w:style>
  <w:style w:type="paragraph" w:customStyle="1" w:styleId="162">
    <w:name w:val="五级条标题"/>
    <w:basedOn w:val="161"/>
    <w:next w:val="60"/>
    <w:qFormat/>
    <w:uiPriority w:val="0"/>
    <w:pPr>
      <w:numPr>
        <w:ilvl w:val="5"/>
      </w:numPr>
      <w:outlineLvl w:val="6"/>
    </w:pPr>
  </w:style>
  <w:style w:type="paragraph" w:customStyle="1" w:styleId="163">
    <w:name w:val="注："/>
    <w:next w:val="60"/>
    <w:qFormat/>
    <w:uiPriority w:val="0"/>
    <w:pPr>
      <w:widowControl w:val="0"/>
      <w:numPr>
        <w:ilvl w:val="0"/>
        <w:numId w:val="17"/>
      </w:numPr>
      <w:autoSpaceDE w:val="0"/>
      <w:autoSpaceDN w:val="0"/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64">
    <w:name w:val="注×："/>
    <w:qFormat/>
    <w:uiPriority w:val="0"/>
    <w:pPr>
      <w:widowControl w:val="0"/>
      <w:numPr>
        <w:ilvl w:val="0"/>
        <w:numId w:val="18"/>
      </w:numPr>
      <w:autoSpaceDE w:val="0"/>
      <w:autoSpaceDN w:val="0"/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65">
    <w:name w:val="字母编号列项（一级）"/>
    <w:qFormat/>
    <w:uiPriority w:val="0"/>
    <w:pPr>
      <w:numPr>
        <w:ilvl w:val="0"/>
        <w:numId w:val="15"/>
      </w:numPr>
      <w:jc w:val="both"/>
    </w:pPr>
    <w:rPr>
      <w:rFonts w:ascii="宋体" w:hAnsi="Times New Roman" w:eastAsia="宋体" w:cs="Times New Roman"/>
      <w:sz w:val="21"/>
      <w:szCs w:val="24"/>
      <w:lang w:val="en-US" w:eastAsia="zh-CN" w:bidi="ar-SA"/>
    </w:rPr>
  </w:style>
  <w:style w:type="paragraph" w:customStyle="1" w:styleId="166">
    <w:name w:val="列项◆（三级）"/>
    <w:basedOn w:val="1"/>
    <w:qFormat/>
    <w:uiPriority w:val="0"/>
    <w:pPr>
      <w:numPr>
        <w:ilvl w:val="2"/>
        <w:numId w:val="13"/>
      </w:numPr>
    </w:pPr>
    <w:rPr>
      <w:rFonts w:ascii="宋体" w:hAnsi="Times New Roman" w:cs="Times New Roman"/>
      <w:szCs w:val="21"/>
    </w:rPr>
  </w:style>
  <w:style w:type="paragraph" w:customStyle="1" w:styleId="167">
    <w:name w:val="编号列项（三级）"/>
    <w:qFormat/>
    <w:uiPriority w:val="0"/>
    <w:rPr>
      <w:rFonts w:ascii="宋体" w:hAnsi="Times New Roman" w:eastAsia="宋体" w:cs="Times New Roman"/>
      <w:sz w:val="21"/>
      <w:szCs w:val="24"/>
      <w:lang w:val="en-US" w:eastAsia="zh-CN" w:bidi="ar-SA"/>
    </w:rPr>
  </w:style>
  <w:style w:type="paragraph" w:customStyle="1" w:styleId="168">
    <w:name w:val="示例×："/>
    <w:basedOn w:val="151"/>
    <w:qFormat/>
    <w:uiPriority w:val="0"/>
    <w:pPr>
      <w:numPr>
        <w:ilvl w:val="0"/>
        <w:numId w:val="19"/>
      </w:numPr>
      <w:spacing w:beforeLines="0" w:afterLines="0"/>
      <w:outlineLvl w:val="9"/>
    </w:pPr>
    <w:rPr>
      <w:rFonts w:ascii="宋体" w:eastAsia="宋体"/>
      <w:sz w:val="18"/>
      <w:szCs w:val="18"/>
    </w:rPr>
  </w:style>
  <w:style w:type="paragraph" w:customStyle="1" w:styleId="169">
    <w:name w:val="二级无"/>
    <w:basedOn w:val="152"/>
    <w:qFormat/>
    <w:uiPriority w:val="0"/>
    <w:pPr>
      <w:spacing w:beforeLines="0" w:afterLines="0"/>
    </w:pPr>
    <w:rPr>
      <w:rFonts w:ascii="宋体" w:eastAsia="宋体"/>
    </w:rPr>
  </w:style>
  <w:style w:type="paragraph" w:customStyle="1" w:styleId="170">
    <w:name w:val="注：（正文）"/>
    <w:basedOn w:val="163"/>
    <w:next w:val="60"/>
    <w:qFormat/>
    <w:uiPriority w:val="0"/>
    <w:pPr>
      <w:numPr>
        <w:ilvl w:val="0"/>
        <w:numId w:val="20"/>
      </w:numPr>
    </w:pPr>
  </w:style>
  <w:style w:type="paragraph" w:customStyle="1" w:styleId="171">
    <w:name w:val="注×：（正文）"/>
    <w:qFormat/>
    <w:uiPriority w:val="0"/>
    <w:pPr>
      <w:numPr>
        <w:ilvl w:val="0"/>
        <w:numId w:val="21"/>
      </w:numPr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72">
    <w:name w:val="标准标志"/>
    <w:next w:val="1"/>
    <w:qFormat/>
    <w:uiPriority w:val="0"/>
    <w:pPr>
      <w:framePr w:w="2546" w:h="1389" w:hRule="exact" w:hSpace="181" w:vSpace="181" w:wrap="around" w:vAnchor="margin" w:hAnchor="margin" w:x="6522" w:y="398" w:anchorLock="1"/>
      <w:shd w:val="solid" w:color="FFFFFF" w:fill="FFFFFF"/>
      <w:spacing w:line="0" w:lineRule="atLeast"/>
      <w:jc w:val="right"/>
    </w:pPr>
    <w:rPr>
      <w:rFonts w:ascii="Times New Roman" w:hAnsi="Times New Roman" w:eastAsia="宋体" w:cs="Times New Roman"/>
      <w:b/>
      <w:w w:val="170"/>
      <w:sz w:val="96"/>
      <w:szCs w:val="96"/>
      <w:lang w:val="en-US" w:eastAsia="zh-CN" w:bidi="ar-SA"/>
    </w:rPr>
  </w:style>
  <w:style w:type="paragraph" w:customStyle="1" w:styleId="173">
    <w:name w:val="标准称谓"/>
    <w:next w:val="1"/>
    <w:qFormat/>
    <w:uiPriority w:val="0"/>
    <w:pPr>
      <w:framePr w:w="9639" w:h="624" w:hRule="exact" w:hSpace="181" w:vSpace="181" w:wrap="around" w:vAnchor="page" w:hAnchor="page" w:x="1419" w:y="2286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 w:hAnsi="Times New Roman" w:eastAsia="宋体" w:cs="Times New Roman"/>
      <w:b/>
      <w:bCs/>
      <w:spacing w:val="20"/>
      <w:w w:val="148"/>
      <w:sz w:val="48"/>
      <w:szCs w:val="24"/>
      <w:lang w:val="en-US" w:eastAsia="zh-CN" w:bidi="ar-SA"/>
    </w:rPr>
  </w:style>
  <w:style w:type="paragraph" w:customStyle="1" w:styleId="174">
    <w:name w:val="标准书脚_偶数页"/>
    <w:qFormat/>
    <w:uiPriority w:val="0"/>
    <w:pPr>
      <w:spacing w:before="120"/>
      <w:ind w:left="221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75">
    <w:name w:val="标准书眉_偶数页"/>
    <w:basedOn w:val="150"/>
    <w:next w:val="1"/>
    <w:qFormat/>
    <w:uiPriority w:val="0"/>
    <w:pPr>
      <w:jc w:val="left"/>
    </w:pPr>
  </w:style>
  <w:style w:type="paragraph" w:customStyle="1" w:styleId="176">
    <w:name w:val="标准书眉一"/>
    <w:qFormat/>
    <w:uiPriority w:val="0"/>
    <w:pPr>
      <w:jc w:val="both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177">
    <w:name w:val="参考文献"/>
    <w:basedOn w:val="1"/>
    <w:next w:val="60"/>
    <w:qFormat/>
    <w:uiPriority w:val="0"/>
    <w:pPr>
      <w:keepNext/>
      <w:pageBreakBefore/>
      <w:widowControl/>
      <w:shd w:val="clear" w:color="FFFFFF" w:fill="FFFFFF"/>
      <w:spacing w:before="640" w:after="200"/>
      <w:ind w:firstLine="420"/>
      <w:jc w:val="center"/>
      <w:outlineLvl w:val="0"/>
    </w:pPr>
    <w:rPr>
      <w:rFonts w:ascii="黑体" w:hAnsi="Times New Roman" w:eastAsia="黑体" w:cs="Times New Roman"/>
      <w:kern w:val="0"/>
      <w:szCs w:val="20"/>
    </w:rPr>
  </w:style>
  <w:style w:type="paragraph" w:customStyle="1" w:styleId="178">
    <w:name w:val="参考文献、索引标题"/>
    <w:basedOn w:val="1"/>
    <w:next w:val="60"/>
    <w:qFormat/>
    <w:uiPriority w:val="0"/>
    <w:pPr>
      <w:keepNext/>
      <w:pageBreakBefore/>
      <w:widowControl/>
      <w:shd w:val="clear" w:color="FFFFFF" w:fill="FFFFFF"/>
      <w:spacing w:before="640" w:after="200"/>
      <w:ind w:firstLine="420"/>
      <w:jc w:val="center"/>
      <w:outlineLvl w:val="0"/>
    </w:pPr>
    <w:rPr>
      <w:rFonts w:ascii="黑体" w:hAnsi="Times New Roman" w:eastAsia="黑体" w:cs="Times New Roman"/>
      <w:kern w:val="0"/>
      <w:szCs w:val="20"/>
    </w:rPr>
  </w:style>
  <w:style w:type="paragraph" w:customStyle="1" w:styleId="179">
    <w:name w:val="发布部门"/>
    <w:next w:val="60"/>
    <w:qFormat/>
    <w:uiPriority w:val="0"/>
    <w:pPr>
      <w:framePr w:w="7938" w:h="1134" w:hRule="exact" w:hSpace="125" w:vSpace="181" w:wrap="around" w:vAnchor="page" w:hAnchor="page" w:x="2150" w:y="14630" w:anchorLock="1"/>
      <w:jc w:val="center"/>
    </w:pPr>
    <w:rPr>
      <w:rFonts w:ascii="宋体" w:hAnsi="Times New Roman" w:eastAsia="宋体" w:cs="Times New Roman"/>
      <w:b/>
      <w:spacing w:val="20"/>
      <w:w w:val="135"/>
      <w:sz w:val="28"/>
      <w:szCs w:val="24"/>
      <w:lang w:val="en-US" w:eastAsia="zh-CN" w:bidi="ar-SA"/>
    </w:rPr>
  </w:style>
  <w:style w:type="paragraph" w:customStyle="1" w:styleId="180">
    <w:name w:val="发布日期"/>
    <w:qFormat/>
    <w:uiPriority w:val="0"/>
    <w:rPr>
      <w:rFonts w:ascii="Times New Roman" w:hAnsi="Times New Roman" w:eastAsia="黑体" w:cs="Times New Roman"/>
      <w:sz w:val="28"/>
      <w:szCs w:val="24"/>
      <w:lang w:val="en-US" w:eastAsia="zh-CN" w:bidi="ar-SA"/>
    </w:rPr>
  </w:style>
  <w:style w:type="paragraph" w:customStyle="1" w:styleId="181">
    <w:name w:val="封面标准代替信息"/>
    <w:qFormat/>
    <w:uiPriority w:val="0"/>
    <w:pPr>
      <w:spacing w:before="57" w:line="280" w:lineRule="exact"/>
      <w:jc w:val="right"/>
    </w:pPr>
    <w:rPr>
      <w:rFonts w:ascii="宋体" w:hAnsi="Times New Roman" w:eastAsia="宋体" w:cs="Times New Roman"/>
      <w:sz w:val="21"/>
      <w:szCs w:val="21"/>
      <w:lang w:val="en-US" w:eastAsia="zh-CN" w:bidi="ar-SA"/>
    </w:rPr>
  </w:style>
  <w:style w:type="paragraph" w:customStyle="1" w:styleId="182">
    <w:name w:val="封面标准号1"/>
    <w:qFormat/>
    <w:uiPriority w:val="0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rFonts w:ascii="Times New Roman" w:hAnsi="Times New Roman" w:eastAsia="宋体" w:cs="Times New Roman"/>
      <w:sz w:val="28"/>
      <w:szCs w:val="24"/>
      <w:lang w:val="en-US" w:eastAsia="zh-CN" w:bidi="ar-SA"/>
    </w:rPr>
  </w:style>
  <w:style w:type="paragraph" w:customStyle="1" w:styleId="183">
    <w:name w:val="封面标准名称"/>
    <w:qFormat/>
    <w:uiPriority w:val="0"/>
    <w:pPr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szCs w:val="24"/>
      <w:lang w:val="en-US" w:eastAsia="zh-CN" w:bidi="ar-SA"/>
    </w:rPr>
  </w:style>
  <w:style w:type="paragraph" w:customStyle="1" w:styleId="184">
    <w:name w:val="封面标准英文名称"/>
    <w:basedOn w:val="183"/>
    <w:qFormat/>
    <w:uiPriority w:val="0"/>
    <w:pPr>
      <w:framePr w:wrap="around" w:vAnchor="margin" w:hAnchor="text" w:y="1"/>
      <w:spacing w:before="370" w:line="400" w:lineRule="exact"/>
    </w:pPr>
    <w:rPr>
      <w:rFonts w:ascii="Times New Roman"/>
      <w:sz w:val="28"/>
      <w:szCs w:val="28"/>
    </w:rPr>
  </w:style>
  <w:style w:type="paragraph" w:customStyle="1" w:styleId="185">
    <w:name w:val="封面一致性程度标识"/>
    <w:basedOn w:val="184"/>
    <w:qFormat/>
    <w:uiPriority w:val="0"/>
    <w:pPr>
      <w:spacing w:before="440"/>
    </w:pPr>
    <w:rPr>
      <w:rFonts w:ascii="宋体" w:eastAsia="宋体"/>
    </w:rPr>
  </w:style>
  <w:style w:type="paragraph" w:customStyle="1" w:styleId="186">
    <w:name w:val="封面标准文稿类别"/>
    <w:basedOn w:val="185"/>
    <w:qFormat/>
    <w:uiPriority w:val="0"/>
    <w:pPr>
      <w:spacing w:after="160" w:line="240" w:lineRule="auto"/>
    </w:pPr>
    <w:rPr>
      <w:sz w:val="24"/>
    </w:rPr>
  </w:style>
  <w:style w:type="paragraph" w:customStyle="1" w:styleId="187">
    <w:name w:val="封面标准文稿编辑信息"/>
    <w:basedOn w:val="186"/>
    <w:qFormat/>
    <w:uiPriority w:val="0"/>
    <w:pPr>
      <w:spacing w:before="180" w:line="180" w:lineRule="exact"/>
    </w:pPr>
    <w:rPr>
      <w:sz w:val="21"/>
    </w:rPr>
  </w:style>
  <w:style w:type="paragraph" w:customStyle="1" w:styleId="188">
    <w:name w:val="封面正文"/>
    <w:qFormat/>
    <w:uiPriority w:val="0"/>
    <w:pPr>
      <w:jc w:val="both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189">
    <w:name w:val="附录标识"/>
    <w:basedOn w:val="1"/>
    <w:next w:val="60"/>
    <w:qFormat/>
    <w:uiPriority w:val="0"/>
    <w:pPr>
      <w:keepNext/>
      <w:widowControl/>
      <w:numPr>
        <w:ilvl w:val="0"/>
        <w:numId w:val="22"/>
      </w:numPr>
      <w:shd w:val="clear" w:color="FFFFFF" w:fill="FFFFFF"/>
      <w:tabs>
        <w:tab w:val="left" w:pos="6405"/>
      </w:tabs>
      <w:spacing w:before="640" w:after="280"/>
      <w:jc w:val="center"/>
      <w:outlineLvl w:val="0"/>
    </w:pPr>
    <w:rPr>
      <w:rFonts w:ascii="黑体" w:hAnsi="Times New Roman" w:eastAsia="黑体" w:cs="Times New Roman"/>
      <w:kern w:val="0"/>
      <w:szCs w:val="20"/>
    </w:rPr>
  </w:style>
  <w:style w:type="paragraph" w:customStyle="1" w:styleId="190">
    <w:name w:val="附录标题"/>
    <w:basedOn w:val="60"/>
    <w:next w:val="60"/>
    <w:qFormat/>
    <w:uiPriority w:val="0"/>
    <w:pPr>
      <w:ind w:firstLine="0" w:firstLineChars="0"/>
      <w:jc w:val="center"/>
    </w:pPr>
    <w:rPr>
      <w:rFonts w:ascii="黑体" w:eastAsia="黑体"/>
    </w:rPr>
  </w:style>
  <w:style w:type="paragraph" w:customStyle="1" w:styleId="191">
    <w:name w:val="附录表标号"/>
    <w:basedOn w:val="1"/>
    <w:next w:val="60"/>
    <w:qFormat/>
    <w:uiPriority w:val="0"/>
    <w:pPr>
      <w:numPr>
        <w:ilvl w:val="0"/>
        <w:numId w:val="23"/>
      </w:numPr>
      <w:spacing w:line="14" w:lineRule="exact"/>
      <w:jc w:val="center"/>
      <w:outlineLvl w:val="0"/>
    </w:pPr>
    <w:rPr>
      <w:rFonts w:ascii="Times New Roman" w:hAnsi="Times New Roman" w:cs="Times New Roman"/>
      <w:color w:val="FFFFFF"/>
      <w:szCs w:val="21"/>
    </w:rPr>
  </w:style>
  <w:style w:type="paragraph" w:customStyle="1" w:styleId="192">
    <w:name w:val="附录表标题"/>
    <w:basedOn w:val="1"/>
    <w:next w:val="60"/>
    <w:qFormat/>
    <w:uiPriority w:val="0"/>
    <w:pPr>
      <w:numPr>
        <w:ilvl w:val="1"/>
        <w:numId w:val="23"/>
      </w:numPr>
      <w:tabs>
        <w:tab w:val="left" w:pos="0"/>
      </w:tabs>
      <w:spacing w:beforeLines="50" w:afterLines="50"/>
      <w:jc w:val="center"/>
    </w:pPr>
    <w:rPr>
      <w:rFonts w:ascii="黑体" w:hAnsi="Times New Roman" w:eastAsia="黑体" w:cs="Times New Roman"/>
      <w:szCs w:val="21"/>
    </w:rPr>
  </w:style>
  <w:style w:type="paragraph" w:customStyle="1" w:styleId="193">
    <w:name w:val="附录二级条标题"/>
    <w:basedOn w:val="1"/>
    <w:next w:val="60"/>
    <w:qFormat/>
    <w:uiPriority w:val="0"/>
    <w:pPr>
      <w:widowControl/>
      <w:numPr>
        <w:ilvl w:val="3"/>
        <w:numId w:val="22"/>
      </w:numPr>
      <w:tabs>
        <w:tab w:val="left" w:pos="360"/>
      </w:tabs>
      <w:wordWrap w:val="0"/>
      <w:overflowPunct w:val="0"/>
      <w:autoSpaceDE w:val="0"/>
      <w:autoSpaceDN w:val="0"/>
      <w:spacing w:beforeLines="50" w:afterLines="50"/>
      <w:textAlignment w:val="baseline"/>
      <w:outlineLvl w:val="3"/>
    </w:pPr>
    <w:rPr>
      <w:rFonts w:ascii="黑体" w:hAnsi="Times New Roman" w:eastAsia="黑体" w:cs="Times New Roman"/>
      <w:kern w:val="21"/>
      <w:szCs w:val="20"/>
    </w:rPr>
  </w:style>
  <w:style w:type="paragraph" w:customStyle="1" w:styleId="194">
    <w:name w:val="附录二级无"/>
    <w:basedOn w:val="193"/>
    <w:qFormat/>
    <w:uiPriority w:val="0"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195">
    <w:name w:val="附录公式"/>
    <w:basedOn w:val="60"/>
    <w:next w:val="60"/>
    <w:link w:val="325"/>
    <w:qFormat/>
    <w:uiPriority w:val="0"/>
  </w:style>
  <w:style w:type="paragraph" w:customStyle="1" w:styleId="196">
    <w:name w:val="附录公式编号制表符"/>
    <w:basedOn w:val="1"/>
    <w:next w:val="60"/>
    <w:qFormat/>
    <w:uiPriority w:val="0"/>
    <w:pPr>
      <w:widowControl/>
      <w:tabs>
        <w:tab w:val="center" w:pos="4201"/>
        <w:tab w:val="right" w:leader="dot" w:pos="9298"/>
      </w:tabs>
      <w:autoSpaceDE w:val="0"/>
      <w:autoSpaceDN w:val="0"/>
      <w:ind w:firstLine="420"/>
    </w:pPr>
    <w:rPr>
      <w:rFonts w:ascii="宋体" w:hAnsi="Times New Roman" w:cs="Times New Roman"/>
      <w:kern w:val="0"/>
      <w:szCs w:val="20"/>
    </w:rPr>
  </w:style>
  <w:style w:type="paragraph" w:customStyle="1" w:styleId="197">
    <w:name w:val="附录三级条标题"/>
    <w:basedOn w:val="193"/>
    <w:next w:val="60"/>
    <w:qFormat/>
    <w:uiPriority w:val="0"/>
    <w:pPr>
      <w:numPr>
        <w:ilvl w:val="4"/>
      </w:numPr>
      <w:outlineLvl w:val="4"/>
    </w:pPr>
  </w:style>
  <w:style w:type="paragraph" w:customStyle="1" w:styleId="198">
    <w:name w:val="附录三级无"/>
    <w:basedOn w:val="197"/>
    <w:qFormat/>
    <w:uiPriority w:val="0"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199">
    <w:name w:val="附录数字编号列项（二级）"/>
    <w:qFormat/>
    <w:uiPriority w:val="0"/>
    <w:pPr>
      <w:numPr>
        <w:ilvl w:val="1"/>
        <w:numId w:val="24"/>
      </w:numPr>
      <w:tabs>
        <w:tab w:val="left" w:pos="839"/>
        <w:tab w:val="clear" w:pos="840"/>
      </w:tabs>
    </w:pPr>
    <w:rPr>
      <w:rFonts w:ascii="宋体" w:hAnsi="Times New Roman" w:eastAsia="宋体" w:cs="Times New Roman"/>
      <w:sz w:val="21"/>
      <w:szCs w:val="24"/>
      <w:lang w:val="en-US" w:eastAsia="zh-CN" w:bidi="ar-SA"/>
    </w:rPr>
  </w:style>
  <w:style w:type="paragraph" w:customStyle="1" w:styleId="200">
    <w:name w:val="附录四级条标题"/>
    <w:basedOn w:val="197"/>
    <w:next w:val="60"/>
    <w:qFormat/>
    <w:uiPriority w:val="0"/>
    <w:pPr>
      <w:numPr>
        <w:ilvl w:val="5"/>
      </w:numPr>
      <w:outlineLvl w:val="5"/>
    </w:pPr>
  </w:style>
  <w:style w:type="paragraph" w:customStyle="1" w:styleId="201">
    <w:name w:val="附录四级无"/>
    <w:basedOn w:val="200"/>
    <w:qFormat/>
    <w:uiPriority w:val="0"/>
    <w:pPr>
      <w:spacing w:beforeLines="0" w:afterLines="0"/>
    </w:pPr>
    <w:rPr>
      <w:rFonts w:ascii="宋体" w:eastAsia="宋体"/>
      <w:szCs w:val="21"/>
    </w:rPr>
  </w:style>
  <w:style w:type="paragraph" w:customStyle="1" w:styleId="202">
    <w:name w:val="附录图标号"/>
    <w:basedOn w:val="1"/>
    <w:qFormat/>
    <w:uiPriority w:val="0"/>
    <w:pPr>
      <w:keepNext/>
      <w:pageBreakBefore/>
      <w:widowControl/>
      <w:numPr>
        <w:ilvl w:val="0"/>
        <w:numId w:val="25"/>
      </w:numPr>
      <w:spacing w:line="14" w:lineRule="exact"/>
      <w:ind w:left="0" w:firstLine="363"/>
      <w:jc w:val="center"/>
      <w:outlineLvl w:val="0"/>
    </w:pPr>
    <w:rPr>
      <w:rFonts w:ascii="Times New Roman" w:hAnsi="Times New Roman" w:cs="Times New Roman"/>
      <w:color w:val="FFFFFF"/>
      <w:szCs w:val="21"/>
    </w:rPr>
  </w:style>
  <w:style w:type="paragraph" w:customStyle="1" w:styleId="203">
    <w:name w:val="附录图标题"/>
    <w:basedOn w:val="1"/>
    <w:next w:val="60"/>
    <w:qFormat/>
    <w:uiPriority w:val="0"/>
    <w:pPr>
      <w:numPr>
        <w:ilvl w:val="1"/>
        <w:numId w:val="25"/>
      </w:numPr>
      <w:tabs>
        <w:tab w:val="left" w:pos="363"/>
      </w:tabs>
      <w:spacing w:beforeLines="50" w:afterLines="50"/>
      <w:ind w:left="0" w:firstLine="0"/>
      <w:jc w:val="center"/>
    </w:pPr>
    <w:rPr>
      <w:rFonts w:ascii="黑体" w:hAnsi="Times New Roman" w:eastAsia="黑体" w:cs="Times New Roman"/>
      <w:szCs w:val="21"/>
    </w:rPr>
  </w:style>
  <w:style w:type="paragraph" w:customStyle="1" w:styleId="204">
    <w:name w:val="附录五级条标题"/>
    <w:basedOn w:val="200"/>
    <w:next w:val="60"/>
    <w:qFormat/>
    <w:uiPriority w:val="0"/>
    <w:pPr>
      <w:numPr>
        <w:ilvl w:val="6"/>
      </w:numPr>
      <w:outlineLvl w:val="6"/>
    </w:pPr>
  </w:style>
  <w:style w:type="paragraph" w:customStyle="1" w:styleId="205">
    <w:name w:val="附录五级无"/>
    <w:basedOn w:val="204"/>
    <w:qFormat/>
    <w:uiPriority w:val="0"/>
    <w:pPr>
      <w:spacing w:beforeLines="0" w:afterLines="0"/>
    </w:pPr>
    <w:rPr>
      <w:rFonts w:ascii="宋体" w:eastAsia="宋体"/>
      <w:szCs w:val="21"/>
    </w:rPr>
  </w:style>
  <w:style w:type="paragraph" w:customStyle="1" w:styleId="206">
    <w:name w:val="附录章标题"/>
    <w:next w:val="60"/>
    <w:qFormat/>
    <w:uiPriority w:val="0"/>
    <w:pPr>
      <w:numPr>
        <w:ilvl w:val="1"/>
        <w:numId w:val="22"/>
      </w:numPr>
      <w:tabs>
        <w:tab w:val="left" w:pos="360"/>
      </w:tabs>
      <w:wordWrap w:val="0"/>
      <w:overflowPunct w:val="0"/>
      <w:autoSpaceDE w:val="0"/>
      <w:spacing w:beforeLines="100" w:afterLines="100"/>
      <w:jc w:val="both"/>
      <w:textAlignment w:val="baseline"/>
      <w:outlineLvl w:val="1"/>
    </w:pPr>
    <w:rPr>
      <w:rFonts w:ascii="黑体" w:hAnsi="Times New Roman" w:eastAsia="黑体" w:cs="Times New Roman"/>
      <w:kern w:val="21"/>
      <w:sz w:val="21"/>
      <w:szCs w:val="24"/>
      <w:lang w:val="en-US" w:eastAsia="zh-CN" w:bidi="ar-SA"/>
    </w:rPr>
  </w:style>
  <w:style w:type="paragraph" w:customStyle="1" w:styleId="207">
    <w:name w:val="附录一级条标题"/>
    <w:basedOn w:val="206"/>
    <w:next w:val="60"/>
    <w:qFormat/>
    <w:uiPriority w:val="0"/>
    <w:pPr>
      <w:numPr>
        <w:ilvl w:val="2"/>
      </w:numPr>
      <w:autoSpaceDN w:val="0"/>
      <w:spacing w:beforeLines="50" w:afterLines="50"/>
      <w:outlineLvl w:val="2"/>
    </w:pPr>
  </w:style>
  <w:style w:type="paragraph" w:customStyle="1" w:styleId="208">
    <w:name w:val="附录一级无"/>
    <w:basedOn w:val="207"/>
    <w:qFormat/>
    <w:uiPriority w:val="0"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209">
    <w:name w:val="附录字母编号列项（一级）"/>
    <w:qFormat/>
    <w:uiPriority w:val="0"/>
    <w:pPr>
      <w:numPr>
        <w:ilvl w:val="0"/>
        <w:numId w:val="24"/>
      </w:numPr>
    </w:pPr>
    <w:rPr>
      <w:rFonts w:ascii="宋体" w:hAnsi="Times New Roman" w:eastAsia="宋体" w:cs="Times New Roman"/>
      <w:sz w:val="21"/>
      <w:szCs w:val="24"/>
      <w:lang w:val="en-US" w:eastAsia="zh-CN" w:bidi="ar-SA"/>
    </w:rPr>
  </w:style>
  <w:style w:type="paragraph" w:customStyle="1" w:styleId="210">
    <w:name w:val="列项说明"/>
    <w:basedOn w:val="1"/>
    <w:qFormat/>
    <w:uiPriority w:val="0"/>
    <w:pPr>
      <w:adjustRightInd w:val="0"/>
      <w:spacing w:line="320" w:lineRule="exact"/>
      <w:ind w:left="400" w:leftChars="200" w:hanging="200" w:hangingChars="200"/>
      <w:jc w:val="left"/>
      <w:textAlignment w:val="baseline"/>
    </w:pPr>
    <w:rPr>
      <w:rFonts w:ascii="宋体" w:hAnsi="Times New Roman" w:cs="Times New Roman"/>
      <w:kern w:val="0"/>
      <w:szCs w:val="20"/>
    </w:rPr>
  </w:style>
  <w:style w:type="paragraph" w:customStyle="1" w:styleId="211">
    <w:name w:val="列项说明数字编号"/>
    <w:qFormat/>
    <w:uiPriority w:val="0"/>
    <w:pPr>
      <w:ind w:left="600" w:leftChars="400" w:hanging="200" w:hangingChars="200"/>
    </w:pPr>
    <w:rPr>
      <w:rFonts w:ascii="宋体" w:hAnsi="Times New Roman" w:eastAsia="宋体" w:cs="Times New Roman"/>
      <w:sz w:val="21"/>
      <w:szCs w:val="24"/>
      <w:lang w:val="en-US" w:eastAsia="zh-CN" w:bidi="ar-SA"/>
    </w:rPr>
  </w:style>
  <w:style w:type="paragraph" w:customStyle="1" w:styleId="212">
    <w:name w:val="目次、索引正文"/>
    <w:qFormat/>
    <w:uiPriority w:val="0"/>
    <w:pPr>
      <w:spacing w:line="320" w:lineRule="exact"/>
      <w:jc w:val="both"/>
    </w:pPr>
    <w:rPr>
      <w:rFonts w:ascii="宋体" w:hAnsi="Times New Roman" w:eastAsia="宋体" w:cs="Times New Roman"/>
      <w:sz w:val="21"/>
      <w:szCs w:val="24"/>
      <w:lang w:val="en-US" w:eastAsia="zh-CN" w:bidi="ar-SA"/>
    </w:rPr>
  </w:style>
  <w:style w:type="paragraph" w:customStyle="1" w:styleId="213">
    <w:name w:val="其他标准标志"/>
    <w:basedOn w:val="172"/>
    <w:qFormat/>
    <w:uiPriority w:val="0"/>
    <w:pPr>
      <w:framePr w:w="6101" w:vAnchor="page" w:hAnchor="page" w:x="4673" w:y="942"/>
    </w:pPr>
    <w:rPr>
      <w:w w:val="130"/>
    </w:rPr>
  </w:style>
  <w:style w:type="paragraph" w:customStyle="1" w:styleId="214">
    <w:name w:val="其他标准称谓"/>
    <w:next w:val="1"/>
    <w:qFormat/>
    <w:uiPriority w:val="0"/>
    <w:pPr>
      <w:framePr w:hSpace="181" w:vSpace="181" w:wrap="around" w:vAnchor="page" w:hAnchor="page" w:x="1419" w:y="2286" w:anchorLock="1"/>
      <w:spacing w:line="0" w:lineRule="atLeast"/>
      <w:jc w:val="distribute"/>
    </w:pPr>
    <w:rPr>
      <w:rFonts w:ascii="黑体" w:hAnsi="宋体" w:eastAsia="黑体" w:cs="Times New Roman"/>
      <w:spacing w:val="-40"/>
      <w:sz w:val="48"/>
      <w:szCs w:val="52"/>
      <w:lang w:val="en-US" w:eastAsia="zh-CN" w:bidi="ar-SA"/>
    </w:rPr>
  </w:style>
  <w:style w:type="paragraph" w:customStyle="1" w:styleId="215">
    <w:name w:val="其他发布部门"/>
    <w:basedOn w:val="179"/>
    <w:qFormat/>
    <w:uiPriority w:val="0"/>
    <w:pPr>
      <w:framePr w:y="15310"/>
      <w:spacing w:line="0" w:lineRule="atLeast"/>
    </w:pPr>
    <w:rPr>
      <w:rFonts w:ascii="黑体" w:eastAsia="黑体"/>
      <w:b w:val="0"/>
    </w:rPr>
  </w:style>
  <w:style w:type="paragraph" w:customStyle="1" w:styleId="216">
    <w:name w:val="前言、引言标题"/>
    <w:next w:val="60"/>
    <w:qFormat/>
    <w:uiPriority w:val="0"/>
    <w:pPr>
      <w:keepNext/>
      <w:pageBreakBefore/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szCs w:val="24"/>
      <w:lang w:val="en-US" w:eastAsia="zh-CN" w:bidi="ar-SA"/>
    </w:rPr>
  </w:style>
  <w:style w:type="paragraph" w:customStyle="1" w:styleId="217">
    <w:name w:val="三级无"/>
    <w:basedOn w:val="157"/>
    <w:qFormat/>
    <w:uiPriority w:val="0"/>
    <w:pPr>
      <w:spacing w:beforeLines="0" w:afterLines="0"/>
    </w:pPr>
    <w:rPr>
      <w:rFonts w:ascii="宋体" w:eastAsia="宋体"/>
    </w:rPr>
  </w:style>
  <w:style w:type="paragraph" w:customStyle="1" w:styleId="218">
    <w:name w:val="实施日期"/>
    <w:basedOn w:val="180"/>
    <w:qFormat/>
    <w:uiPriority w:val="0"/>
    <w:pPr>
      <w:framePr w:wrap="around" w:vAnchor="page" w:hAnchor="text" w:y="1"/>
      <w:jc w:val="right"/>
    </w:pPr>
  </w:style>
  <w:style w:type="paragraph" w:customStyle="1" w:styleId="219">
    <w:name w:val="示例后文字"/>
    <w:basedOn w:val="60"/>
    <w:next w:val="60"/>
    <w:qFormat/>
    <w:uiPriority w:val="0"/>
    <w:pPr>
      <w:ind w:firstLine="360"/>
    </w:pPr>
    <w:rPr>
      <w:sz w:val="18"/>
    </w:rPr>
  </w:style>
  <w:style w:type="paragraph" w:customStyle="1" w:styleId="220">
    <w:name w:val="首示例"/>
    <w:next w:val="60"/>
    <w:link w:val="327"/>
    <w:qFormat/>
    <w:uiPriority w:val="0"/>
    <w:pPr>
      <w:tabs>
        <w:tab w:val="left" w:pos="360"/>
      </w:tabs>
    </w:pPr>
    <w:rPr>
      <w:rFonts w:ascii="宋体" w:hAnsi="宋体" w:eastAsia="宋体" w:cs="Times New Roman"/>
      <w:sz w:val="18"/>
      <w:szCs w:val="18"/>
      <w:lang w:val="en-US" w:eastAsia="zh-CN" w:bidi="ar-SA"/>
    </w:rPr>
  </w:style>
  <w:style w:type="paragraph" w:customStyle="1" w:styleId="221">
    <w:name w:val="四级无"/>
    <w:basedOn w:val="161"/>
    <w:qFormat/>
    <w:uiPriority w:val="0"/>
    <w:pPr>
      <w:spacing w:beforeLines="0" w:afterLines="0"/>
    </w:pPr>
    <w:rPr>
      <w:rFonts w:ascii="宋体" w:eastAsia="宋体"/>
    </w:rPr>
  </w:style>
  <w:style w:type="paragraph" w:customStyle="1" w:styleId="222">
    <w:name w:val="条文脚注"/>
    <w:basedOn w:val="64"/>
    <w:qFormat/>
    <w:uiPriority w:val="0"/>
    <w:pPr>
      <w:numPr>
        <w:numId w:val="0"/>
      </w:numPr>
      <w:jc w:val="both"/>
    </w:pPr>
  </w:style>
  <w:style w:type="paragraph" w:customStyle="1" w:styleId="223">
    <w:name w:val="图标脚注说明"/>
    <w:basedOn w:val="60"/>
    <w:qFormat/>
    <w:uiPriority w:val="0"/>
    <w:pPr>
      <w:ind w:left="840" w:hanging="420" w:firstLineChars="0"/>
    </w:pPr>
    <w:rPr>
      <w:sz w:val="18"/>
      <w:szCs w:val="18"/>
    </w:rPr>
  </w:style>
  <w:style w:type="paragraph" w:customStyle="1" w:styleId="224">
    <w:name w:val="图表脚注说明"/>
    <w:basedOn w:val="1"/>
    <w:qFormat/>
    <w:uiPriority w:val="0"/>
    <w:pPr>
      <w:ind w:left="544" w:hanging="181"/>
    </w:pPr>
    <w:rPr>
      <w:rFonts w:ascii="宋体" w:hAnsi="Times New Roman" w:cs="Times New Roman"/>
      <w:sz w:val="18"/>
      <w:szCs w:val="18"/>
    </w:rPr>
  </w:style>
  <w:style w:type="paragraph" w:customStyle="1" w:styleId="225">
    <w:name w:val="图的脚注"/>
    <w:next w:val="60"/>
    <w:qFormat/>
    <w:uiPriority w:val="0"/>
    <w:pPr>
      <w:widowControl w:val="0"/>
      <w:ind w:left="840" w:leftChars="200" w:hanging="420" w:hangingChars="200"/>
      <w:jc w:val="both"/>
    </w:pPr>
    <w:rPr>
      <w:rFonts w:ascii="宋体" w:hAnsi="Times New Roman" w:eastAsia="宋体" w:cs="Times New Roman"/>
      <w:sz w:val="18"/>
      <w:szCs w:val="24"/>
      <w:lang w:val="en-US" w:eastAsia="zh-CN" w:bidi="ar-SA"/>
    </w:rPr>
  </w:style>
  <w:style w:type="paragraph" w:customStyle="1" w:styleId="226">
    <w:name w:val="文献分类号"/>
    <w:qFormat/>
    <w:uiPriority w:val="0"/>
    <w:pPr>
      <w:widowControl w:val="0"/>
      <w:textAlignment w:val="center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227">
    <w:name w:val="五级无"/>
    <w:basedOn w:val="162"/>
    <w:qFormat/>
    <w:uiPriority w:val="0"/>
    <w:pPr>
      <w:spacing w:beforeLines="0" w:afterLines="0"/>
    </w:pPr>
    <w:rPr>
      <w:rFonts w:ascii="宋体" w:eastAsia="宋体"/>
    </w:rPr>
  </w:style>
  <w:style w:type="paragraph" w:customStyle="1" w:styleId="228">
    <w:name w:val="一级无"/>
    <w:basedOn w:val="148"/>
    <w:qFormat/>
    <w:uiPriority w:val="0"/>
    <w:pPr>
      <w:spacing w:beforeLines="0" w:afterLines="0"/>
    </w:pPr>
    <w:rPr>
      <w:rFonts w:ascii="宋体" w:eastAsia="宋体"/>
    </w:rPr>
  </w:style>
  <w:style w:type="paragraph" w:customStyle="1" w:styleId="229">
    <w:name w:val="正文表标题"/>
    <w:next w:val="60"/>
    <w:qFormat/>
    <w:uiPriority w:val="0"/>
    <w:pPr>
      <w:numPr>
        <w:ilvl w:val="0"/>
        <w:numId w:val="26"/>
      </w:numPr>
      <w:tabs>
        <w:tab w:val="left" w:pos="360"/>
      </w:tabs>
      <w:spacing w:beforeLines="50" w:afterLines="50"/>
      <w:jc w:val="center"/>
    </w:pPr>
    <w:rPr>
      <w:rFonts w:ascii="黑体" w:hAnsi="Times New Roman" w:eastAsia="黑体" w:cs="Times New Roman"/>
      <w:sz w:val="21"/>
      <w:szCs w:val="24"/>
      <w:lang w:val="en-US" w:eastAsia="zh-CN" w:bidi="ar-SA"/>
    </w:rPr>
  </w:style>
  <w:style w:type="paragraph" w:customStyle="1" w:styleId="230">
    <w:name w:val="正文公式编号制表符"/>
    <w:basedOn w:val="60"/>
    <w:next w:val="60"/>
    <w:qFormat/>
    <w:uiPriority w:val="0"/>
    <w:pPr>
      <w:ind w:firstLine="0" w:firstLineChars="0"/>
    </w:pPr>
  </w:style>
  <w:style w:type="paragraph" w:customStyle="1" w:styleId="231">
    <w:name w:val="正文图标题"/>
    <w:next w:val="60"/>
    <w:qFormat/>
    <w:uiPriority w:val="0"/>
    <w:pPr>
      <w:numPr>
        <w:ilvl w:val="0"/>
        <w:numId w:val="27"/>
      </w:numPr>
      <w:spacing w:beforeLines="50" w:afterLines="50"/>
      <w:jc w:val="center"/>
    </w:pPr>
    <w:rPr>
      <w:rFonts w:ascii="黑体" w:hAnsi="Times New Roman" w:eastAsia="黑体" w:cs="Times New Roman"/>
      <w:sz w:val="21"/>
      <w:szCs w:val="24"/>
      <w:lang w:val="en-US" w:eastAsia="zh-CN" w:bidi="ar-SA"/>
    </w:rPr>
  </w:style>
  <w:style w:type="paragraph" w:customStyle="1" w:styleId="232">
    <w:name w:val="终结线"/>
    <w:basedOn w:val="1"/>
    <w:qFormat/>
    <w:uiPriority w:val="0"/>
    <w:pPr>
      <w:framePr w:hSpace="181" w:vSpace="181" w:wrap="around" w:vAnchor="text" w:hAnchor="margin" w:xAlign="center" w:y="285"/>
      <w:ind w:firstLine="420"/>
    </w:pPr>
    <w:rPr>
      <w:rFonts w:ascii="Times New Roman" w:hAnsi="Times New Roman" w:cs="Times New Roman"/>
      <w:szCs w:val="21"/>
    </w:rPr>
  </w:style>
  <w:style w:type="paragraph" w:customStyle="1" w:styleId="233">
    <w:name w:val="其他发布日期"/>
    <w:basedOn w:val="180"/>
    <w:qFormat/>
    <w:uiPriority w:val="0"/>
    <w:pPr>
      <w:framePr w:wrap="around" w:vAnchor="page" w:hAnchor="text" w:x="1419" w:y="1"/>
    </w:pPr>
  </w:style>
  <w:style w:type="paragraph" w:customStyle="1" w:styleId="234">
    <w:name w:val="其他实施日期"/>
    <w:basedOn w:val="218"/>
    <w:qFormat/>
    <w:uiPriority w:val="0"/>
  </w:style>
  <w:style w:type="paragraph" w:customStyle="1" w:styleId="235">
    <w:name w:val="封面标准名称2"/>
    <w:basedOn w:val="183"/>
    <w:qFormat/>
    <w:uiPriority w:val="0"/>
    <w:pPr>
      <w:framePr w:wrap="around" w:vAnchor="margin" w:hAnchor="text" w:y="4469"/>
      <w:spacing w:beforeLines="630"/>
    </w:pPr>
  </w:style>
  <w:style w:type="paragraph" w:customStyle="1" w:styleId="236">
    <w:name w:val="封面标准英文名称2"/>
    <w:basedOn w:val="184"/>
    <w:qFormat/>
    <w:uiPriority w:val="0"/>
    <w:pPr>
      <w:framePr w:y="4469"/>
    </w:pPr>
  </w:style>
  <w:style w:type="paragraph" w:customStyle="1" w:styleId="237">
    <w:name w:val="封面一致性程度标识2"/>
    <w:basedOn w:val="185"/>
    <w:qFormat/>
    <w:uiPriority w:val="0"/>
    <w:pPr>
      <w:framePr w:y="4469"/>
    </w:pPr>
  </w:style>
  <w:style w:type="paragraph" w:customStyle="1" w:styleId="238">
    <w:name w:val="封面标准文稿类别2"/>
    <w:basedOn w:val="186"/>
    <w:qFormat/>
    <w:uiPriority w:val="0"/>
    <w:pPr>
      <w:framePr w:y="4469"/>
    </w:pPr>
  </w:style>
  <w:style w:type="paragraph" w:customStyle="1" w:styleId="239">
    <w:name w:val="封面标准文稿编辑信息2"/>
    <w:basedOn w:val="187"/>
    <w:qFormat/>
    <w:uiPriority w:val="0"/>
    <w:pPr>
      <w:framePr w:y="4469"/>
    </w:pPr>
  </w:style>
  <w:style w:type="paragraph" w:customStyle="1" w:styleId="240">
    <w:name w:val="TOC 标题1"/>
    <w:basedOn w:val="3"/>
    <w:next w:val="1"/>
    <w:qFormat/>
    <w:uiPriority w:val="0"/>
    <w:pPr>
      <w:widowControl/>
      <w:spacing w:before="480" w:line="276" w:lineRule="auto"/>
      <w:jc w:val="left"/>
      <w:outlineLvl w:val="9"/>
    </w:pPr>
    <w:rPr>
      <w:rFonts w:ascii="Cambria" w:hAnsi="Cambria" w:eastAsia="宋体"/>
      <w:color w:val="365F91"/>
      <w:kern w:val="0"/>
      <w:sz w:val="28"/>
      <w:szCs w:val="28"/>
    </w:rPr>
  </w:style>
  <w:style w:type="paragraph" w:customStyle="1" w:styleId="241">
    <w:name w:val="Colorful List - Accent 11"/>
    <w:basedOn w:val="1"/>
    <w:qFormat/>
    <w:uiPriority w:val="34"/>
    <w:pPr>
      <w:ind w:firstLine="200" w:firstLineChars="200"/>
    </w:pPr>
    <w:rPr>
      <w:rFonts w:ascii="Arial" w:hAnsi="Arial" w:cs="Times New Roman"/>
      <w:szCs w:val="21"/>
    </w:rPr>
  </w:style>
  <w:style w:type="paragraph" w:customStyle="1" w:styleId="242">
    <w:name w:val="列项"/>
    <w:basedOn w:val="1"/>
    <w:qFormat/>
    <w:uiPriority w:val="0"/>
    <w:pPr>
      <w:numPr>
        <w:ilvl w:val="0"/>
        <w:numId w:val="28"/>
      </w:numPr>
      <w:adjustRightInd w:val="0"/>
      <w:spacing w:line="360" w:lineRule="atLeast"/>
      <w:textAlignment w:val="baseline"/>
    </w:pPr>
    <w:rPr>
      <w:rFonts w:ascii="Arial" w:hAnsi="Arial" w:cs="Times New Roman"/>
      <w:kern w:val="0"/>
      <w:szCs w:val="21"/>
    </w:rPr>
  </w:style>
  <w:style w:type="paragraph" w:customStyle="1" w:styleId="243">
    <w:name w:val="样式1"/>
    <w:basedOn w:val="4"/>
    <w:link w:val="355"/>
    <w:qFormat/>
    <w:uiPriority w:val="0"/>
    <w:pPr>
      <w:numPr>
        <w:ilvl w:val="0"/>
        <w:numId w:val="29"/>
      </w:numPr>
    </w:pPr>
  </w:style>
  <w:style w:type="paragraph" w:customStyle="1" w:styleId="244">
    <w:name w:val="ZJ Paragraph"/>
    <w:basedOn w:val="1"/>
    <w:qFormat/>
    <w:uiPriority w:val="0"/>
    <w:pPr>
      <w:spacing w:before="120" w:after="120"/>
      <w:ind w:firstLine="420"/>
    </w:pPr>
    <w:rPr>
      <w:rFonts w:ascii="Kai" w:hAnsi="Kai" w:eastAsia="Kai" w:cs="Times New Roman"/>
      <w:sz w:val="32"/>
      <w:szCs w:val="21"/>
    </w:rPr>
  </w:style>
  <w:style w:type="paragraph" w:customStyle="1" w:styleId="245">
    <w:name w:val="List Paragraph1"/>
    <w:basedOn w:val="1"/>
    <w:qFormat/>
    <w:uiPriority w:val="0"/>
    <w:pPr>
      <w:ind w:left="720" w:firstLine="420"/>
      <w:contextualSpacing/>
    </w:pPr>
    <w:rPr>
      <w:rFonts w:ascii="Times New Roman" w:hAnsi="Times New Roman" w:cs="Times New Roman"/>
      <w:szCs w:val="21"/>
    </w:rPr>
  </w:style>
  <w:style w:type="paragraph" w:customStyle="1" w:styleId="246">
    <w:name w:val="Revision1"/>
    <w:hidden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247">
    <w:name w:val="浅色网格 - 强调文字颜色 31"/>
    <w:basedOn w:val="1"/>
    <w:qFormat/>
    <w:uiPriority w:val="72"/>
    <w:pPr>
      <w:ind w:left="720" w:firstLine="420"/>
      <w:contextualSpacing/>
    </w:pPr>
    <w:rPr>
      <w:rFonts w:ascii="Times New Roman" w:hAnsi="Times New Roman" w:cs="Times New Roman"/>
      <w:szCs w:val="21"/>
    </w:rPr>
  </w:style>
  <w:style w:type="paragraph" w:customStyle="1" w:styleId="248">
    <w:name w:val="Normal1"/>
    <w:semiHidden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宋体" w:hAnsi="Times New Roman" w:eastAsia="宋体" w:cs="Times New Roman"/>
      <w:sz w:val="34"/>
      <w:szCs w:val="24"/>
      <w:lang w:val="en-US" w:eastAsia="zh-CN" w:bidi="ar-SA"/>
    </w:rPr>
  </w:style>
  <w:style w:type="paragraph" w:customStyle="1" w:styleId="249">
    <w:name w:val="正文-通用文档模板"/>
    <w:basedOn w:val="18"/>
    <w:qFormat/>
    <w:uiPriority w:val="0"/>
    <w:pPr>
      <w:spacing w:line="360" w:lineRule="auto"/>
    </w:pPr>
    <w:rPr>
      <w:rFonts w:ascii="Times New Roman" w:hAnsi="Times New Roman"/>
    </w:rPr>
  </w:style>
  <w:style w:type="paragraph" w:customStyle="1" w:styleId="250">
    <w:name w:val="标题5-通用文档模板"/>
    <w:basedOn w:val="251"/>
    <w:qFormat/>
    <w:uiPriority w:val="0"/>
    <w:pPr>
      <w:outlineLvl w:val="4"/>
    </w:pPr>
  </w:style>
  <w:style w:type="paragraph" w:customStyle="1" w:styleId="251">
    <w:name w:val="标题4-通用文档模板"/>
    <w:basedOn w:val="5"/>
    <w:qFormat/>
    <w:uiPriority w:val="0"/>
    <w:pPr>
      <w:autoSpaceDE w:val="0"/>
      <w:autoSpaceDN w:val="0"/>
      <w:spacing w:beforeLines="25" w:afterLines="50" w:line="360" w:lineRule="auto"/>
    </w:pPr>
    <w:rPr>
      <w:rFonts w:ascii="Times New Roman" w:hAnsi="Times New Roman"/>
      <w:kern w:val="2"/>
      <w:szCs w:val="21"/>
    </w:rPr>
  </w:style>
  <w:style w:type="paragraph" w:customStyle="1" w:styleId="252">
    <w:name w:val="样式 标题 1-用户手册"/>
    <w:basedOn w:val="3"/>
    <w:semiHidden/>
    <w:qFormat/>
    <w:uiPriority w:val="0"/>
    <w:pPr>
      <w:keepNext/>
      <w:keepLines/>
      <w:pageBreakBefore/>
      <w:pBdr>
        <w:bottom w:val="threeDEmboss" w:color="auto" w:sz="12" w:space="1"/>
      </w:pBdr>
      <w:spacing w:beforeLines="0" w:afterLines="0" w:line="480" w:lineRule="auto"/>
      <w:ind w:left="2278" w:hanging="2098"/>
    </w:pPr>
    <w:rPr>
      <w:rFonts w:ascii="Arial" w:hAnsi="Arial" w:cs="宋体"/>
      <w:bCs w:val="0"/>
      <w:sz w:val="32"/>
      <w:szCs w:val="20"/>
    </w:rPr>
  </w:style>
  <w:style w:type="paragraph" w:customStyle="1" w:styleId="253">
    <w:name w:val="样式 标题 1 + 三号 底端: (阳文三维 自动设置  1.5 磅 行宽) 行距: 2 倍行距"/>
    <w:basedOn w:val="3"/>
    <w:semiHidden/>
    <w:qFormat/>
    <w:uiPriority w:val="0"/>
    <w:pPr>
      <w:keepNext/>
      <w:keepLines/>
      <w:pBdr>
        <w:bottom w:val="threeDEmboss" w:color="auto" w:sz="12" w:space="1"/>
      </w:pBdr>
      <w:spacing w:beforeLines="0" w:afterLines="0" w:line="480" w:lineRule="auto"/>
      <w:ind w:left="2198" w:firstLine="363"/>
    </w:pPr>
    <w:rPr>
      <w:rFonts w:ascii="Arial" w:hAnsi="Arial" w:cs="宋体"/>
      <w:bCs w:val="0"/>
      <w:sz w:val="32"/>
      <w:szCs w:val="20"/>
    </w:rPr>
  </w:style>
  <w:style w:type="paragraph" w:customStyle="1" w:styleId="254">
    <w:name w:val="标题2+缩进"/>
    <w:basedOn w:val="1"/>
    <w:semiHidden/>
    <w:qFormat/>
    <w:uiPriority w:val="0"/>
    <w:pPr>
      <w:ind w:firstLine="420"/>
    </w:pPr>
    <w:rPr>
      <w:rFonts w:ascii="Times New Roman" w:hAnsi="Times New Roman" w:cs="Times New Roman"/>
      <w:szCs w:val="20"/>
    </w:rPr>
  </w:style>
  <w:style w:type="paragraph" w:customStyle="1" w:styleId="255">
    <w:name w:val="样式 标题 1 + 三号 底端: (阳文三维 自动设置  1.5 磅 行宽) 行距: 2 倍行距1"/>
    <w:basedOn w:val="3"/>
    <w:semiHidden/>
    <w:qFormat/>
    <w:uiPriority w:val="0"/>
    <w:pPr>
      <w:keepNext/>
      <w:keepLines/>
      <w:pBdr>
        <w:bottom w:val="threeDEmboss" w:color="auto" w:sz="12" w:space="1"/>
      </w:pBdr>
      <w:spacing w:beforeLines="0" w:afterLines="0" w:line="480" w:lineRule="auto"/>
      <w:ind w:left="2278" w:hanging="2098"/>
    </w:pPr>
    <w:rPr>
      <w:rFonts w:ascii="Arial" w:hAnsi="Arial" w:cs="宋体"/>
      <w:bCs w:val="0"/>
      <w:sz w:val="32"/>
      <w:szCs w:val="20"/>
    </w:rPr>
  </w:style>
  <w:style w:type="paragraph" w:customStyle="1" w:styleId="256">
    <w:name w:val="样式 样式 标题 1 + 三号 底端: (阳文三维 自动设置  1.5 磅 行宽) 行距: 2 倍行距1 + 左侧:  0.74..."/>
    <w:basedOn w:val="255"/>
    <w:semiHidden/>
    <w:qFormat/>
    <w:uiPriority w:val="0"/>
    <w:pPr>
      <w:pageBreakBefore/>
      <w:numPr>
        <w:numId w:val="30"/>
      </w:numPr>
      <w:tabs>
        <w:tab w:val="left" w:pos="1500"/>
      </w:tabs>
      <w:ind w:left="1497" w:hanging="1077"/>
    </w:pPr>
  </w:style>
  <w:style w:type="paragraph" w:customStyle="1" w:styleId="257">
    <w:name w:val="标题4-用户手册"/>
    <w:basedOn w:val="5"/>
    <w:semiHidden/>
    <w:qFormat/>
    <w:uiPriority w:val="0"/>
    <w:pPr>
      <w:numPr>
        <w:ilvl w:val="0"/>
        <w:numId w:val="31"/>
      </w:numPr>
      <w:spacing w:beforeLines="100" w:afterLines="100" w:line="240" w:lineRule="atLeast"/>
      <w:ind w:left="2121" w:hanging="1701"/>
    </w:pPr>
    <w:rPr>
      <w:rFonts w:ascii="Arial" w:hAnsi="Arial"/>
      <w:kern w:val="2"/>
      <w:sz w:val="24"/>
    </w:rPr>
  </w:style>
  <w:style w:type="paragraph" w:customStyle="1" w:styleId="258">
    <w:name w:val="_Style 77"/>
    <w:basedOn w:val="1"/>
    <w:qFormat/>
    <w:uiPriority w:val="0"/>
    <w:pPr>
      <w:adjustRightInd w:val="0"/>
      <w:spacing w:line="360" w:lineRule="auto"/>
      <w:ind w:firstLine="420"/>
    </w:pPr>
    <w:rPr>
      <w:rFonts w:ascii="Arial" w:hAnsi="Arial" w:cs="Times New Roman"/>
      <w:sz w:val="18"/>
      <w:szCs w:val="20"/>
    </w:rPr>
  </w:style>
  <w:style w:type="paragraph" w:customStyle="1" w:styleId="259">
    <w:name w:val="Char"/>
    <w:basedOn w:val="1"/>
    <w:semiHidden/>
    <w:qFormat/>
    <w:uiPriority w:val="0"/>
    <w:pPr>
      <w:widowControl/>
      <w:spacing w:after="160" w:line="240" w:lineRule="exact"/>
      <w:ind w:firstLine="420"/>
      <w:jc w:val="center"/>
    </w:pPr>
    <w:rPr>
      <w:rFonts w:ascii="Verdana" w:hAnsi="Verdana" w:cs="Times New Roman"/>
      <w:kern w:val="0"/>
      <w:sz w:val="20"/>
      <w:szCs w:val="21"/>
      <w:lang w:eastAsia="en-US"/>
    </w:rPr>
  </w:style>
  <w:style w:type="paragraph" w:customStyle="1" w:styleId="260">
    <w:name w:val="标题1-通用文档模板"/>
    <w:basedOn w:val="3"/>
    <w:qFormat/>
    <w:uiPriority w:val="0"/>
    <w:pPr>
      <w:keepNext/>
      <w:pageBreakBefore/>
      <w:pBdr>
        <w:bottom w:val="threeDEmboss" w:color="auto" w:sz="12" w:space="1"/>
      </w:pBdr>
      <w:adjustRightInd w:val="0"/>
      <w:spacing w:beforeLines="0" w:afterLines="0" w:line="480" w:lineRule="auto"/>
    </w:pPr>
    <w:rPr>
      <w:bCs w:val="0"/>
      <w:sz w:val="32"/>
      <w:szCs w:val="32"/>
    </w:rPr>
  </w:style>
  <w:style w:type="paragraph" w:customStyle="1" w:styleId="261">
    <w:name w:val="标题2-通用文档模板"/>
    <w:basedOn w:val="1"/>
    <w:qFormat/>
    <w:uiPriority w:val="0"/>
    <w:pPr>
      <w:keepNext/>
      <w:keepLines/>
      <w:adjustRightInd w:val="0"/>
      <w:spacing w:beforeLines="50" w:afterLines="50" w:line="300" w:lineRule="auto"/>
      <w:ind w:firstLine="420"/>
      <w:jc w:val="left"/>
      <w:outlineLvl w:val="1"/>
    </w:pPr>
    <w:rPr>
      <w:rFonts w:ascii="Times New Roman" w:hAnsi="Times New Roman" w:eastAsia="黑体" w:cs="Times New Roman"/>
      <w:kern w:val="0"/>
      <w:sz w:val="28"/>
      <w:szCs w:val="28"/>
    </w:rPr>
  </w:style>
  <w:style w:type="paragraph" w:customStyle="1" w:styleId="262">
    <w:name w:val="样式 标题 3 +"/>
    <w:basedOn w:val="4"/>
    <w:semiHidden/>
    <w:qFormat/>
    <w:uiPriority w:val="0"/>
    <w:pPr>
      <w:adjustRightInd w:val="0"/>
      <w:spacing w:afterLines="50" w:line="300" w:lineRule="auto"/>
    </w:pPr>
    <w:rPr>
      <w:bCs w:val="0"/>
      <w:sz w:val="24"/>
      <w:szCs w:val="20"/>
    </w:rPr>
  </w:style>
  <w:style w:type="paragraph" w:customStyle="1" w:styleId="263">
    <w:name w:val="标题3-通用文档模板"/>
    <w:basedOn w:val="262"/>
    <w:qFormat/>
    <w:uiPriority w:val="0"/>
    <w:rPr>
      <w:rFonts w:ascii="Times New Roman" w:hAnsi="Times New Roman"/>
      <w:szCs w:val="24"/>
    </w:rPr>
  </w:style>
  <w:style w:type="paragraph" w:customStyle="1" w:styleId="264">
    <w:name w:val="标题2-用户手册"/>
    <w:basedOn w:val="1"/>
    <w:semiHidden/>
    <w:qFormat/>
    <w:uiPriority w:val="0"/>
    <w:pPr>
      <w:numPr>
        <w:ilvl w:val="1"/>
        <w:numId w:val="32"/>
      </w:numPr>
      <w:tabs>
        <w:tab w:val="left" w:pos="3495"/>
      </w:tabs>
    </w:pPr>
    <w:rPr>
      <w:rFonts w:ascii="Times New Roman" w:hAnsi="Times New Roman" w:cs="Times New Roman"/>
      <w:szCs w:val="20"/>
    </w:rPr>
  </w:style>
  <w:style w:type="paragraph" w:customStyle="1" w:styleId="265">
    <w:name w:val="文档名称-通用文档模板"/>
    <w:basedOn w:val="81"/>
    <w:qFormat/>
    <w:uiPriority w:val="0"/>
    <w:pPr>
      <w:adjustRightInd w:val="0"/>
      <w:spacing w:before="3000" w:after="120" w:line="300" w:lineRule="auto"/>
      <w:ind w:right="34" w:rightChars="16"/>
      <w:outlineLvl w:val="9"/>
    </w:pPr>
    <w:rPr>
      <w:rFonts w:ascii="黑体" w:hAnsi="Arial" w:eastAsia="黑体"/>
      <w:b w:val="0"/>
      <w:bCs w:val="0"/>
      <w:color w:val="auto"/>
      <w:sz w:val="52"/>
      <w:szCs w:val="20"/>
    </w:rPr>
  </w:style>
  <w:style w:type="paragraph" w:customStyle="1" w:styleId="266">
    <w:name w:val="前言标题-通用文档模板"/>
    <w:basedOn w:val="248"/>
    <w:qFormat/>
    <w:uiPriority w:val="0"/>
    <w:pPr>
      <w:widowControl/>
      <w:autoSpaceDE w:val="0"/>
      <w:autoSpaceDN w:val="0"/>
      <w:spacing w:before="720" w:after="480" w:line="240" w:lineRule="atLeast"/>
      <w:jc w:val="center"/>
      <w:textAlignment w:val="bottom"/>
      <w:outlineLvl w:val="0"/>
    </w:pPr>
    <w:rPr>
      <w:rFonts w:ascii="Arial" w:hAnsi="Arial" w:eastAsia="黑体"/>
      <w:sz w:val="30"/>
    </w:rPr>
  </w:style>
  <w:style w:type="paragraph" w:customStyle="1" w:styleId="267">
    <w:name w:val="Char1 Char Char Char"/>
    <w:basedOn w:val="23"/>
    <w:qFormat/>
    <w:uiPriority w:val="0"/>
    <w:rPr>
      <w:rFonts w:ascii="Tahoma" w:hAnsi="Tahoma"/>
      <w:sz w:val="24"/>
    </w:rPr>
  </w:style>
  <w:style w:type="paragraph" w:customStyle="1" w:styleId="268">
    <w:name w:val="Char3 Char Char Char Char Char Char Char Char Char Char Char Char Char Char"/>
    <w:basedOn w:val="1"/>
    <w:qFormat/>
    <w:uiPriority w:val="0"/>
    <w:pPr>
      <w:adjustRightInd w:val="0"/>
      <w:spacing w:line="360" w:lineRule="auto"/>
      <w:ind w:firstLine="420"/>
    </w:pPr>
    <w:rPr>
      <w:rFonts w:ascii="Times New Roman" w:hAnsi="Times New Roman" w:cs="Times New Roman"/>
      <w:szCs w:val="20"/>
    </w:rPr>
  </w:style>
  <w:style w:type="paragraph" w:customStyle="1" w:styleId="269">
    <w:name w:val="Char Char2"/>
    <w:basedOn w:val="1"/>
    <w:qFormat/>
    <w:uiPriority w:val="0"/>
    <w:pPr>
      <w:spacing w:line="360" w:lineRule="auto"/>
      <w:ind w:firstLine="420"/>
    </w:pPr>
    <w:rPr>
      <w:rFonts w:ascii="Tahoma" w:hAnsi="Tahoma" w:cs="Times New Roman"/>
      <w:sz w:val="24"/>
      <w:szCs w:val="20"/>
    </w:rPr>
  </w:style>
  <w:style w:type="paragraph" w:customStyle="1" w:styleId="270">
    <w:name w:val="Char2 Char Char"/>
    <w:basedOn w:val="1"/>
    <w:qFormat/>
    <w:uiPriority w:val="0"/>
    <w:pPr>
      <w:spacing w:line="360" w:lineRule="auto"/>
      <w:ind w:firstLine="420"/>
    </w:pPr>
    <w:rPr>
      <w:rFonts w:ascii="Tahoma" w:hAnsi="Tahoma" w:cs="Times New Roman"/>
      <w:sz w:val="24"/>
      <w:szCs w:val="20"/>
    </w:rPr>
  </w:style>
  <w:style w:type="paragraph" w:customStyle="1" w:styleId="271">
    <w:name w:val="缩进 Char Char Char Char"/>
    <w:basedOn w:val="18"/>
    <w:qFormat/>
    <w:uiPriority w:val="0"/>
    <w:pPr>
      <w:spacing w:beforeLines="50" w:afterLines="50" w:line="360" w:lineRule="auto"/>
      <w:ind w:firstLine="480"/>
    </w:pPr>
    <w:rPr>
      <w:rFonts w:ascii="Tahoma" w:hAnsi="Tahoma"/>
      <w:sz w:val="24"/>
    </w:rPr>
  </w:style>
  <w:style w:type="paragraph" w:customStyle="1" w:styleId="272">
    <w:name w:val="Char2 Char Char Char Char Char"/>
    <w:basedOn w:val="1"/>
    <w:qFormat/>
    <w:uiPriority w:val="0"/>
    <w:pPr>
      <w:ind w:firstLine="420"/>
    </w:pPr>
    <w:rPr>
      <w:rFonts w:ascii="Tahoma" w:hAnsi="Tahoma" w:cs="Times New Roman"/>
      <w:sz w:val="24"/>
      <w:szCs w:val="20"/>
    </w:rPr>
  </w:style>
  <w:style w:type="paragraph" w:customStyle="1" w:styleId="273">
    <w:name w:val="Char Char Char"/>
    <w:basedOn w:val="1"/>
    <w:qFormat/>
    <w:uiPriority w:val="0"/>
    <w:pPr>
      <w:ind w:firstLine="420"/>
    </w:pPr>
    <w:rPr>
      <w:rFonts w:ascii="Tahoma" w:hAnsi="Tahoma" w:cs="Times New Roman"/>
      <w:sz w:val="24"/>
      <w:szCs w:val="20"/>
    </w:rPr>
  </w:style>
  <w:style w:type="paragraph" w:customStyle="1" w:styleId="274">
    <w:name w:val="Char Char"/>
    <w:basedOn w:val="1"/>
    <w:qFormat/>
    <w:uiPriority w:val="0"/>
    <w:pPr>
      <w:spacing w:line="288" w:lineRule="auto"/>
      <w:ind w:firstLine="420"/>
    </w:pPr>
    <w:rPr>
      <w:rFonts w:ascii="Tahoma" w:hAnsi="Tahoma" w:cs="Times New Roman"/>
      <w:sz w:val="24"/>
      <w:szCs w:val="20"/>
    </w:rPr>
  </w:style>
  <w:style w:type="paragraph" w:customStyle="1" w:styleId="275">
    <w:name w:val="声明标题"/>
    <w:basedOn w:val="1"/>
    <w:qFormat/>
    <w:uiPriority w:val="0"/>
    <w:pPr>
      <w:widowControl/>
      <w:overflowPunct w:val="0"/>
      <w:autoSpaceDE w:val="0"/>
      <w:autoSpaceDN w:val="0"/>
      <w:adjustRightInd w:val="0"/>
      <w:spacing w:before="1680" w:after="600" w:line="400" w:lineRule="exact"/>
      <w:ind w:hanging="108"/>
      <w:jc w:val="left"/>
      <w:textAlignment w:val="baseline"/>
    </w:pPr>
    <w:rPr>
      <w:rFonts w:ascii="Arial" w:hAnsi="Arial" w:eastAsia="黑体" w:cs="Times New Roman"/>
      <w:b/>
      <w:bCs/>
      <w:kern w:val="0"/>
      <w:sz w:val="36"/>
      <w:szCs w:val="20"/>
    </w:rPr>
  </w:style>
  <w:style w:type="paragraph" w:customStyle="1" w:styleId="276">
    <w:name w:val="版权"/>
    <w:basedOn w:val="1"/>
    <w:qFormat/>
    <w:uiPriority w:val="0"/>
    <w:pPr>
      <w:spacing w:before="120" w:line="400" w:lineRule="exact"/>
      <w:ind w:hanging="108"/>
      <w:jc w:val="center"/>
    </w:pPr>
    <w:rPr>
      <w:rFonts w:ascii="楷体_GB2312" w:hAnsi="Tahoma" w:eastAsia="楷体_GB2312" w:cs="Times New Roman"/>
      <w:b/>
      <w:bCs/>
      <w:sz w:val="24"/>
      <w:szCs w:val="20"/>
    </w:rPr>
  </w:style>
  <w:style w:type="paragraph" w:customStyle="1" w:styleId="277">
    <w:name w:val="信息标题2"/>
    <w:basedOn w:val="19"/>
    <w:next w:val="19"/>
    <w:qFormat/>
    <w:uiPriority w:val="0"/>
    <w:pPr>
      <w:spacing w:before="120" w:after="240" w:line="400" w:lineRule="exact"/>
      <w:ind w:hanging="108"/>
      <w:jc w:val="left"/>
    </w:pPr>
    <w:rPr>
      <w:rFonts w:ascii="Arial Black" w:hAnsi="Arial Black" w:cs="Times New Roman"/>
      <w:bCs/>
      <w:sz w:val="30"/>
    </w:rPr>
  </w:style>
  <w:style w:type="paragraph" w:customStyle="1" w:styleId="278">
    <w:name w:val="表格栏头"/>
    <w:basedOn w:val="279"/>
    <w:next w:val="279"/>
    <w:qFormat/>
    <w:uiPriority w:val="0"/>
    <w:rPr>
      <w:b/>
    </w:rPr>
  </w:style>
  <w:style w:type="paragraph" w:customStyle="1" w:styleId="279">
    <w:name w:val="表格正文"/>
    <w:basedOn w:val="1"/>
    <w:link w:val="362"/>
    <w:qFormat/>
    <w:uiPriority w:val="0"/>
    <w:pPr>
      <w:framePr w:hSpace="180" w:wrap="around" w:vAnchor="text" w:hAnchor="page" w:x="1736" w:y="1094"/>
      <w:widowControl/>
      <w:overflowPunct w:val="0"/>
      <w:autoSpaceDE w:val="0"/>
      <w:autoSpaceDN w:val="0"/>
      <w:adjustRightInd w:val="0"/>
      <w:spacing w:before="60" w:afterLines="50" w:line="400" w:lineRule="exact"/>
      <w:ind w:firstLine="420"/>
      <w:textAlignment w:val="baseline"/>
    </w:pPr>
    <w:rPr>
      <w:rFonts w:ascii="宋体" w:hAnsi="宋体" w:cs="Times New Roman"/>
      <w:bCs/>
      <w:kern w:val="0"/>
      <w:sz w:val="20"/>
      <w:szCs w:val="20"/>
    </w:rPr>
  </w:style>
  <w:style w:type="paragraph" w:customStyle="1" w:styleId="280">
    <w:name w:val="Char2 Char Char Char Char Char1 Char Char Char Char Char Char"/>
    <w:basedOn w:val="1"/>
    <w:qFormat/>
    <w:uiPriority w:val="0"/>
    <w:pPr>
      <w:ind w:firstLine="420"/>
    </w:pPr>
    <w:rPr>
      <w:rFonts w:ascii="Tahoma" w:hAnsi="Tahoma" w:cs="Times New Roman"/>
      <w:sz w:val="24"/>
      <w:szCs w:val="20"/>
    </w:rPr>
  </w:style>
  <w:style w:type="paragraph" w:customStyle="1" w:styleId="281">
    <w:name w:val="Table Text"/>
    <w:basedOn w:val="1"/>
    <w:qFormat/>
    <w:uiPriority w:val="0"/>
    <w:pPr>
      <w:widowControl/>
      <w:spacing w:before="60" w:after="60"/>
      <w:ind w:firstLine="420"/>
      <w:jc w:val="left"/>
    </w:pPr>
    <w:rPr>
      <w:rFonts w:ascii="Times New Roman" w:hAnsi="Times New Roman" w:cs="Times New Roman"/>
      <w:kern w:val="0"/>
      <w:szCs w:val="21"/>
    </w:rPr>
  </w:style>
  <w:style w:type="paragraph" w:customStyle="1" w:styleId="282">
    <w:name w:val="Char4 Char Char"/>
    <w:basedOn w:val="1"/>
    <w:semiHidden/>
    <w:qFormat/>
    <w:uiPriority w:val="0"/>
    <w:pPr>
      <w:ind w:firstLine="200" w:firstLineChars="200"/>
      <w:jc w:val="left"/>
    </w:pPr>
    <w:rPr>
      <w:rFonts w:ascii="Tahoma" w:hAnsi="Tahoma" w:cs="Times New Roman"/>
      <w:sz w:val="24"/>
      <w:szCs w:val="21"/>
    </w:rPr>
  </w:style>
  <w:style w:type="paragraph" w:customStyle="1" w:styleId="283">
    <w:name w:val="样式 正文缩进正文（首行缩进两字）表正文正文非缩进标题4 + 行距: 1.5 倍行距"/>
    <w:basedOn w:val="18"/>
    <w:qFormat/>
    <w:uiPriority w:val="0"/>
    <w:pPr>
      <w:spacing w:line="360" w:lineRule="auto"/>
      <w:ind w:firstLine="0" w:firstLineChars="0"/>
    </w:pPr>
    <w:rPr>
      <w:spacing w:val="4"/>
      <w:sz w:val="24"/>
      <w:szCs w:val="20"/>
    </w:rPr>
  </w:style>
  <w:style w:type="paragraph" w:customStyle="1" w:styleId="284">
    <w:name w:val="缩进 Char Char"/>
    <w:basedOn w:val="18"/>
    <w:qFormat/>
    <w:uiPriority w:val="0"/>
    <w:pPr>
      <w:spacing w:beforeLines="50" w:afterLines="50" w:line="360" w:lineRule="auto"/>
      <w:ind w:firstLine="480"/>
    </w:pPr>
    <w:rPr>
      <w:rFonts w:ascii="Tahoma" w:hAnsi="Tahoma"/>
      <w:sz w:val="24"/>
    </w:rPr>
  </w:style>
  <w:style w:type="paragraph" w:customStyle="1" w:styleId="285">
    <w:name w:val="Char2 Char Char Char Char Char1 Char Char Char Char Char Char Char Char Char"/>
    <w:basedOn w:val="1"/>
    <w:qFormat/>
    <w:uiPriority w:val="0"/>
    <w:pPr>
      <w:ind w:firstLine="420"/>
    </w:pPr>
    <w:rPr>
      <w:rFonts w:ascii="Tahoma" w:hAnsi="Tahoma" w:cs="Times New Roman"/>
      <w:sz w:val="24"/>
      <w:szCs w:val="20"/>
    </w:rPr>
  </w:style>
  <w:style w:type="paragraph" w:customStyle="1" w:styleId="286">
    <w:name w:val="Char Char1"/>
    <w:basedOn w:val="1"/>
    <w:qFormat/>
    <w:uiPriority w:val="0"/>
    <w:pPr>
      <w:spacing w:line="360" w:lineRule="auto"/>
      <w:ind w:firstLine="420"/>
    </w:pPr>
    <w:rPr>
      <w:rFonts w:ascii="Tahoma" w:hAnsi="Tahoma" w:cs="Times New Roman"/>
      <w:sz w:val="24"/>
      <w:szCs w:val="20"/>
    </w:rPr>
  </w:style>
  <w:style w:type="paragraph" w:customStyle="1" w:styleId="287">
    <w:name w:val="WW_Table_Title"/>
    <w:basedOn w:val="1"/>
    <w:next w:val="1"/>
    <w:qFormat/>
    <w:uiPriority w:val="0"/>
    <w:pPr>
      <w:keepNext/>
      <w:keepLines/>
      <w:widowControl/>
      <w:spacing w:before="240" w:after="60"/>
      <w:ind w:firstLine="420"/>
      <w:jc w:val="left"/>
    </w:pPr>
    <w:rPr>
      <w:rFonts w:ascii="Futura Bk" w:hAnsi="Futura Bk" w:cs="Times New Roman"/>
      <w:b/>
      <w:kern w:val="0"/>
      <w:sz w:val="18"/>
      <w:szCs w:val="20"/>
      <w:lang w:eastAsia="en-US"/>
    </w:rPr>
  </w:style>
  <w:style w:type="paragraph" w:customStyle="1" w:styleId="288">
    <w:name w:val="正文4"/>
    <w:basedOn w:val="1"/>
    <w:qFormat/>
    <w:uiPriority w:val="0"/>
    <w:pPr>
      <w:tabs>
        <w:tab w:val="left" w:pos="360"/>
      </w:tabs>
      <w:spacing w:before="60" w:after="60" w:line="360" w:lineRule="auto"/>
      <w:ind w:firstLine="420"/>
    </w:pPr>
    <w:rPr>
      <w:rFonts w:ascii="Times New Roman" w:hAnsi="Times New Roman" w:cs="Times New Roman"/>
      <w:sz w:val="24"/>
      <w:szCs w:val="21"/>
    </w:rPr>
  </w:style>
  <w:style w:type="paragraph" w:customStyle="1" w:styleId="289">
    <w:name w:val="正文6后正文"/>
    <w:basedOn w:val="1"/>
    <w:qFormat/>
    <w:uiPriority w:val="0"/>
    <w:pPr>
      <w:spacing w:before="60" w:after="60" w:line="360" w:lineRule="auto"/>
      <w:ind w:left="777" w:leftChars="370" w:firstLine="480" w:firstLineChars="200"/>
    </w:pPr>
    <w:rPr>
      <w:rFonts w:ascii="Times New Roman" w:hAnsi="Times New Roman" w:cs="Times New Roman"/>
      <w:sz w:val="24"/>
      <w:szCs w:val="20"/>
    </w:rPr>
  </w:style>
  <w:style w:type="paragraph" w:customStyle="1" w:styleId="290">
    <w:name w:val="Char Char2 Char"/>
    <w:basedOn w:val="1"/>
    <w:qFormat/>
    <w:uiPriority w:val="0"/>
    <w:pPr>
      <w:spacing w:line="360" w:lineRule="auto"/>
      <w:ind w:firstLine="420"/>
    </w:pPr>
    <w:rPr>
      <w:rFonts w:ascii="Tahoma" w:hAnsi="Tahoma" w:cs="Times New Roman"/>
      <w:sz w:val="24"/>
      <w:szCs w:val="20"/>
    </w:rPr>
  </w:style>
  <w:style w:type="paragraph" w:customStyle="1" w:styleId="291">
    <w:name w:val="表格首行"/>
    <w:basedOn w:val="1"/>
    <w:qFormat/>
    <w:uiPriority w:val="0"/>
    <w:pPr>
      <w:ind w:firstLine="200" w:firstLineChars="200"/>
      <w:jc w:val="center"/>
    </w:pPr>
    <w:rPr>
      <w:rFonts w:ascii="宋体" w:hAnsi="宋体" w:cs="Times New Roman"/>
      <w:szCs w:val="21"/>
    </w:rPr>
  </w:style>
  <w:style w:type="paragraph" w:customStyle="1" w:styleId="292">
    <w:name w:val="样式 测试表格"/>
    <w:basedOn w:val="1"/>
    <w:qFormat/>
    <w:uiPriority w:val="0"/>
    <w:pPr>
      <w:spacing w:line="360" w:lineRule="auto"/>
      <w:ind w:firstLine="420"/>
      <w:jc w:val="left"/>
    </w:pPr>
    <w:rPr>
      <w:rFonts w:ascii="Courier New" w:hAnsi="Courier New" w:cs="Times New Roman"/>
      <w:bCs/>
      <w:szCs w:val="21"/>
    </w:rPr>
  </w:style>
  <w:style w:type="paragraph" w:customStyle="1" w:styleId="293">
    <w:name w:val="Char2 Char Char Char Char Char1 Char Char Char Char Char Char Char Char Char Char1"/>
    <w:basedOn w:val="1"/>
    <w:qFormat/>
    <w:uiPriority w:val="0"/>
    <w:pPr>
      <w:ind w:firstLine="420"/>
    </w:pPr>
    <w:rPr>
      <w:rFonts w:ascii="Tahoma" w:hAnsi="Tahoma" w:cs="Times New Roman"/>
      <w:sz w:val="24"/>
      <w:szCs w:val="20"/>
    </w:rPr>
  </w:style>
  <w:style w:type="paragraph" w:customStyle="1" w:styleId="294">
    <w:name w:val="浅色列表 - 强调文字颜色 31"/>
    <w:hidden/>
    <w:qFormat/>
    <w:uiPriority w:val="71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295">
    <w:name w:val="TOC 标题11"/>
    <w:basedOn w:val="3"/>
    <w:next w:val="1"/>
    <w:unhideWhenUsed/>
    <w:qFormat/>
    <w:uiPriority w:val="39"/>
    <w:pPr>
      <w:widowControl/>
      <w:spacing w:before="480" w:line="276" w:lineRule="auto"/>
      <w:jc w:val="left"/>
      <w:outlineLvl w:val="9"/>
    </w:pPr>
    <w:rPr>
      <w:rFonts w:ascii="Cambria" w:hAnsi="Cambria" w:eastAsia="宋体"/>
      <w:color w:val="365F91"/>
      <w:kern w:val="0"/>
      <w:sz w:val="28"/>
      <w:szCs w:val="28"/>
    </w:rPr>
  </w:style>
  <w:style w:type="paragraph" w:customStyle="1" w:styleId="296">
    <w:name w:val="Colorful Shading - Accent 11"/>
    <w:hidden/>
    <w:semiHidden/>
    <w:qFormat/>
    <w:uiPriority w:val="71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297">
    <w:name w:val="样式 首行缩进:  0.74 厘米"/>
    <w:basedOn w:val="1"/>
    <w:qFormat/>
    <w:uiPriority w:val="0"/>
    <w:pPr>
      <w:adjustRightInd w:val="0"/>
      <w:spacing w:line="312" w:lineRule="auto"/>
      <w:ind w:firstLine="420"/>
      <w:textAlignment w:val="bottom"/>
    </w:pPr>
    <w:rPr>
      <w:rFonts w:ascii="Times New Roman" w:hAnsi="Times New Roman" w:cs="宋体"/>
      <w:kern w:val="0"/>
      <w:sz w:val="22"/>
      <w:szCs w:val="20"/>
    </w:rPr>
  </w:style>
  <w:style w:type="paragraph" w:customStyle="1" w:styleId="298">
    <w:name w:val="修订1"/>
    <w:hidden/>
    <w:qFormat/>
    <w:uiPriority w:val="71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299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300">
    <w:name w:val="列出段落1"/>
    <w:basedOn w:val="1"/>
    <w:qFormat/>
    <w:uiPriority w:val="34"/>
    <w:pPr>
      <w:ind w:firstLine="200" w:firstLineChars="200"/>
    </w:pPr>
    <w:rPr>
      <w:rFonts w:ascii="Times New Roman" w:hAnsi="Times New Roman" w:cs="Times New Roman"/>
      <w:szCs w:val="21"/>
    </w:rPr>
  </w:style>
  <w:style w:type="paragraph" w:customStyle="1" w:styleId="301">
    <w:name w:val="样式2"/>
    <w:basedOn w:val="1"/>
    <w:link w:val="363"/>
    <w:qFormat/>
    <w:uiPriority w:val="0"/>
    <w:pPr>
      <w:ind w:firstLine="420"/>
    </w:pPr>
    <w:rPr>
      <w:rFonts w:ascii="Times New Roman" w:hAnsi="Times New Roman" w:cs="Times New Roman"/>
      <w:szCs w:val="21"/>
    </w:rPr>
  </w:style>
  <w:style w:type="paragraph" w:customStyle="1" w:styleId="302">
    <w:name w:val="1.1.1.1"/>
    <w:basedOn w:val="301"/>
    <w:qFormat/>
    <w:uiPriority w:val="0"/>
    <w:pPr>
      <w:outlineLvl w:val="4"/>
    </w:pPr>
  </w:style>
  <w:style w:type="paragraph" w:customStyle="1" w:styleId="303">
    <w:name w:val="表格标题2"/>
    <w:basedOn w:val="1"/>
    <w:qFormat/>
    <w:uiPriority w:val="0"/>
    <w:pPr>
      <w:ind w:firstLine="420"/>
      <w:jc w:val="center"/>
    </w:pPr>
    <w:rPr>
      <w:rFonts w:ascii="Arial" w:hAnsi="Arial" w:cs="Times New Roman"/>
      <w:b/>
      <w:sz w:val="18"/>
      <w:szCs w:val="18"/>
    </w:rPr>
  </w:style>
  <w:style w:type="paragraph" w:customStyle="1" w:styleId="304">
    <w:name w:val="正文 A"/>
    <w:qFormat/>
    <w:uiPriority w:val="0"/>
    <w:pPr>
      <w:widowControl w:val="0"/>
      <w:jc w:val="both"/>
    </w:pPr>
    <w:rPr>
      <w:rFonts w:ascii="Times New Roman" w:hAnsi="Arial Unicode MS" w:eastAsia="Arial Unicode MS" w:cs="Arial Unicode MS"/>
      <w:color w:val="000000"/>
      <w:kern w:val="2"/>
      <w:sz w:val="21"/>
      <w:szCs w:val="21"/>
      <w:u w:color="000000"/>
      <w:lang w:val="en-US" w:eastAsia="zh-CN" w:bidi="ar-SA"/>
    </w:rPr>
  </w:style>
  <w:style w:type="paragraph" w:customStyle="1" w:styleId="305">
    <w:name w:val="页眉与页脚"/>
    <w:qFormat/>
    <w:uiPriority w:val="0"/>
    <w:pPr>
      <w:tabs>
        <w:tab w:val="right" w:pos="9020"/>
      </w:tabs>
    </w:pPr>
    <w:rPr>
      <w:rFonts w:ascii="Helvetica" w:hAnsi="Arial Unicode MS" w:eastAsia="Arial Unicode MS" w:cs="Arial Unicode MS"/>
      <w:color w:val="000000"/>
      <w:sz w:val="24"/>
      <w:szCs w:val="24"/>
      <w:lang w:val="en-US" w:eastAsia="zh-CN" w:bidi="ar-SA"/>
    </w:rPr>
  </w:style>
  <w:style w:type="paragraph" w:customStyle="1" w:styleId="306">
    <w:name w:val="例子"/>
    <w:next w:val="304"/>
    <w:qFormat/>
    <w:uiPriority w:val="0"/>
    <w:pPr>
      <w:widowControl w:val="0"/>
      <w:pBdr>
        <w:top w:val="dashed" w:color="000000" w:sz="4" w:space="0"/>
        <w:left w:val="dashed" w:color="000000" w:sz="4" w:space="0"/>
        <w:bottom w:val="dashed" w:color="000000" w:sz="4" w:space="0"/>
        <w:right w:val="dashed" w:color="000000" w:sz="4" w:space="0"/>
      </w:pBdr>
      <w:shd w:val="clear" w:color="auto" w:fill="ECF0BE"/>
      <w:spacing w:line="360" w:lineRule="auto"/>
      <w:ind w:left="420"/>
      <w:jc w:val="both"/>
    </w:pPr>
    <w:rPr>
      <w:rFonts w:ascii="宋体" w:hAnsi="宋体" w:eastAsia="宋体" w:cs="宋体"/>
      <w:color w:val="000000"/>
      <w:sz w:val="21"/>
      <w:szCs w:val="21"/>
      <w:u w:color="000000"/>
      <w:lang w:val="en-US" w:eastAsia="zh-CN" w:bidi="ar-SA"/>
    </w:rPr>
  </w:style>
  <w:style w:type="paragraph" w:customStyle="1" w:styleId="307">
    <w:name w:val="正文首行缩进2字符"/>
    <w:link w:val="364"/>
    <w:qFormat/>
    <w:uiPriority w:val="0"/>
    <w:pPr>
      <w:widowControl w:val="0"/>
      <w:spacing w:line="360" w:lineRule="auto"/>
      <w:ind w:firstLine="420"/>
      <w:jc w:val="both"/>
    </w:pPr>
    <w:rPr>
      <w:rFonts w:ascii="宋体" w:hAnsi="宋体" w:eastAsia="宋体" w:cs="宋体"/>
      <w:color w:val="000000"/>
      <w:sz w:val="21"/>
      <w:szCs w:val="21"/>
      <w:u w:color="000000"/>
      <w:lang w:val="en-US" w:eastAsia="zh-CN" w:bidi="ar-SA"/>
    </w:rPr>
  </w:style>
  <w:style w:type="paragraph" w:customStyle="1" w:styleId="308">
    <w:name w:val="段落编号1"/>
    <w:qFormat/>
    <w:uiPriority w:val="0"/>
    <w:pPr>
      <w:widowControl w:val="0"/>
      <w:tabs>
        <w:tab w:val="left" w:pos="839"/>
      </w:tabs>
      <w:spacing w:line="360" w:lineRule="auto"/>
      <w:ind w:left="839" w:hanging="419"/>
    </w:pPr>
    <w:rPr>
      <w:rFonts w:ascii="宋体" w:hAnsi="宋体" w:eastAsia="宋体" w:cs="宋体"/>
      <w:color w:val="000000"/>
      <w:sz w:val="21"/>
      <w:szCs w:val="21"/>
      <w:u w:color="000000"/>
      <w:lang w:val="en-US" w:eastAsia="zh-CN" w:bidi="ar-SA"/>
    </w:rPr>
  </w:style>
  <w:style w:type="paragraph" w:customStyle="1" w:styleId="309">
    <w:name w:val="段落编号2"/>
    <w:qFormat/>
    <w:uiPriority w:val="0"/>
    <w:pPr>
      <w:widowControl w:val="0"/>
      <w:tabs>
        <w:tab w:val="left" w:pos="1260"/>
      </w:tabs>
      <w:spacing w:line="360" w:lineRule="auto"/>
      <w:ind w:left="1260" w:hanging="420"/>
      <w:jc w:val="both"/>
    </w:pPr>
    <w:rPr>
      <w:rFonts w:ascii="宋体" w:hAnsi="宋体" w:eastAsia="宋体" w:cs="宋体"/>
      <w:color w:val="000000"/>
      <w:sz w:val="21"/>
      <w:szCs w:val="21"/>
      <w:u w:color="000000"/>
      <w:lang w:val="en-US" w:eastAsia="zh-CN" w:bidi="ar-SA"/>
    </w:rPr>
  </w:style>
  <w:style w:type="paragraph" w:customStyle="1" w:styleId="310">
    <w:name w:val="首行缩进2字符"/>
    <w:qFormat/>
    <w:uiPriority w:val="0"/>
    <w:pPr>
      <w:widowControl w:val="0"/>
      <w:spacing w:line="360" w:lineRule="auto"/>
      <w:ind w:firstLine="200"/>
      <w:jc w:val="both"/>
    </w:pPr>
    <w:rPr>
      <w:rFonts w:ascii="宋体" w:hAnsi="宋体" w:eastAsia="宋体" w:cs="宋体"/>
      <w:color w:val="000000"/>
      <w:sz w:val="21"/>
      <w:szCs w:val="21"/>
      <w:u w:color="000000"/>
      <w:lang w:val="en-US" w:eastAsia="zh-CN" w:bidi="ar-SA"/>
    </w:rPr>
  </w:style>
  <w:style w:type="paragraph" w:customStyle="1" w:styleId="311">
    <w:name w:val="a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312">
    <w:name w:val="页眉 字符"/>
    <w:basedOn w:val="130"/>
    <w:link w:val="53"/>
    <w:qFormat/>
    <w:uiPriority w:val="0"/>
    <w:rPr>
      <w:sz w:val="18"/>
      <w:szCs w:val="18"/>
    </w:rPr>
  </w:style>
  <w:style w:type="character" w:customStyle="1" w:styleId="313">
    <w:name w:val="页脚 字符"/>
    <w:basedOn w:val="130"/>
    <w:link w:val="51"/>
    <w:qFormat/>
    <w:uiPriority w:val="0"/>
    <w:rPr>
      <w:sz w:val="18"/>
      <w:szCs w:val="18"/>
    </w:rPr>
  </w:style>
  <w:style w:type="character" w:customStyle="1" w:styleId="314">
    <w:name w:val="标题 1 字符"/>
    <w:basedOn w:val="130"/>
    <w:link w:val="3"/>
    <w:qFormat/>
    <w:uiPriority w:val="0"/>
    <w:rPr>
      <w:rFonts w:ascii="Times New Roman" w:hAnsi="Times New Roman" w:eastAsia="黑体" w:cs="Times New Roman"/>
      <w:bCs/>
      <w:kern w:val="44"/>
      <w:sz w:val="20"/>
      <w:szCs w:val="36"/>
    </w:rPr>
  </w:style>
  <w:style w:type="character" w:customStyle="1" w:styleId="315">
    <w:name w:val="标题 2 字符"/>
    <w:basedOn w:val="130"/>
    <w:link w:val="2"/>
    <w:qFormat/>
    <w:uiPriority w:val="0"/>
    <w:rPr>
      <w:rFonts w:ascii="Times New Roman" w:hAnsi="Times New Roman" w:eastAsia="黑体" w:cs="Times New Roman"/>
      <w:bCs/>
      <w:kern w:val="0"/>
      <w:sz w:val="20"/>
      <w:szCs w:val="32"/>
    </w:rPr>
  </w:style>
  <w:style w:type="character" w:customStyle="1" w:styleId="316">
    <w:name w:val="标题 3 字符"/>
    <w:basedOn w:val="130"/>
    <w:link w:val="4"/>
    <w:qFormat/>
    <w:uiPriority w:val="9"/>
    <w:rPr>
      <w:rFonts w:ascii="Arial" w:hAnsi="Arial" w:eastAsia="黑体" w:cs="Times New Roman"/>
      <w:bCs/>
      <w:kern w:val="0"/>
      <w:sz w:val="20"/>
      <w:szCs w:val="32"/>
    </w:rPr>
  </w:style>
  <w:style w:type="character" w:customStyle="1" w:styleId="317">
    <w:name w:val="标题 4 字符"/>
    <w:basedOn w:val="130"/>
    <w:link w:val="5"/>
    <w:qFormat/>
    <w:uiPriority w:val="0"/>
    <w:rPr>
      <w:rFonts w:ascii="宋体" w:hAnsi="宋体" w:eastAsia="黑体" w:cs="Times New Roman"/>
      <w:bCs/>
      <w:kern w:val="0"/>
      <w:sz w:val="20"/>
      <w:szCs w:val="28"/>
    </w:rPr>
  </w:style>
  <w:style w:type="character" w:customStyle="1" w:styleId="318">
    <w:name w:val="标题 5 字符"/>
    <w:basedOn w:val="130"/>
    <w:link w:val="6"/>
    <w:qFormat/>
    <w:uiPriority w:val="0"/>
    <w:rPr>
      <w:rFonts w:ascii="Arial" w:hAnsi="Arial" w:eastAsia="宋体" w:cs="Times New Roman"/>
      <w:b/>
      <w:bCs/>
      <w:kern w:val="0"/>
      <w:sz w:val="28"/>
      <w:szCs w:val="28"/>
    </w:rPr>
  </w:style>
  <w:style w:type="character" w:customStyle="1" w:styleId="319">
    <w:name w:val="标题 6 字符"/>
    <w:basedOn w:val="130"/>
    <w:link w:val="7"/>
    <w:qFormat/>
    <w:uiPriority w:val="0"/>
    <w:rPr>
      <w:rFonts w:ascii="Arial" w:hAnsi="Arial" w:eastAsia="黑体" w:cs="Times New Roman"/>
      <w:b/>
      <w:bCs/>
      <w:kern w:val="0"/>
      <w:sz w:val="24"/>
      <w:szCs w:val="21"/>
    </w:rPr>
  </w:style>
  <w:style w:type="character" w:customStyle="1" w:styleId="320">
    <w:name w:val="标题 7 字符"/>
    <w:basedOn w:val="130"/>
    <w:link w:val="8"/>
    <w:qFormat/>
    <w:uiPriority w:val="0"/>
    <w:rPr>
      <w:rFonts w:ascii="Arial" w:hAnsi="Arial" w:eastAsia="宋体" w:cs="Times New Roman"/>
      <w:b/>
      <w:bCs/>
      <w:kern w:val="0"/>
      <w:sz w:val="24"/>
      <w:szCs w:val="21"/>
    </w:rPr>
  </w:style>
  <w:style w:type="character" w:customStyle="1" w:styleId="321">
    <w:name w:val="标题 8 字符"/>
    <w:basedOn w:val="130"/>
    <w:link w:val="9"/>
    <w:qFormat/>
    <w:uiPriority w:val="0"/>
    <w:rPr>
      <w:rFonts w:ascii="Arial" w:hAnsi="Arial" w:eastAsia="黑体" w:cs="Times New Roman"/>
      <w:kern w:val="0"/>
      <w:sz w:val="24"/>
      <w:szCs w:val="21"/>
    </w:rPr>
  </w:style>
  <w:style w:type="character" w:customStyle="1" w:styleId="322">
    <w:name w:val="标题 9 字符"/>
    <w:basedOn w:val="130"/>
    <w:link w:val="10"/>
    <w:qFormat/>
    <w:uiPriority w:val="0"/>
    <w:rPr>
      <w:rFonts w:ascii="Arial" w:hAnsi="Arial" w:eastAsia="黑体" w:cs="Times New Roman"/>
      <w:kern w:val="0"/>
      <w:sz w:val="20"/>
      <w:szCs w:val="21"/>
    </w:rPr>
  </w:style>
  <w:style w:type="character" w:customStyle="1" w:styleId="323">
    <w:name w:val="段 Char"/>
    <w:link w:val="60"/>
    <w:qFormat/>
    <w:uiPriority w:val="0"/>
    <w:rPr>
      <w:rFonts w:ascii="宋体" w:hAnsi="Times New Roman" w:eastAsia="宋体" w:cs="Times New Roman"/>
      <w:kern w:val="0"/>
      <w:sz w:val="20"/>
      <w:szCs w:val="24"/>
    </w:rPr>
  </w:style>
  <w:style w:type="character" w:customStyle="1" w:styleId="324">
    <w:name w:val="发布"/>
    <w:qFormat/>
    <w:uiPriority w:val="0"/>
    <w:rPr>
      <w:rFonts w:ascii="黑体" w:eastAsia="黑体"/>
      <w:spacing w:val="85"/>
      <w:w w:val="100"/>
      <w:position w:val="3"/>
      <w:sz w:val="28"/>
      <w:szCs w:val="28"/>
    </w:rPr>
  </w:style>
  <w:style w:type="character" w:customStyle="1" w:styleId="325">
    <w:name w:val="附录公式 Char"/>
    <w:link w:val="195"/>
    <w:qFormat/>
    <w:uiPriority w:val="0"/>
    <w:rPr>
      <w:rFonts w:ascii="宋体" w:hAnsi="Times New Roman" w:eastAsia="宋体" w:cs="Times New Roman"/>
      <w:kern w:val="0"/>
      <w:sz w:val="20"/>
      <w:szCs w:val="24"/>
    </w:rPr>
  </w:style>
  <w:style w:type="character" w:customStyle="1" w:styleId="326">
    <w:name w:val="脚注文本 字符"/>
    <w:basedOn w:val="130"/>
    <w:link w:val="64"/>
    <w:qFormat/>
    <w:uiPriority w:val="0"/>
    <w:rPr>
      <w:rFonts w:ascii="宋体" w:hAnsi="Times New Roman" w:eastAsia="宋体" w:cs="Times New Roman"/>
      <w:kern w:val="0"/>
      <w:sz w:val="18"/>
      <w:szCs w:val="18"/>
    </w:rPr>
  </w:style>
  <w:style w:type="character" w:customStyle="1" w:styleId="327">
    <w:name w:val="首示例 Char"/>
    <w:link w:val="220"/>
    <w:qFormat/>
    <w:uiPriority w:val="0"/>
    <w:rPr>
      <w:rFonts w:ascii="宋体" w:hAnsi="宋体" w:eastAsia="宋体" w:cs="Times New Roman"/>
      <w:kern w:val="0"/>
      <w:sz w:val="18"/>
      <w:szCs w:val="18"/>
    </w:rPr>
  </w:style>
  <w:style w:type="character" w:customStyle="1" w:styleId="328">
    <w:name w:val="尾注文本 字符"/>
    <w:basedOn w:val="130"/>
    <w:link w:val="48"/>
    <w:semiHidden/>
    <w:qFormat/>
    <w:uiPriority w:val="0"/>
    <w:rPr>
      <w:rFonts w:ascii="Times New Roman" w:hAnsi="Times New Roman" w:eastAsia="宋体" w:cs="Times New Roman"/>
      <w:kern w:val="0"/>
      <w:sz w:val="20"/>
      <w:szCs w:val="21"/>
    </w:rPr>
  </w:style>
  <w:style w:type="character" w:customStyle="1" w:styleId="329">
    <w:name w:val="文档结构图 字符"/>
    <w:basedOn w:val="130"/>
    <w:link w:val="23"/>
    <w:semiHidden/>
    <w:qFormat/>
    <w:uiPriority w:val="99"/>
    <w:rPr>
      <w:rFonts w:ascii="Times New Roman" w:hAnsi="Times New Roman" w:eastAsia="宋体" w:cs="Times New Roman"/>
      <w:kern w:val="0"/>
      <w:sz w:val="20"/>
      <w:szCs w:val="21"/>
      <w:shd w:val="clear" w:color="auto" w:fill="000080"/>
    </w:rPr>
  </w:style>
  <w:style w:type="character" w:customStyle="1" w:styleId="330">
    <w:name w:val="访问过的超链接1"/>
    <w:qFormat/>
    <w:uiPriority w:val="0"/>
    <w:rPr>
      <w:color w:val="800080"/>
      <w:u w:val="single"/>
    </w:rPr>
  </w:style>
  <w:style w:type="character" w:customStyle="1" w:styleId="331">
    <w:name w:val="HTML 地址 字符"/>
    <w:basedOn w:val="130"/>
    <w:link w:val="37"/>
    <w:qFormat/>
    <w:uiPriority w:val="0"/>
    <w:rPr>
      <w:rFonts w:ascii="Arial" w:hAnsi="Arial" w:eastAsia="宋体" w:cs="Times New Roman"/>
      <w:i/>
      <w:iCs/>
      <w:kern w:val="0"/>
      <w:sz w:val="20"/>
      <w:szCs w:val="21"/>
    </w:rPr>
  </w:style>
  <w:style w:type="character" w:customStyle="1" w:styleId="332">
    <w:name w:val="HTML 预设格式 字符"/>
    <w:basedOn w:val="130"/>
    <w:link w:val="77"/>
    <w:qFormat/>
    <w:uiPriority w:val="0"/>
    <w:rPr>
      <w:rFonts w:ascii="Courier New" w:hAnsi="Courier New" w:eastAsia="宋体" w:cs="Times New Roman"/>
      <w:kern w:val="0"/>
      <w:sz w:val="20"/>
      <w:szCs w:val="20"/>
    </w:rPr>
  </w:style>
  <w:style w:type="character" w:customStyle="1" w:styleId="333">
    <w:name w:val="称呼 字符"/>
    <w:basedOn w:val="130"/>
    <w:link w:val="26"/>
    <w:qFormat/>
    <w:uiPriority w:val="0"/>
    <w:rPr>
      <w:rFonts w:ascii="Arial" w:hAnsi="Arial" w:eastAsia="宋体" w:cs="Times New Roman"/>
      <w:kern w:val="0"/>
      <w:sz w:val="20"/>
      <w:szCs w:val="21"/>
    </w:rPr>
  </w:style>
  <w:style w:type="character" w:customStyle="1" w:styleId="334">
    <w:name w:val="纯文本 字符"/>
    <w:basedOn w:val="130"/>
    <w:link w:val="41"/>
    <w:qFormat/>
    <w:uiPriority w:val="0"/>
    <w:rPr>
      <w:rFonts w:ascii="宋体" w:hAnsi="Courier New" w:eastAsia="宋体" w:cs="Times New Roman"/>
      <w:kern w:val="0"/>
      <w:sz w:val="20"/>
      <w:szCs w:val="21"/>
    </w:rPr>
  </w:style>
  <w:style w:type="character" w:customStyle="1" w:styleId="335">
    <w:name w:val="电子邮件签名 字符"/>
    <w:basedOn w:val="130"/>
    <w:link w:val="16"/>
    <w:qFormat/>
    <w:uiPriority w:val="0"/>
    <w:rPr>
      <w:rFonts w:ascii="Arial" w:hAnsi="Arial" w:eastAsia="宋体" w:cs="Times New Roman"/>
      <w:kern w:val="0"/>
      <w:sz w:val="20"/>
      <w:szCs w:val="21"/>
    </w:rPr>
  </w:style>
  <w:style w:type="character" w:customStyle="1" w:styleId="336">
    <w:name w:val="结束语 字符"/>
    <w:basedOn w:val="130"/>
    <w:link w:val="28"/>
    <w:qFormat/>
    <w:uiPriority w:val="0"/>
    <w:rPr>
      <w:rFonts w:ascii="Arial" w:hAnsi="Arial" w:eastAsia="宋体" w:cs="Times New Roman"/>
      <w:kern w:val="0"/>
      <w:sz w:val="20"/>
      <w:szCs w:val="21"/>
    </w:rPr>
  </w:style>
  <w:style w:type="character" w:customStyle="1" w:styleId="337">
    <w:name w:val="签名 字符"/>
    <w:basedOn w:val="130"/>
    <w:link w:val="54"/>
    <w:qFormat/>
    <w:uiPriority w:val="0"/>
    <w:rPr>
      <w:rFonts w:ascii="Arial" w:hAnsi="Arial" w:eastAsia="宋体" w:cs="Times New Roman"/>
      <w:kern w:val="0"/>
      <w:sz w:val="20"/>
      <w:szCs w:val="21"/>
    </w:rPr>
  </w:style>
  <w:style w:type="character" w:customStyle="1" w:styleId="338">
    <w:name w:val="日期 字符"/>
    <w:basedOn w:val="130"/>
    <w:link w:val="46"/>
    <w:qFormat/>
    <w:uiPriority w:val="0"/>
    <w:rPr>
      <w:rFonts w:ascii="Arial" w:hAnsi="Arial" w:eastAsia="宋体" w:cs="Times New Roman"/>
      <w:kern w:val="0"/>
      <w:sz w:val="20"/>
      <w:szCs w:val="21"/>
    </w:rPr>
  </w:style>
  <w:style w:type="character" w:customStyle="1" w:styleId="339">
    <w:name w:val="信息标题 字符"/>
    <w:basedOn w:val="130"/>
    <w:link w:val="76"/>
    <w:qFormat/>
    <w:uiPriority w:val="0"/>
    <w:rPr>
      <w:rFonts w:ascii="Arial" w:hAnsi="Arial" w:eastAsia="宋体" w:cs="Times New Roman"/>
      <w:kern w:val="0"/>
      <w:sz w:val="24"/>
      <w:szCs w:val="21"/>
      <w:shd w:val="pct20" w:color="auto" w:fill="auto"/>
    </w:rPr>
  </w:style>
  <w:style w:type="character" w:customStyle="1" w:styleId="340">
    <w:name w:val="正文文本缩进 字符"/>
    <w:basedOn w:val="130"/>
    <w:link w:val="31"/>
    <w:qFormat/>
    <w:uiPriority w:val="0"/>
    <w:rPr>
      <w:rFonts w:ascii="Arial" w:hAnsi="Arial" w:eastAsia="楷体" w:cs="Times New Roman"/>
      <w:kern w:val="0"/>
      <w:sz w:val="24"/>
      <w:szCs w:val="21"/>
    </w:rPr>
  </w:style>
  <w:style w:type="character" w:customStyle="1" w:styleId="341">
    <w:name w:val="正文文本首行缩进 2 字符"/>
    <w:basedOn w:val="340"/>
    <w:link w:val="84"/>
    <w:qFormat/>
    <w:uiPriority w:val="0"/>
    <w:rPr>
      <w:rFonts w:ascii="Arial" w:hAnsi="Arial" w:eastAsia="楷体" w:cs="Times New Roman"/>
      <w:kern w:val="0"/>
      <w:sz w:val="24"/>
      <w:szCs w:val="21"/>
    </w:rPr>
  </w:style>
  <w:style w:type="character" w:customStyle="1" w:styleId="342">
    <w:name w:val="正文文本 2 字符"/>
    <w:basedOn w:val="130"/>
    <w:link w:val="73"/>
    <w:qFormat/>
    <w:uiPriority w:val="0"/>
    <w:rPr>
      <w:rFonts w:ascii="Arial" w:hAnsi="Arial" w:eastAsia="黑体" w:cs="Times New Roman"/>
      <w:b/>
      <w:kern w:val="0"/>
      <w:sz w:val="20"/>
      <w:szCs w:val="21"/>
    </w:rPr>
  </w:style>
  <w:style w:type="character" w:customStyle="1" w:styleId="343">
    <w:name w:val="正文文本 3 字符"/>
    <w:basedOn w:val="130"/>
    <w:link w:val="27"/>
    <w:qFormat/>
    <w:uiPriority w:val="0"/>
    <w:rPr>
      <w:rFonts w:ascii="Arial" w:hAnsi="Arial" w:eastAsia="宋体" w:cs="Times New Roman"/>
      <w:kern w:val="0"/>
      <w:sz w:val="16"/>
      <w:szCs w:val="16"/>
    </w:rPr>
  </w:style>
  <w:style w:type="character" w:customStyle="1" w:styleId="344">
    <w:name w:val="正文文本缩进 2 字符"/>
    <w:basedOn w:val="130"/>
    <w:link w:val="47"/>
    <w:qFormat/>
    <w:uiPriority w:val="0"/>
    <w:rPr>
      <w:rFonts w:ascii="Arial" w:hAnsi="Arial" w:eastAsia="宋体" w:cs="Times New Roman"/>
      <w:kern w:val="0"/>
      <w:sz w:val="20"/>
      <w:szCs w:val="21"/>
    </w:rPr>
  </w:style>
  <w:style w:type="character" w:customStyle="1" w:styleId="345">
    <w:name w:val="正文文本缩进 3 字符"/>
    <w:basedOn w:val="130"/>
    <w:link w:val="67"/>
    <w:qFormat/>
    <w:uiPriority w:val="0"/>
    <w:rPr>
      <w:rFonts w:ascii="Arial" w:hAnsi="Arial" w:eastAsia="宋体" w:cs="Times New Roman"/>
      <w:kern w:val="0"/>
      <w:sz w:val="16"/>
      <w:szCs w:val="16"/>
    </w:rPr>
  </w:style>
  <w:style w:type="character" w:customStyle="1" w:styleId="346">
    <w:name w:val="注释标题 字符"/>
    <w:basedOn w:val="130"/>
    <w:link w:val="147"/>
    <w:qFormat/>
    <w:uiPriority w:val="0"/>
    <w:rPr>
      <w:rFonts w:ascii="Arial" w:hAnsi="Arial" w:eastAsia="宋体" w:cs="Times New Roman"/>
      <w:kern w:val="0"/>
      <w:sz w:val="20"/>
      <w:szCs w:val="21"/>
    </w:rPr>
  </w:style>
  <w:style w:type="character" w:customStyle="1" w:styleId="347">
    <w:name w:val="标题 字符"/>
    <w:basedOn w:val="130"/>
    <w:link w:val="81"/>
    <w:qFormat/>
    <w:uiPriority w:val="0"/>
    <w:rPr>
      <w:rFonts w:ascii="Times New Roman" w:hAnsi="Times New Roman" w:eastAsia="楷体" w:cs="Times New Roman"/>
      <w:b/>
      <w:bCs/>
      <w:color w:val="CC3300"/>
      <w:kern w:val="0"/>
      <w:sz w:val="44"/>
      <w:szCs w:val="36"/>
    </w:rPr>
  </w:style>
  <w:style w:type="character" w:customStyle="1" w:styleId="348">
    <w:name w:val="副标题 字符"/>
    <w:basedOn w:val="130"/>
    <w:link w:val="61"/>
    <w:qFormat/>
    <w:uiPriority w:val="0"/>
    <w:rPr>
      <w:rFonts w:ascii="Arial" w:hAnsi="Arial" w:eastAsia="黑体" w:cs="Times New Roman"/>
      <w:bCs/>
      <w:kern w:val="28"/>
      <w:sz w:val="36"/>
      <w:szCs w:val="32"/>
    </w:rPr>
  </w:style>
  <w:style w:type="character" w:customStyle="1" w:styleId="349">
    <w:name w:val="正文文本 字符"/>
    <w:basedOn w:val="130"/>
    <w:link w:val="30"/>
    <w:qFormat/>
    <w:uiPriority w:val="0"/>
    <w:rPr>
      <w:rFonts w:ascii="Arial" w:hAnsi="Arial" w:eastAsia="宋体" w:cs="Times New Roman"/>
      <w:kern w:val="0"/>
      <w:sz w:val="20"/>
      <w:szCs w:val="21"/>
    </w:rPr>
  </w:style>
  <w:style w:type="character" w:customStyle="1" w:styleId="350">
    <w:name w:val="正文文本首行缩进 字符"/>
    <w:basedOn w:val="349"/>
    <w:link w:val="83"/>
    <w:qFormat/>
    <w:uiPriority w:val="0"/>
    <w:rPr>
      <w:rFonts w:ascii="Arial" w:hAnsi="Arial" w:eastAsia="宋体" w:cs="Times New Roman"/>
      <w:kern w:val="0"/>
      <w:sz w:val="20"/>
      <w:szCs w:val="21"/>
    </w:rPr>
  </w:style>
  <w:style w:type="character" w:customStyle="1" w:styleId="351">
    <w:name w:val="批注框文本 字符"/>
    <w:basedOn w:val="130"/>
    <w:link w:val="50"/>
    <w:qFormat/>
    <w:uiPriority w:val="99"/>
    <w:rPr>
      <w:rFonts w:ascii="Arial" w:hAnsi="Arial" w:eastAsia="宋体" w:cs="Times New Roman"/>
      <w:kern w:val="0"/>
      <w:sz w:val="18"/>
      <w:szCs w:val="18"/>
    </w:rPr>
  </w:style>
  <w:style w:type="character" w:customStyle="1" w:styleId="352">
    <w:name w:val="章标题 Char"/>
    <w:qFormat/>
    <w:uiPriority w:val="0"/>
    <w:rPr>
      <w:rFonts w:ascii="Times New Roman" w:hAnsi="宋体" w:eastAsia="宋体"/>
      <w:szCs w:val="21"/>
    </w:rPr>
  </w:style>
  <w:style w:type="character" w:customStyle="1" w:styleId="353">
    <w:name w:val="批注文字 字符"/>
    <w:basedOn w:val="130"/>
    <w:link w:val="24"/>
    <w:qFormat/>
    <w:uiPriority w:val="0"/>
    <w:rPr>
      <w:rFonts w:ascii="Times New Roman" w:hAnsi="Times New Roman" w:eastAsia="宋体" w:cs="Times New Roman"/>
      <w:kern w:val="0"/>
      <w:sz w:val="20"/>
      <w:szCs w:val="21"/>
    </w:rPr>
  </w:style>
  <w:style w:type="character" w:customStyle="1" w:styleId="354">
    <w:name w:val="正文缩进 字符"/>
    <w:link w:val="18"/>
    <w:qFormat/>
    <w:uiPriority w:val="0"/>
    <w:rPr>
      <w:rFonts w:ascii="Arial" w:hAnsi="Arial" w:eastAsia="宋体" w:cs="Times New Roman"/>
      <w:kern w:val="0"/>
      <w:sz w:val="20"/>
      <w:szCs w:val="21"/>
    </w:rPr>
  </w:style>
  <w:style w:type="character" w:customStyle="1" w:styleId="355">
    <w:name w:val="样式1 Char"/>
    <w:link w:val="243"/>
    <w:qFormat/>
    <w:uiPriority w:val="0"/>
    <w:rPr>
      <w:rFonts w:ascii="Arial" w:hAnsi="Arial" w:eastAsia="黑体" w:cs="Times New Roman"/>
      <w:bCs/>
      <w:kern w:val="0"/>
      <w:sz w:val="20"/>
      <w:szCs w:val="32"/>
    </w:rPr>
  </w:style>
  <w:style w:type="character" w:customStyle="1" w:styleId="356">
    <w:name w:val="批注主题 字符"/>
    <w:basedOn w:val="353"/>
    <w:link w:val="82"/>
    <w:qFormat/>
    <w:uiPriority w:val="0"/>
    <w:rPr>
      <w:rFonts w:ascii="Times New Roman" w:hAnsi="Times New Roman" w:eastAsia="宋体" w:cs="Times New Roman"/>
      <w:b/>
      <w:bCs/>
      <w:kern w:val="0"/>
      <w:sz w:val="20"/>
      <w:szCs w:val="21"/>
    </w:rPr>
  </w:style>
  <w:style w:type="character" w:customStyle="1" w:styleId="357">
    <w:name w:val="正文（首行缩进两字） Char1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358">
    <w:name w:val="Char1"/>
    <w:qFormat/>
    <w:uiPriority w:val="0"/>
    <w:rPr>
      <w:rFonts w:eastAsia="宋体"/>
      <w:kern w:val="2"/>
      <w:sz w:val="21"/>
      <w:lang w:val="en-US" w:eastAsia="zh-CN"/>
    </w:rPr>
  </w:style>
  <w:style w:type="character" w:customStyle="1" w:styleId="359">
    <w:name w:val="ext-mb-text"/>
    <w:basedOn w:val="130"/>
    <w:qFormat/>
    <w:uiPriority w:val="0"/>
  </w:style>
  <w:style w:type="character" w:customStyle="1" w:styleId="360">
    <w:name w:val="apple-style-span"/>
    <w:qFormat/>
    <w:uiPriority w:val="0"/>
  </w:style>
  <w:style w:type="character" w:customStyle="1" w:styleId="361">
    <w:name w:val="apple-converted-space"/>
    <w:basedOn w:val="130"/>
    <w:qFormat/>
    <w:uiPriority w:val="0"/>
  </w:style>
  <w:style w:type="character" w:customStyle="1" w:styleId="362">
    <w:name w:val="表格正文 Char"/>
    <w:link w:val="279"/>
    <w:qFormat/>
    <w:uiPriority w:val="0"/>
    <w:rPr>
      <w:rFonts w:ascii="宋体" w:hAnsi="宋体" w:eastAsia="宋体" w:cs="Times New Roman"/>
      <w:bCs/>
      <w:kern w:val="0"/>
      <w:sz w:val="20"/>
      <w:szCs w:val="20"/>
    </w:rPr>
  </w:style>
  <w:style w:type="character" w:customStyle="1" w:styleId="363">
    <w:name w:val="样式2 Char"/>
    <w:link w:val="301"/>
    <w:qFormat/>
    <w:uiPriority w:val="0"/>
    <w:rPr>
      <w:rFonts w:ascii="Times New Roman" w:hAnsi="Times New Roman" w:eastAsia="宋体" w:cs="Times New Roman"/>
      <w:szCs w:val="21"/>
    </w:rPr>
  </w:style>
  <w:style w:type="character" w:customStyle="1" w:styleId="364">
    <w:name w:val="正文首行缩进2字符 Char"/>
    <w:link w:val="307"/>
    <w:qFormat/>
    <w:uiPriority w:val="0"/>
    <w:rPr>
      <w:rFonts w:ascii="宋体" w:hAnsi="宋体" w:eastAsia="宋体" w:cs="宋体"/>
      <w:color w:val="000000"/>
      <w:kern w:val="0"/>
      <w:szCs w:val="21"/>
      <w:u w:val="none" w:color="000000"/>
    </w:rPr>
  </w:style>
  <w:style w:type="table" w:customStyle="1" w:styleId="365">
    <w:name w:val="Table Normal_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66">
    <w:name w:val="列出段落2"/>
    <w:basedOn w:val="1"/>
    <w:unhideWhenUsed/>
    <w:qFormat/>
    <w:uiPriority w:val="0"/>
    <w:pPr>
      <w:ind w:firstLine="420" w:firstLineChars="200"/>
    </w:pPr>
  </w:style>
  <w:style w:type="paragraph" w:customStyle="1" w:styleId="367">
    <w:name w:val="List Paragraph"/>
    <w:basedOn w:val="1"/>
    <w:qFormat/>
    <w:uiPriority w:val="99"/>
    <w:pPr>
      <w:ind w:firstLine="420" w:firstLineChars="200"/>
    </w:pPr>
  </w:style>
  <w:style w:type="paragraph" w:customStyle="1" w:styleId="36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24</Pages>
  <Words>12947</Words>
  <Characters>13461</Characters>
  <Lines>148</Lines>
  <Paragraphs>41</Paragraphs>
  <TotalTime>11</TotalTime>
  <ScaleCrop>false</ScaleCrop>
  <LinksUpToDate>false</LinksUpToDate>
  <CharactersWithSpaces>13802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2019-03-05T18:22:00Z</dcterms:created>
  <dc:creator>maggie</dc:creator>
  <cp:lastModifiedBy>郝宇</cp:lastModifiedBy>
  <cp:lastPrinted>2017-07-26T22:52:00Z</cp:lastPrinted>
  <dcterms:modified xsi:type="dcterms:W3CDTF">2025-10-16T20:18:30Z</dcterms:modified>
  <dc:title>运维服务能力成熟度模型三级检查点</dc:title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29F67C053826487392ED141E5F59DCA3_13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