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2929C">
      <w:pPr>
        <w:spacing w:line="427" w:lineRule="exact"/>
      </w:pPr>
      <w:r>
        <w:rPr>
          <w:position w:val="-8"/>
        </w:rPr>
        <w:drawing>
          <wp:inline distT="0" distB="0" distL="0" distR="0">
            <wp:extent cx="697865" cy="2711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98269" cy="271753"/>
                    </a:xfrm>
                    <a:prstGeom prst="rect">
                      <a:avLst/>
                    </a:prstGeom>
                  </pic:spPr>
                </pic:pic>
              </a:graphicData>
            </a:graphic>
          </wp:inline>
        </w:drawing>
      </w:r>
    </w:p>
    <w:p w14:paraId="01288682">
      <w:pPr>
        <w:pStyle w:val="2"/>
        <w:spacing w:line="264" w:lineRule="auto"/>
      </w:pPr>
    </w:p>
    <w:p w14:paraId="5BF0E415">
      <w:pPr>
        <w:pStyle w:val="2"/>
        <w:spacing w:line="265" w:lineRule="auto"/>
      </w:pPr>
    </w:p>
    <w:p w14:paraId="7B84FD84">
      <w:pPr>
        <w:pStyle w:val="2"/>
        <w:spacing w:line="265" w:lineRule="auto"/>
      </w:pPr>
    </w:p>
    <w:p w14:paraId="02CC8025">
      <w:pPr>
        <w:pStyle w:val="2"/>
        <w:spacing w:line="265" w:lineRule="auto"/>
      </w:pPr>
    </w:p>
    <w:p w14:paraId="53851E1B">
      <w:pPr>
        <w:pStyle w:val="2"/>
        <w:spacing w:line="265" w:lineRule="auto"/>
      </w:pPr>
    </w:p>
    <w:p w14:paraId="0F2D6936">
      <w:pPr>
        <w:spacing w:before="139" w:line="225" w:lineRule="auto"/>
        <w:ind w:left="1463"/>
        <w:outlineLvl w:val="0"/>
        <w:rPr>
          <w:rFonts w:ascii="黑体" w:hAnsi="黑体" w:eastAsia="黑体" w:cs="黑体"/>
          <w:sz w:val="43"/>
          <w:szCs w:val="43"/>
        </w:rPr>
      </w:pPr>
      <w:r>
        <w:rPr>
          <w:rFonts w:ascii="黑体" w:hAnsi="黑体" w:eastAsia="黑体" w:cs="黑体"/>
          <w:b/>
          <w:bCs/>
          <w:spacing w:val="6"/>
          <w:sz w:val="43"/>
          <w:szCs w:val="43"/>
        </w:rPr>
        <w:t>创意银航（山东）技术有限公司</w:t>
      </w:r>
    </w:p>
    <w:p w14:paraId="34FC6AA0">
      <w:pPr>
        <w:pStyle w:val="2"/>
        <w:spacing w:line="315" w:lineRule="auto"/>
      </w:pPr>
    </w:p>
    <w:p w14:paraId="18F49B07">
      <w:pPr>
        <w:pStyle w:val="2"/>
        <w:spacing w:line="315" w:lineRule="auto"/>
      </w:pPr>
    </w:p>
    <w:p w14:paraId="66481D6F">
      <w:pPr>
        <w:spacing w:before="139" w:line="226" w:lineRule="auto"/>
        <w:ind w:left="3700"/>
        <w:outlineLvl w:val="0"/>
        <w:rPr>
          <w:rFonts w:ascii="黑体" w:hAnsi="黑体" w:eastAsia="黑体" w:cs="黑体"/>
          <w:sz w:val="43"/>
          <w:szCs w:val="43"/>
        </w:rPr>
      </w:pPr>
      <w:r>
        <w:rPr>
          <w:rFonts w:ascii="黑体" w:hAnsi="黑体" w:eastAsia="黑体" w:cs="黑体"/>
          <w:b/>
          <w:bCs/>
          <w:spacing w:val="-5"/>
          <w:sz w:val="43"/>
          <w:szCs w:val="43"/>
        </w:rPr>
        <w:t>内审报告</w:t>
      </w:r>
    </w:p>
    <w:p w14:paraId="2C60C8A0">
      <w:pPr>
        <w:pStyle w:val="2"/>
        <w:spacing w:line="249" w:lineRule="auto"/>
      </w:pPr>
    </w:p>
    <w:p w14:paraId="0B4CE316">
      <w:pPr>
        <w:pStyle w:val="2"/>
        <w:spacing w:line="249" w:lineRule="auto"/>
      </w:pPr>
    </w:p>
    <w:p w14:paraId="0330922B">
      <w:pPr>
        <w:pStyle w:val="2"/>
        <w:spacing w:line="249" w:lineRule="auto"/>
      </w:pPr>
    </w:p>
    <w:p w14:paraId="393FBD01">
      <w:pPr>
        <w:pStyle w:val="2"/>
        <w:spacing w:line="249" w:lineRule="auto"/>
      </w:pPr>
    </w:p>
    <w:p w14:paraId="22B03A80">
      <w:pPr>
        <w:pStyle w:val="2"/>
        <w:spacing w:line="249" w:lineRule="auto"/>
      </w:pPr>
    </w:p>
    <w:p w14:paraId="595F3A35">
      <w:pPr>
        <w:pStyle w:val="2"/>
        <w:spacing w:line="249" w:lineRule="auto"/>
      </w:pPr>
    </w:p>
    <w:p w14:paraId="091C1A99">
      <w:pPr>
        <w:pStyle w:val="2"/>
        <w:spacing w:line="249" w:lineRule="auto"/>
      </w:pPr>
    </w:p>
    <w:p w14:paraId="10C69B1A">
      <w:pPr>
        <w:pStyle w:val="2"/>
        <w:spacing w:line="249" w:lineRule="auto"/>
      </w:pPr>
    </w:p>
    <w:p w14:paraId="649B9611">
      <w:pPr>
        <w:pStyle w:val="2"/>
        <w:spacing w:line="249" w:lineRule="auto"/>
      </w:pPr>
    </w:p>
    <w:p w14:paraId="7F970CD0">
      <w:pPr>
        <w:pStyle w:val="2"/>
        <w:spacing w:line="249" w:lineRule="auto"/>
      </w:pPr>
    </w:p>
    <w:p w14:paraId="12570048">
      <w:pPr>
        <w:spacing w:before="98" w:line="221" w:lineRule="auto"/>
        <w:ind w:left="3251"/>
        <w:outlineLvl w:val="0"/>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质量部</w:t>
      </w:r>
    </w:p>
    <w:p w14:paraId="2F848E58">
      <w:pPr>
        <w:spacing w:before="271" w:line="304" w:lineRule="auto"/>
        <w:ind w:left="3246" w:right="1418" w:hanging="4"/>
        <w:outlineLvl w:val="0"/>
        <w:rPr>
          <w:rFonts w:ascii="Calibri" w:hAnsi="Calibri" w:eastAsia="Calibri" w:cs="Calibri"/>
          <w:b/>
          <w:bCs/>
          <w:spacing w:val="-10"/>
          <w:sz w:val="30"/>
          <w:szCs w:val="30"/>
        </w:rPr>
      </w:pPr>
      <w:r>
        <w:rPr>
          <w:rFonts w:ascii="黑体" w:hAnsi="黑体" w:eastAsia="黑体" w:cs="黑体"/>
          <w:b/>
          <w:bCs/>
          <w:spacing w:val="-10"/>
          <w:sz w:val="30"/>
          <w:szCs w:val="30"/>
        </w:rPr>
        <w:t>编制时间：</w:t>
      </w:r>
      <w:r>
        <w:rPr>
          <w:rFonts w:ascii="黑体" w:hAnsi="黑体" w:eastAsia="黑体" w:cs="黑体"/>
          <w:spacing w:val="-10"/>
          <w:sz w:val="30"/>
          <w:szCs w:val="30"/>
        </w:rPr>
        <w:t xml:space="preserve"> </w:t>
      </w:r>
      <w:r>
        <w:rPr>
          <w:rFonts w:ascii="Calibri" w:hAnsi="Calibri" w:eastAsia="Calibri" w:cs="Calibri"/>
          <w:b/>
          <w:bCs/>
          <w:spacing w:val="-10"/>
          <w:sz w:val="30"/>
          <w:szCs w:val="30"/>
        </w:rPr>
        <w:t>2025年</w:t>
      </w:r>
      <w:r>
        <w:rPr>
          <w:rFonts w:hint="eastAsia" w:ascii="Calibri" w:hAnsi="Calibri" w:eastAsia="宋体" w:cs="Calibri"/>
          <w:b/>
          <w:bCs/>
          <w:spacing w:val="-10"/>
          <w:sz w:val="30"/>
          <w:szCs w:val="30"/>
          <w:lang w:val="en-US" w:eastAsia="zh-CN"/>
        </w:rPr>
        <w:t>9</w:t>
      </w:r>
      <w:r>
        <w:rPr>
          <w:rFonts w:ascii="Calibri" w:hAnsi="Calibri" w:eastAsia="Calibri" w:cs="Calibri"/>
          <w:b/>
          <w:bCs/>
          <w:spacing w:val="-10"/>
          <w:sz w:val="30"/>
          <w:szCs w:val="30"/>
        </w:rPr>
        <w:t>月</w:t>
      </w:r>
      <w:r>
        <w:rPr>
          <w:rFonts w:hint="eastAsia" w:ascii="Calibri" w:hAnsi="Calibri" w:eastAsia="宋体" w:cs="Calibri"/>
          <w:b/>
          <w:bCs/>
          <w:spacing w:val="-10"/>
          <w:sz w:val="30"/>
          <w:szCs w:val="30"/>
          <w:lang w:val="en-US" w:eastAsia="zh-CN"/>
        </w:rPr>
        <w:t>20</w:t>
      </w:r>
      <w:r>
        <w:rPr>
          <w:rFonts w:ascii="Calibri" w:hAnsi="Calibri" w:eastAsia="Calibri" w:cs="Calibri"/>
          <w:b/>
          <w:bCs/>
          <w:spacing w:val="-10"/>
          <w:sz w:val="30"/>
          <w:szCs w:val="30"/>
        </w:rPr>
        <w:t>日</w:t>
      </w:r>
    </w:p>
    <w:p w14:paraId="16FD36AB">
      <w:pPr>
        <w:spacing w:before="271" w:line="304" w:lineRule="auto"/>
        <w:ind w:left="3246" w:right="1418" w:hanging="4"/>
        <w:outlineLvl w:val="0"/>
        <w:rPr>
          <w:rFonts w:ascii="Calibri" w:hAnsi="Calibri" w:eastAsia="Calibri" w:cs="Calibri"/>
          <w:sz w:val="30"/>
          <w:szCs w:val="30"/>
        </w:rPr>
      </w:pPr>
      <w:r>
        <w:rPr>
          <w:rFonts w:ascii="黑体" w:hAnsi="黑体" w:eastAsia="黑体" w:cs="黑体"/>
          <w:b/>
          <w:bCs/>
          <w:spacing w:val="-2"/>
          <w:sz w:val="30"/>
          <w:szCs w:val="30"/>
        </w:rPr>
        <w:t>版本名称：</w:t>
      </w:r>
      <w:r>
        <w:rPr>
          <w:rFonts w:ascii="Calibri" w:hAnsi="Calibri" w:eastAsia="Calibri" w:cs="Calibri"/>
          <w:b/>
          <w:bCs/>
          <w:spacing w:val="-2"/>
          <w:sz w:val="30"/>
          <w:szCs w:val="30"/>
        </w:rPr>
        <w:t>CYYH-ITSS-07-05</w:t>
      </w:r>
    </w:p>
    <w:p w14:paraId="4F5D9005">
      <w:pPr>
        <w:spacing w:before="269" w:line="332" w:lineRule="auto"/>
        <w:ind w:left="3248" w:right="2765"/>
        <w:outlineLvl w:val="0"/>
        <w:rPr>
          <w:rFonts w:ascii="黑体" w:hAnsi="黑体" w:eastAsia="黑体" w:cs="黑体"/>
          <w:sz w:val="30"/>
          <w:szCs w:val="30"/>
        </w:rPr>
      </w:pPr>
      <w:r>
        <w:rPr>
          <w:rFonts w:ascii="黑体" w:hAnsi="黑体" w:eastAsia="黑体" w:cs="黑体"/>
          <w:b/>
          <w:bCs/>
          <w:spacing w:val="-6"/>
          <w:sz w:val="30"/>
          <w:szCs w:val="30"/>
        </w:rPr>
        <w:t>文件起草人：姜晓建</w:t>
      </w:r>
      <w:r>
        <w:rPr>
          <w:rFonts w:ascii="黑体" w:hAnsi="黑体" w:eastAsia="黑体" w:cs="黑体"/>
          <w:b/>
          <w:bCs/>
          <w:spacing w:val="-4"/>
          <w:sz w:val="30"/>
          <w:szCs w:val="30"/>
        </w:rPr>
        <w:t>文件审核人：姜晓建</w:t>
      </w:r>
      <w:r>
        <w:rPr>
          <w:rFonts w:ascii="黑体" w:hAnsi="黑体" w:eastAsia="黑体" w:cs="黑体"/>
          <w:b/>
          <w:bCs/>
          <w:spacing w:val="-6"/>
          <w:sz w:val="30"/>
          <w:szCs w:val="30"/>
        </w:rPr>
        <w:t>文件审批人：谢晓彤</w:t>
      </w:r>
    </w:p>
    <w:p w14:paraId="235E5902">
      <w:pPr>
        <w:spacing w:before="274" w:line="221" w:lineRule="auto"/>
        <w:ind w:left="3242"/>
        <w:outlineLvl w:val="0"/>
        <w:rPr>
          <w:rFonts w:ascii="黑体" w:hAnsi="黑体" w:eastAsia="黑体" w:cs="黑体"/>
          <w:sz w:val="30"/>
          <w:szCs w:val="30"/>
        </w:rPr>
      </w:pPr>
      <w:r>
        <w:rPr>
          <w:rFonts w:ascii="黑体" w:hAnsi="黑体" w:eastAsia="黑体" w:cs="黑体"/>
          <w:b/>
          <w:bCs/>
          <w:spacing w:val="-6"/>
          <w:sz w:val="30"/>
          <w:szCs w:val="30"/>
        </w:rPr>
        <w:t>生效时间：</w:t>
      </w:r>
      <w:r>
        <w:rPr>
          <w:rFonts w:ascii="Calibri" w:hAnsi="Calibri" w:eastAsia="Calibri" w:cs="Calibri"/>
          <w:b/>
          <w:bCs/>
          <w:spacing w:val="-6"/>
          <w:sz w:val="30"/>
          <w:szCs w:val="30"/>
          <w:u w:val="single" w:color="auto"/>
        </w:rPr>
        <w:t xml:space="preserve">  2025年</w:t>
      </w:r>
      <w:r>
        <w:rPr>
          <w:rFonts w:hint="eastAsia" w:ascii="Calibri" w:hAnsi="Calibri" w:eastAsia="宋体" w:cs="Calibri"/>
          <w:b/>
          <w:bCs/>
          <w:spacing w:val="-6"/>
          <w:sz w:val="30"/>
          <w:szCs w:val="30"/>
          <w:u w:val="single" w:color="auto"/>
          <w:lang w:val="en-US" w:eastAsia="zh-CN"/>
        </w:rPr>
        <w:t>9</w:t>
      </w:r>
      <w:r>
        <w:rPr>
          <w:rFonts w:ascii="Calibri" w:hAnsi="Calibri" w:eastAsia="Calibri" w:cs="Calibri"/>
          <w:b/>
          <w:bCs/>
          <w:spacing w:val="-6"/>
          <w:sz w:val="30"/>
          <w:szCs w:val="30"/>
          <w:u w:val="single" w:color="auto"/>
        </w:rPr>
        <w:t>月</w:t>
      </w:r>
      <w:r>
        <w:rPr>
          <w:rFonts w:hint="eastAsia" w:ascii="Calibri" w:hAnsi="Calibri" w:eastAsia="宋体" w:cs="Calibri"/>
          <w:b/>
          <w:bCs/>
          <w:spacing w:val="-6"/>
          <w:sz w:val="30"/>
          <w:szCs w:val="30"/>
          <w:u w:val="single" w:color="auto"/>
          <w:lang w:val="en-US" w:eastAsia="zh-CN"/>
        </w:rPr>
        <w:t>20</w:t>
      </w:r>
      <w:bookmarkStart w:id="0" w:name="_GoBack"/>
      <w:bookmarkEnd w:id="0"/>
      <w:r>
        <w:rPr>
          <w:rFonts w:ascii="Calibri" w:hAnsi="Calibri" w:eastAsia="Calibri" w:cs="Calibri"/>
          <w:b/>
          <w:bCs/>
          <w:spacing w:val="-6"/>
          <w:sz w:val="30"/>
          <w:szCs w:val="30"/>
          <w:u w:val="single" w:color="auto"/>
        </w:rPr>
        <w:t>日</w:t>
      </w:r>
    </w:p>
    <w:p w14:paraId="5054E640">
      <w:pPr>
        <w:spacing w:line="221" w:lineRule="auto"/>
        <w:rPr>
          <w:rFonts w:ascii="黑体" w:hAnsi="黑体" w:eastAsia="黑体" w:cs="黑体"/>
          <w:sz w:val="30"/>
          <w:szCs w:val="30"/>
        </w:rPr>
        <w:sectPr>
          <w:footerReference r:id="rId5" w:type="default"/>
          <w:pgSz w:w="11910" w:h="16840"/>
          <w:pgMar w:top="871" w:right="1786" w:bottom="990" w:left="1415" w:header="0" w:footer="755" w:gutter="0"/>
          <w:cols w:space="720" w:num="1"/>
        </w:sectPr>
      </w:pPr>
    </w:p>
    <w:p w14:paraId="1C5CD182">
      <w:pPr>
        <w:spacing w:line="427" w:lineRule="exact"/>
      </w:pPr>
      <w:r>
        <w:rPr>
          <w:position w:val="-8"/>
        </w:rPr>
        <w:drawing>
          <wp:inline distT="0" distB="0" distL="0" distR="0">
            <wp:extent cx="697865" cy="2711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98269" cy="271753"/>
                    </a:xfrm>
                    <a:prstGeom prst="rect">
                      <a:avLst/>
                    </a:prstGeom>
                  </pic:spPr>
                </pic:pic>
              </a:graphicData>
            </a:graphic>
          </wp:inline>
        </w:drawing>
      </w:r>
    </w:p>
    <w:p w14:paraId="2B12F456">
      <w:pPr>
        <w:pStyle w:val="2"/>
        <w:spacing w:line="259" w:lineRule="auto"/>
      </w:pPr>
    </w:p>
    <w:p w14:paraId="695068A4">
      <w:pPr>
        <w:pStyle w:val="2"/>
        <w:spacing w:line="259" w:lineRule="auto"/>
      </w:pPr>
    </w:p>
    <w:p w14:paraId="5BBC21D9">
      <w:pPr>
        <w:pStyle w:val="2"/>
        <w:spacing w:line="260" w:lineRule="auto"/>
      </w:pPr>
    </w:p>
    <w:p w14:paraId="05F5B963">
      <w:pPr>
        <w:pStyle w:val="2"/>
        <w:spacing w:line="260" w:lineRule="auto"/>
      </w:pPr>
    </w:p>
    <w:p w14:paraId="34F10DB8">
      <w:pPr>
        <w:spacing w:before="129" w:line="229" w:lineRule="auto"/>
        <w:ind w:left="2097"/>
        <w:outlineLvl w:val="0"/>
        <w:rPr>
          <w:rFonts w:ascii="微软雅黑" w:hAnsi="微软雅黑" w:eastAsia="微软雅黑" w:cs="微软雅黑"/>
          <w:sz w:val="30"/>
          <w:szCs w:val="30"/>
        </w:rPr>
      </w:pPr>
      <w:r>
        <w:rPr>
          <w:rFonts w:ascii="微软雅黑" w:hAnsi="微软雅黑" w:eastAsia="微软雅黑" w:cs="微软雅黑"/>
          <w:b/>
          <w:bCs/>
          <w:spacing w:val="-2"/>
          <w:sz w:val="30"/>
          <w:szCs w:val="30"/>
        </w:rPr>
        <w:t>ITSS 运维服务能力管理体系内审报告</w:t>
      </w:r>
    </w:p>
    <w:p w14:paraId="00E17E00">
      <w:pPr>
        <w:spacing w:before="46"/>
      </w:pPr>
    </w:p>
    <w:tbl>
      <w:tblPr>
        <w:tblStyle w:val="5"/>
        <w:tblW w:w="9042" w:type="dxa"/>
        <w:tblInd w:w="1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42"/>
      </w:tblGrid>
      <w:tr w14:paraId="61C94A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36" w:hRule="atLeast"/>
        </w:trPr>
        <w:tc>
          <w:tcPr>
            <w:tcW w:w="9042" w:type="dxa"/>
          </w:tcPr>
          <w:p w14:paraId="014BE944">
            <w:pPr>
              <w:pStyle w:val="6"/>
              <w:spacing w:before="118" w:line="220" w:lineRule="auto"/>
              <w:ind w:left="133"/>
            </w:pPr>
            <w:r>
              <w:rPr>
                <w:b/>
                <w:bCs/>
                <w:spacing w:val="-7"/>
              </w:rPr>
              <w:t>审核目的：</w:t>
            </w:r>
          </w:p>
          <w:p w14:paraId="5985BF80">
            <w:pPr>
              <w:pStyle w:val="6"/>
              <w:spacing w:before="119" w:line="219" w:lineRule="auto"/>
              <w:ind w:left="120"/>
            </w:pPr>
            <w:r>
              <w:t>验证公司 ITSS 运维服务能力管理体</w:t>
            </w:r>
            <w:r>
              <w:rPr>
                <w:spacing w:val="-1"/>
              </w:rPr>
              <w:t>系的有效性和持续性。</w:t>
            </w:r>
          </w:p>
          <w:p w14:paraId="77F30EE3">
            <w:pPr>
              <w:pStyle w:val="6"/>
              <w:spacing w:before="116" w:line="219" w:lineRule="auto"/>
              <w:ind w:left="121"/>
            </w:pPr>
            <w:r>
              <w:t>检查公司 ITSS 运维服务能力管理体系是否能符合 ITSS</w:t>
            </w:r>
            <w:r>
              <w:rPr>
                <w:spacing w:val="-1"/>
              </w:rPr>
              <w:t xml:space="preserve"> 运维成熟度三级要求。</w:t>
            </w:r>
          </w:p>
          <w:p w14:paraId="4E7ABF13">
            <w:pPr>
              <w:pStyle w:val="6"/>
              <w:spacing w:before="119" w:line="219" w:lineRule="auto"/>
              <w:ind w:left="124"/>
            </w:pPr>
            <w:r>
              <w:rPr>
                <w:spacing w:val="-11"/>
              </w:rPr>
              <w:t>为公司的 ITSS 运维服务能力管理体系的改进和管理提供依据，确保体系的正常运行。</w:t>
            </w:r>
          </w:p>
        </w:tc>
      </w:tr>
      <w:tr w14:paraId="38448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6" w:hRule="atLeast"/>
        </w:trPr>
        <w:tc>
          <w:tcPr>
            <w:tcW w:w="9042" w:type="dxa"/>
          </w:tcPr>
          <w:p w14:paraId="60892B1E">
            <w:pPr>
              <w:pStyle w:val="6"/>
              <w:spacing w:before="115" w:line="219" w:lineRule="auto"/>
              <w:ind w:left="126"/>
            </w:pPr>
            <w:r>
              <w:rPr>
                <w:b/>
                <w:bCs/>
                <w:spacing w:val="-5"/>
              </w:rPr>
              <w:t>受审核部门：</w:t>
            </w:r>
          </w:p>
          <w:p w14:paraId="27C0785E">
            <w:pPr>
              <w:pStyle w:val="6"/>
              <w:spacing w:before="120" w:line="219" w:lineRule="auto"/>
              <w:ind w:left="601"/>
            </w:pPr>
            <w:r>
              <w:rPr>
                <w:spacing w:val="-1"/>
              </w:rPr>
              <w:t>运维部、开发部、人力行政部、质量部、市场商务部</w:t>
            </w:r>
          </w:p>
        </w:tc>
      </w:tr>
      <w:tr w14:paraId="41CD04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43" w:hRule="atLeast"/>
        </w:trPr>
        <w:tc>
          <w:tcPr>
            <w:tcW w:w="9042" w:type="dxa"/>
          </w:tcPr>
          <w:p w14:paraId="63C06347">
            <w:pPr>
              <w:pStyle w:val="6"/>
              <w:spacing w:before="115" w:line="219" w:lineRule="auto"/>
              <w:ind w:left="133"/>
            </w:pPr>
            <w:r>
              <w:rPr>
                <w:b/>
                <w:bCs/>
                <w:spacing w:val="-7"/>
              </w:rPr>
              <w:t>审核依据：</w:t>
            </w:r>
          </w:p>
          <w:p w14:paraId="6E658750">
            <w:pPr>
              <w:pStyle w:val="6"/>
              <w:spacing w:before="119" w:line="219" w:lineRule="auto"/>
              <w:ind w:left="127"/>
            </w:pPr>
            <w:r>
              <w:rPr>
                <w:spacing w:val="-2"/>
              </w:rPr>
              <w:t>《信息技术服务 运行维护 第</w:t>
            </w:r>
            <w:r>
              <w:rPr>
                <w:spacing w:val="33"/>
              </w:rPr>
              <w:t xml:space="preserve"> </w:t>
            </w:r>
            <w:r>
              <w:rPr>
                <w:spacing w:val="-2"/>
              </w:rPr>
              <w:t>1 部分：通用要求》。</w:t>
            </w:r>
          </w:p>
          <w:p w14:paraId="343CD545">
            <w:pPr>
              <w:pStyle w:val="6"/>
              <w:spacing w:before="276" w:line="395" w:lineRule="auto"/>
              <w:ind w:left="144" w:right="3084" w:hanging="17"/>
            </w:pPr>
            <w:r>
              <w:rPr>
                <w:spacing w:val="-3"/>
              </w:rPr>
              <w:t>《信息技术服务 运行维护服务成熟度模型》三级要求。国家有关法律、法规及行业标准。</w:t>
            </w:r>
          </w:p>
          <w:p w14:paraId="45D654ED">
            <w:pPr>
              <w:pStyle w:val="6"/>
              <w:spacing w:line="219" w:lineRule="auto"/>
              <w:ind w:left="128"/>
            </w:pPr>
            <w:r>
              <w:rPr>
                <w:spacing w:val="-1"/>
              </w:rPr>
              <w:t>公司 ITSS 相关的运维管理手册、相关制度、程序文件等。</w:t>
            </w:r>
          </w:p>
        </w:tc>
      </w:tr>
      <w:tr w14:paraId="4FCE2B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8" w:hRule="atLeast"/>
        </w:trPr>
        <w:tc>
          <w:tcPr>
            <w:tcW w:w="9042" w:type="dxa"/>
          </w:tcPr>
          <w:p w14:paraId="6DC96E3C">
            <w:pPr>
              <w:pStyle w:val="6"/>
              <w:spacing w:before="116" w:line="220" w:lineRule="auto"/>
              <w:ind w:left="133"/>
            </w:pPr>
            <w:r>
              <w:rPr>
                <w:b/>
                <w:bCs/>
                <w:spacing w:val="-7"/>
              </w:rPr>
              <w:t>审核时间：</w:t>
            </w:r>
          </w:p>
          <w:p w14:paraId="7F8EC4FC">
            <w:pPr>
              <w:pStyle w:val="6"/>
              <w:spacing w:before="117" w:line="219" w:lineRule="auto"/>
              <w:ind w:left="124"/>
            </w:pPr>
            <w:r>
              <w:rPr>
                <w:spacing w:val="-8"/>
              </w:rPr>
              <w:t>2025年</w:t>
            </w:r>
            <w:r>
              <w:rPr>
                <w:rFonts w:hint="eastAsia"/>
                <w:spacing w:val="-8"/>
                <w:lang w:val="en-US" w:eastAsia="zh-CN"/>
              </w:rPr>
              <w:t>9</w:t>
            </w:r>
            <w:r>
              <w:rPr>
                <w:spacing w:val="-8"/>
              </w:rPr>
              <w:t>月</w:t>
            </w:r>
            <w:r>
              <w:rPr>
                <w:rFonts w:hint="eastAsia"/>
                <w:spacing w:val="-8"/>
                <w:lang w:val="en-US" w:eastAsia="zh-CN"/>
              </w:rPr>
              <w:t>15</w:t>
            </w:r>
            <w:r>
              <w:rPr>
                <w:spacing w:val="-8"/>
              </w:rPr>
              <w:t>日-2025年</w:t>
            </w:r>
            <w:r>
              <w:rPr>
                <w:rFonts w:hint="eastAsia"/>
                <w:spacing w:val="-8"/>
                <w:lang w:val="en-US" w:eastAsia="zh-CN"/>
              </w:rPr>
              <w:t>9</w:t>
            </w:r>
            <w:r>
              <w:rPr>
                <w:spacing w:val="-8"/>
              </w:rPr>
              <w:t>月</w:t>
            </w:r>
            <w:r>
              <w:rPr>
                <w:rFonts w:hint="eastAsia"/>
                <w:spacing w:val="-8"/>
                <w:lang w:val="en-US" w:eastAsia="zh-CN"/>
              </w:rPr>
              <w:t>16</w:t>
            </w:r>
            <w:r>
              <w:rPr>
                <w:spacing w:val="-8"/>
              </w:rPr>
              <w:t>日</w:t>
            </w:r>
          </w:p>
        </w:tc>
      </w:tr>
      <w:tr w14:paraId="2BE3C4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9042" w:type="dxa"/>
          </w:tcPr>
          <w:p w14:paraId="616B203A">
            <w:pPr>
              <w:pStyle w:val="6"/>
              <w:spacing w:before="115" w:line="220" w:lineRule="auto"/>
              <w:ind w:left="133"/>
            </w:pPr>
            <w:r>
              <w:rPr>
                <w:b/>
                <w:bCs/>
                <w:spacing w:val="-8"/>
              </w:rPr>
              <w:t>审核组：</w:t>
            </w:r>
          </w:p>
          <w:p w14:paraId="631632AE">
            <w:pPr>
              <w:pStyle w:val="6"/>
              <w:spacing w:before="115" w:line="260" w:lineRule="auto"/>
              <w:ind w:left="124" w:right="227" w:firstLine="479"/>
            </w:pPr>
            <w:r>
              <w:rPr>
                <w:spacing w:val="-11"/>
              </w:rPr>
              <w:t>姜晓建（组长）A、闻天 B（开发部）、张延山 C（运维部）、井红利</w:t>
            </w:r>
            <w:r>
              <w:rPr>
                <w:spacing w:val="-12"/>
              </w:rPr>
              <w:t>D（人力行政</w:t>
            </w:r>
            <w:r>
              <w:rPr>
                <w:spacing w:val="-7"/>
              </w:rPr>
              <w:t>部）</w:t>
            </w:r>
          </w:p>
        </w:tc>
      </w:tr>
      <w:tr w14:paraId="09D53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17" w:hRule="atLeast"/>
        </w:trPr>
        <w:tc>
          <w:tcPr>
            <w:tcW w:w="9042" w:type="dxa"/>
          </w:tcPr>
          <w:p w14:paraId="1B21001F">
            <w:pPr>
              <w:pStyle w:val="6"/>
              <w:spacing w:before="116" w:line="220" w:lineRule="auto"/>
              <w:ind w:left="133"/>
            </w:pPr>
            <w:r>
              <w:rPr>
                <w:b/>
                <w:bCs/>
                <w:spacing w:val="-5"/>
              </w:rPr>
              <w:t>审核过程综述：</w:t>
            </w:r>
          </w:p>
          <w:p w14:paraId="17CFB820">
            <w:pPr>
              <w:pStyle w:val="6"/>
              <w:spacing w:before="116" w:line="312" w:lineRule="auto"/>
              <w:ind w:left="122" w:right="90" w:firstLine="480"/>
              <w:jc w:val="both"/>
            </w:pPr>
            <w:r>
              <w:rPr>
                <w:spacing w:val="-4"/>
              </w:rPr>
              <w:t>我公司于 2025年</w:t>
            </w:r>
            <w:r>
              <w:rPr>
                <w:rFonts w:hint="eastAsia"/>
                <w:spacing w:val="-4"/>
                <w:lang w:val="en-US" w:eastAsia="zh-CN"/>
              </w:rPr>
              <w:t>9</w:t>
            </w:r>
            <w:r>
              <w:rPr>
                <w:spacing w:val="-4"/>
              </w:rPr>
              <w:t>月</w:t>
            </w:r>
            <w:r>
              <w:rPr>
                <w:rFonts w:hint="eastAsia"/>
                <w:spacing w:val="-4"/>
                <w:lang w:val="en-US" w:eastAsia="zh-CN"/>
              </w:rPr>
              <w:t>15</w:t>
            </w:r>
            <w:r>
              <w:rPr>
                <w:spacing w:val="-4"/>
              </w:rPr>
              <w:t>日至</w:t>
            </w:r>
            <w:r>
              <w:rPr>
                <w:rFonts w:hint="eastAsia"/>
                <w:spacing w:val="30"/>
                <w:lang w:val="en-US" w:eastAsia="zh-CN"/>
              </w:rPr>
              <w:t>26</w:t>
            </w:r>
            <w:r>
              <w:rPr>
                <w:spacing w:val="-4"/>
              </w:rPr>
              <w:t>日对本公司</w:t>
            </w:r>
            <w:r>
              <w:rPr>
                <w:spacing w:val="23"/>
              </w:rPr>
              <w:t xml:space="preserve"> </w:t>
            </w:r>
            <w:r>
              <w:rPr>
                <w:spacing w:val="-4"/>
              </w:rPr>
              <w:t>ITS</w:t>
            </w:r>
            <w:r>
              <w:rPr>
                <w:spacing w:val="-5"/>
              </w:rPr>
              <w:t>S 运维服务能力管理体系运</w:t>
            </w:r>
            <w:r>
              <w:rPr>
                <w:spacing w:val="-2"/>
              </w:rPr>
              <w:t>行进行内部审核，对本公司的所有涉及运维的各相关部门进行现场抽查及采取验证的方式。通过此次公司内部审核，各相关部门和个人能认真对待、积极配合，内审过程</w:t>
            </w:r>
            <w:r>
              <w:rPr>
                <w:spacing w:val="-5"/>
              </w:rPr>
              <w:t>实施顺利，取证较为全面、客观。在审核过程中没有发现严重不符合项，发现了 1 个一般不符合：</w:t>
            </w:r>
          </w:p>
          <w:p w14:paraId="21D5846D">
            <w:pPr>
              <w:pStyle w:val="6"/>
              <w:spacing w:line="219" w:lineRule="auto"/>
              <w:ind w:left="603"/>
            </w:pPr>
            <w:r>
              <w:t>按照《知识库管理制度》应定期对知识库进行评</w:t>
            </w:r>
            <w:r>
              <w:rPr>
                <w:spacing w:val="-1"/>
              </w:rPr>
              <w:t>审，但是没有定期审查记录。</w:t>
            </w:r>
          </w:p>
          <w:p w14:paraId="6BA640B9">
            <w:pPr>
              <w:pStyle w:val="6"/>
              <w:spacing w:before="108" w:line="256" w:lineRule="auto"/>
              <w:ind w:left="120" w:right="186" w:firstLine="482"/>
            </w:pPr>
            <w:r>
              <w:rPr>
                <w:spacing w:val="-7"/>
              </w:rPr>
              <w:t>经过内审组分析此 1 项不符合项，属于实施性</w:t>
            </w:r>
            <w:r>
              <w:rPr>
                <w:spacing w:val="-8"/>
              </w:rPr>
              <w:t>不合格（实际操作没有按照程序文</w:t>
            </w:r>
            <w:r>
              <w:rPr>
                <w:spacing w:val="-3"/>
              </w:rPr>
              <w:t>件要求执行</w:t>
            </w:r>
            <w:r>
              <w:rPr>
                <w:spacing w:val="-43"/>
              </w:rPr>
              <w:t>），</w:t>
            </w:r>
            <w:r>
              <w:rPr>
                <w:spacing w:val="-3"/>
              </w:rPr>
              <w:t>需要进一步落实改进。</w:t>
            </w:r>
          </w:p>
        </w:tc>
      </w:tr>
      <w:tr w14:paraId="41C5A9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0" w:hRule="atLeast"/>
        </w:trPr>
        <w:tc>
          <w:tcPr>
            <w:tcW w:w="9042" w:type="dxa"/>
          </w:tcPr>
          <w:p w14:paraId="1D817CC5">
            <w:pPr>
              <w:pStyle w:val="6"/>
              <w:spacing w:before="119" w:line="219" w:lineRule="auto"/>
              <w:ind w:left="125"/>
            </w:pPr>
            <w:r>
              <w:rPr>
                <w:b/>
                <w:bCs/>
                <w:spacing w:val="-4"/>
              </w:rPr>
              <w:t>不合格项统计与分析：</w:t>
            </w:r>
          </w:p>
          <w:p w14:paraId="4AE3795C">
            <w:pPr>
              <w:pStyle w:val="6"/>
              <w:spacing w:before="114" w:line="262" w:lineRule="auto"/>
              <w:ind w:left="123" w:right="44" w:firstLine="478"/>
            </w:pPr>
            <w:r>
              <w:t>根据相关审核条款审核组共发现 1 项不符合项，属一般不</w:t>
            </w:r>
            <w:r>
              <w:rPr>
                <w:spacing w:val="-1"/>
              </w:rPr>
              <w:t>符合，有 0 项严重不</w:t>
            </w:r>
            <w:r>
              <w:rPr>
                <w:spacing w:val="-4"/>
              </w:rPr>
              <w:t>符合。</w:t>
            </w:r>
          </w:p>
        </w:tc>
      </w:tr>
      <w:tr w14:paraId="7A12BA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trPr>
        <w:tc>
          <w:tcPr>
            <w:tcW w:w="9042" w:type="dxa"/>
          </w:tcPr>
          <w:p w14:paraId="0C384B60">
            <w:pPr>
              <w:pStyle w:val="6"/>
              <w:spacing w:before="119" w:line="219" w:lineRule="auto"/>
              <w:ind w:left="127"/>
            </w:pPr>
            <w:r>
              <w:rPr>
                <w:b/>
                <w:bCs/>
                <w:spacing w:val="-4"/>
              </w:rPr>
              <w:t>纠正措施和整改期限：</w:t>
            </w:r>
          </w:p>
          <w:p w14:paraId="0C1B155E">
            <w:pPr>
              <w:pStyle w:val="6"/>
              <w:spacing w:before="118" w:line="276" w:lineRule="auto"/>
              <w:ind w:left="127" w:right="44" w:firstLine="473"/>
              <w:jc w:val="both"/>
            </w:pPr>
            <w:r>
              <w:t>对此次内审不合格项，要求由相应责任尽快落实完成整改</w:t>
            </w:r>
            <w:r>
              <w:rPr>
                <w:spacing w:val="-1"/>
              </w:rPr>
              <w:t>，并对相关责任人进行</w:t>
            </w:r>
            <w:r>
              <w:t>责任心教育和流程学习，并向审核组提交整改</w:t>
            </w:r>
            <w:r>
              <w:rPr>
                <w:spacing w:val="-1"/>
              </w:rPr>
              <w:t>证据，审核员对纠正措施实施情况及有</w:t>
            </w:r>
            <w:r>
              <w:t>效性进行书面验证，同时关闭此不合格项，为</w:t>
            </w:r>
            <w:r>
              <w:rPr>
                <w:spacing w:val="-1"/>
              </w:rPr>
              <w:t>了避免后期管理中再次出现同样问题。</w:t>
            </w:r>
          </w:p>
        </w:tc>
      </w:tr>
      <w:tr w14:paraId="7B8559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6" w:hRule="atLeast"/>
        </w:trPr>
        <w:tc>
          <w:tcPr>
            <w:tcW w:w="9042" w:type="dxa"/>
          </w:tcPr>
          <w:p w14:paraId="531BF56B">
            <w:pPr>
              <w:pStyle w:val="6"/>
              <w:spacing w:before="115" w:line="218" w:lineRule="auto"/>
              <w:ind w:left="120"/>
            </w:pPr>
            <w:r>
              <w:rPr>
                <w:b/>
                <w:bCs/>
                <w:spacing w:val="-3"/>
              </w:rPr>
              <w:t>对能力管理体系的评价：</w:t>
            </w:r>
          </w:p>
          <w:p w14:paraId="51B769FB">
            <w:pPr>
              <w:pStyle w:val="6"/>
              <w:spacing w:before="122" w:line="312" w:lineRule="auto"/>
              <w:ind w:left="121" w:right="92" w:firstLine="480"/>
              <w:jc w:val="both"/>
            </w:pPr>
            <w:r>
              <w:rPr>
                <w:spacing w:val="-2"/>
              </w:rPr>
              <w:t>通过此次审核，证明公司的 ITSS 运维服务能力管理体系运行一年多来，基本运</w:t>
            </w:r>
            <w:r>
              <w:rPr>
                <w:spacing w:val="-4"/>
              </w:rPr>
              <w:t>作正常，并且体系的成熟度已有提高，通过本次</w:t>
            </w:r>
            <w:r>
              <w:rPr>
                <w:spacing w:val="-5"/>
              </w:rPr>
              <w:t>内部审核认为，公司建立的ITSS 运维</w:t>
            </w:r>
            <w:r>
              <w:rPr>
                <w:spacing w:val="-2"/>
              </w:rPr>
              <w:t>服务能力管理体系符合标准的要求，运行基本正常有效，但在实施方面还存在一些问</w:t>
            </w:r>
            <w:r>
              <w:rPr>
                <w:spacing w:val="-6"/>
              </w:rPr>
              <w:t>题，需要持续改进。</w:t>
            </w:r>
          </w:p>
        </w:tc>
      </w:tr>
      <w:tr w14:paraId="2CB9E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6" w:hRule="atLeast"/>
        </w:trPr>
        <w:tc>
          <w:tcPr>
            <w:tcW w:w="9042" w:type="dxa"/>
          </w:tcPr>
          <w:p w14:paraId="15CAA2D6">
            <w:pPr>
              <w:pStyle w:val="6"/>
              <w:spacing w:before="116" w:line="221" w:lineRule="auto"/>
              <w:ind w:left="127"/>
            </w:pPr>
            <w:r>
              <w:rPr>
                <w:b/>
                <w:bCs/>
                <w:spacing w:val="-8"/>
              </w:rPr>
              <w:t>结论：</w:t>
            </w:r>
          </w:p>
          <w:p w14:paraId="30462F30">
            <w:pPr>
              <w:pStyle w:val="6"/>
              <w:spacing w:before="116" w:line="311" w:lineRule="auto"/>
              <w:ind w:left="121" w:right="90" w:firstLine="509"/>
            </w:pPr>
            <w:r>
              <w:rPr>
                <w:spacing w:val="-5"/>
              </w:rPr>
              <w:t>由于此次审计是我公司以 ITSS 标准，根据公司运维服务能力发展规划，就 ITSS</w:t>
            </w:r>
            <w:r>
              <w:rPr>
                <w:spacing w:val="-2"/>
              </w:rPr>
              <w:t>运维服务能力管理体系运行情况进行的内审。就已审条款结果看，各部门文件的执行</w:t>
            </w:r>
            <w:r>
              <w:rPr>
                <w:spacing w:val="5"/>
              </w:rPr>
              <w:t>和记录留存等程序基本符合要求，本公司运维管理体系符合公司管理</w:t>
            </w:r>
            <w:r>
              <w:rPr>
                <w:spacing w:val="4"/>
              </w:rPr>
              <w:t>程序文件的要</w:t>
            </w:r>
            <w:r>
              <w:rPr>
                <w:spacing w:val="-8"/>
              </w:rPr>
              <w:t>求，本公司运维体系得到了有效实施，这表明我们的运维质量管理体系的适宜性、有</w:t>
            </w:r>
          </w:p>
          <w:p w14:paraId="62A3DC2E">
            <w:pPr>
              <w:pStyle w:val="6"/>
              <w:spacing w:line="198" w:lineRule="auto"/>
              <w:ind w:left="127"/>
            </w:pPr>
            <w:r>
              <w:rPr>
                <w:spacing w:val="-6"/>
              </w:rPr>
              <w:t>效性。</w:t>
            </w:r>
          </w:p>
        </w:tc>
      </w:tr>
      <w:tr w14:paraId="45CF05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5" w:hRule="atLeast"/>
        </w:trPr>
        <w:tc>
          <w:tcPr>
            <w:tcW w:w="9042" w:type="dxa"/>
          </w:tcPr>
          <w:p w14:paraId="413D4792">
            <w:pPr>
              <w:pStyle w:val="6"/>
              <w:spacing w:before="117" w:line="218" w:lineRule="auto"/>
              <w:ind w:left="127"/>
            </w:pPr>
            <w:r>
              <w:rPr>
                <w:b/>
                <w:bCs/>
                <w:spacing w:val="-3"/>
              </w:rPr>
              <w:t>纠正措施要求及审核报告分发对象：</w:t>
            </w:r>
          </w:p>
          <w:p w14:paraId="35893E64">
            <w:pPr>
              <w:pStyle w:val="6"/>
              <w:spacing w:before="122" w:line="219" w:lineRule="auto"/>
              <w:ind w:left="608"/>
            </w:pPr>
            <w:r>
              <w:rPr>
                <w:spacing w:val="-1"/>
              </w:rPr>
              <w:t>总经理及管理者代表、开发部、运维部、人力行政部、质量部、市场商务部</w:t>
            </w:r>
          </w:p>
        </w:tc>
      </w:tr>
    </w:tbl>
    <w:p w14:paraId="175023E6">
      <w:pPr>
        <w:pStyle w:val="2"/>
      </w:pPr>
    </w:p>
    <w:sectPr>
      <w:footerReference r:id="rId6" w:type="default"/>
      <w:pgSz w:w="11910" w:h="16840"/>
      <w:pgMar w:top="871" w:right="1429" w:bottom="990" w:left="1415" w:header="0" w:footer="7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0D7AB">
    <w:pPr>
      <w:spacing w:line="230" w:lineRule="auto"/>
      <w:ind w:left="4513"/>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B8576">
    <w:pPr>
      <w:spacing w:line="229" w:lineRule="auto"/>
      <w:ind w:left="4503"/>
      <w:rPr>
        <w:rFonts w:ascii="宋体" w:hAnsi="宋体" w:eastAsia="宋体" w:cs="宋体"/>
        <w:sz w:val="18"/>
        <w:szCs w:val="18"/>
      </w:rPr>
    </w:pPr>
    <w:r>
      <w:rPr>
        <w:rFonts w:ascii="宋体" w:hAnsi="宋体" w:eastAsia="宋体" w:cs="宋体"/>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340125"/>
    <w:rsid w:val="0C776A4C"/>
    <w:rsid w:val="16897AA8"/>
    <w:rsid w:val="2877522D"/>
    <w:rsid w:val="5C6E6883"/>
    <w:rsid w:val="6E332C5D"/>
    <w:rsid w:val="75023E22"/>
    <w:rsid w:val="7F9752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1099</Words>
  <Characters>1168</Characters>
  <Lines>0</Lines>
  <Paragraphs>0</Paragraphs>
  <TotalTime>6</TotalTime>
  <ScaleCrop>false</ScaleCrop>
  <LinksUpToDate>false</LinksUpToDate>
  <CharactersWithSpaces>1207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2022-11-30T10:48:00Z</dcterms:created>
  <dc:creator>王劼</dc:creator>
  <cp:lastModifiedBy>郝宇</cp:lastModifiedBy>
  <dcterms:modified xsi:type="dcterms:W3CDTF">2025-10-06T07:56:53Z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2025-09-29T02:59:13Z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9816FC00D9214712B23F99294177C214_12</vt:lpwstr>
  </property>
</Properties>
</file>