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9E518">
      <w:pPr>
        <w:spacing w:line="419" w:lineRule="exact"/>
      </w:pPr>
      <w:r>
        <w:rPr>
          <w:position w:val="-8"/>
        </w:rPr>
        <w:drawing>
          <wp:inline distT="0" distB="0" distL="0" distR="0">
            <wp:extent cx="695960" cy="2660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3"/>
                    <a:stretch>
                      <a:fillRect/>
                    </a:stretch>
                  </pic:blipFill>
                  <pic:spPr>
                    <a:xfrm>
                      <a:off x="0" y="0"/>
                      <a:ext cx="696350" cy="266411"/>
                    </a:xfrm>
                    <a:prstGeom prst="rect">
                      <a:avLst/>
                    </a:prstGeom>
                  </pic:spPr>
                </pic:pic>
              </a:graphicData>
            </a:graphic>
          </wp:inline>
        </w:drawing>
      </w:r>
    </w:p>
    <w:p w14:paraId="5199D2FD">
      <w:pPr>
        <w:pStyle w:val="2"/>
        <w:spacing w:line="245" w:lineRule="auto"/>
      </w:pPr>
    </w:p>
    <w:p w14:paraId="7283F4B3">
      <w:pPr>
        <w:pStyle w:val="2"/>
        <w:spacing w:line="246" w:lineRule="auto"/>
      </w:pPr>
    </w:p>
    <w:p w14:paraId="4D360574">
      <w:pPr>
        <w:pStyle w:val="2"/>
        <w:spacing w:line="246" w:lineRule="auto"/>
      </w:pPr>
    </w:p>
    <w:p w14:paraId="0EAD7D17">
      <w:pPr>
        <w:pStyle w:val="2"/>
        <w:spacing w:line="246" w:lineRule="auto"/>
      </w:pPr>
    </w:p>
    <w:p w14:paraId="46149011">
      <w:pPr>
        <w:pStyle w:val="2"/>
        <w:spacing w:line="246" w:lineRule="auto"/>
      </w:pPr>
    </w:p>
    <w:p w14:paraId="4E3AD553">
      <w:pPr>
        <w:pStyle w:val="2"/>
        <w:spacing w:line="246" w:lineRule="auto"/>
      </w:pPr>
    </w:p>
    <w:p w14:paraId="7D496A4A">
      <w:pPr>
        <w:spacing w:before="139" w:line="225" w:lineRule="auto"/>
        <w:ind w:left="1118"/>
        <w:rPr>
          <w:rFonts w:ascii="黑体" w:hAnsi="黑体" w:eastAsia="黑体" w:cs="黑体"/>
          <w:sz w:val="43"/>
          <w:szCs w:val="43"/>
        </w:rPr>
      </w:pPr>
      <w:r>
        <w:rPr>
          <w:rFonts w:ascii="黑体" w:hAnsi="黑体" w:eastAsia="黑体" w:cs="黑体"/>
          <w:b/>
          <w:bCs/>
          <w:spacing w:val="6"/>
          <w:sz w:val="43"/>
          <w:szCs w:val="43"/>
        </w:rPr>
        <w:t>创意银航（山东）技术有限公司</w:t>
      </w:r>
    </w:p>
    <w:p w14:paraId="1809B01B">
      <w:pPr>
        <w:pStyle w:val="2"/>
        <w:spacing w:line="313" w:lineRule="auto"/>
      </w:pPr>
    </w:p>
    <w:p w14:paraId="5C2470BA">
      <w:pPr>
        <w:pStyle w:val="2"/>
        <w:spacing w:line="313" w:lineRule="auto"/>
      </w:pPr>
    </w:p>
    <w:p w14:paraId="4AE43F3E">
      <w:pPr>
        <w:spacing w:before="140" w:line="225" w:lineRule="auto"/>
        <w:ind w:left="1569"/>
        <w:rPr>
          <w:rFonts w:ascii="黑体" w:hAnsi="黑体" w:eastAsia="黑体" w:cs="黑体"/>
          <w:sz w:val="43"/>
          <w:szCs w:val="43"/>
        </w:rPr>
      </w:pPr>
      <w:r>
        <w:rPr>
          <w:rFonts w:ascii="黑体" w:hAnsi="黑体" w:eastAsia="黑体" w:cs="黑体"/>
          <w:b/>
          <w:bCs/>
          <w:spacing w:val="5"/>
          <w:sz w:val="43"/>
          <w:szCs w:val="43"/>
        </w:rPr>
        <w:t>运维服务能力管理评审报告</w:t>
      </w:r>
    </w:p>
    <w:p w14:paraId="683D6859">
      <w:pPr>
        <w:pStyle w:val="2"/>
        <w:spacing w:line="249" w:lineRule="auto"/>
      </w:pPr>
    </w:p>
    <w:p w14:paraId="4419AE61">
      <w:pPr>
        <w:pStyle w:val="2"/>
        <w:spacing w:line="249" w:lineRule="auto"/>
      </w:pPr>
    </w:p>
    <w:p w14:paraId="3AAE7BD7">
      <w:pPr>
        <w:pStyle w:val="2"/>
        <w:spacing w:line="249" w:lineRule="auto"/>
      </w:pPr>
    </w:p>
    <w:p w14:paraId="3EED9C4F">
      <w:pPr>
        <w:pStyle w:val="2"/>
        <w:spacing w:line="249" w:lineRule="auto"/>
      </w:pPr>
    </w:p>
    <w:p w14:paraId="5C5DEA5B">
      <w:pPr>
        <w:pStyle w:val="2"/>
        <w:spacing w:line="249" w:lineRule="auto"/>
      </w:pPr>
    </w:p>
    <w:p w14:paraId="665F26ED">
      <w:pPr>
        <w:pStyle w:val="2"/>
        <w:spacing w:line="249" w:lineRule="auto"/>
      </w:pPr>
    </w:p>
    <w:p w14:paraId="697DA9DB">
      <w:pPr>
        <w:pStyle w:val="2"/>
        <w:spacing w:line="249" w:lineRule="auto"/>
      </w:pPr>
    </w:p>
    <w:p w14:paraId="6FEE3D63">
      <w:pPr>
        <w:pStyle w:val="2"/>
        <w:spacing w:line="249" w:lineRule="auto"/>
      </w:pPr>
    </w:p>
    <w:p w14:paraId="77D7ED36">
      <w:pPr>
        <w:pStyle w:val="2"/>
        <w:spacing w:line="250" w:lineRule="auto"/>
      </w:pPr>
      <w:bookmarkStart w:id="6" w:name="_GoBack"/>
      <w:bookmarkEnd w:id="6"/>
    </w:p>
    <w:p w14:paraId="1D8879C0">
      <w:pPr>
        <w:pStyle w:val="2"/>
        <w:spacing w:line="250" w:lineRule="auto"/>
      </w:pPr>
    </w:p>
    <w:p w14:paraId="19597C10">
      <w:pPr>
        <w:pStyle w:val="2"/>
        <w:spacing w:line="250" w:lineRule="auto"/>
      </w:pPr>
    </w:p>
    <w:p w14:paraId="0252285E">
      <w:pPr>
        <w:spacing w:before="98" w:line="221" w:lineRule="auto"/>
        <w:ind w:left="2907"/>
        <w:outlineLvl w:val="0"/>
        <w:rPr>
          <w:rFonts w:ascii="黑体" w:hAnsi="黑体" w:eastAsia="黑体" w:cs="黑体"/>
          <w:sz w:val="30"/>
          <w:szCs w:val="30"/>
        </w:rPr>
      </w:pPr>
      <w:r>
        <w:rPr>
          <w:rFonts w:ascii="黑体" w:hAnsi="黑体" w:eastAsia="黑体" w:cs="黑体"/>
          <w:b/>
          <w:bCs/>
          <w:spacing w:val="-3"/>
          <w:sz w:val="30"/>
          <w:szCs w:val="30"/>
        </w:rPr>
        <w:t>编制机构：</w:t>
      </w:r>
      <w:r>
        <w:rPr>
          <w:rFonts w:ascii="黑体" w:hAnsi="黑体" w:eastAsia="黑体" w:cs="黑体"/>
          <w:spacing w:val="-3"/>
          <w:sz w:val="30"/>
          <w:szCs w:val="30"/>
        </w:rPr>
        <w:t xml:space="preserve"> </w:t>
      </w:r>
      <w:r>
        <w:rPr>
          <w:rFonts w:ascii="黑体" w:hAnsi="黑体" w:eastAsia="黑体" w:cs="黑体"/>
          <w:b/>
          <w:bCs/>
          <w:spacing w:val="-3"/>
          <w:sz w:val="30"/>
          <w:szCs w:val="30"/>
        </w:rPr>
        <w:t>质量部</w:t>
      </w:r>
    </w:p>
    <w:p w14:paraId="52E235D7">
      <w:pPr>
        <w:spacing w:before="270" w:line="304" w:lineRule="auto"/>
        <w:ind w:left="2901" w:right="1567" w:hanging="4"/>
        <w:outlineLvl w:val="0"/>
        <w:rPr>
          <w:rFonts w:ascii="Calibri" w:hAnsi="Calibri" w:eastAsia="Calibri" w:cs="Calibri"/>
          <w:sz w:val="30"/>
          <w:szCs w:val="30"/>
        </w:rPr>
      </w:pPr>
      <w:r>
        <w:rPr>
          <w:rFonts w:ascii="黑体" w:hAnsi="黑体" w:eastAsia="黑体" w:cs="黑体"/>
          <w:b/>
          <w:bCs/>
          <w:spacing w:val="-9"/>
          <w:sz w:val="30"/>
          <w:szCs w:val="30"/>
        </w:rPr>
        <w:t>编制时间：</w:t>
      </w:r>
      <w:r>
        <w:rPr>
          <w:rFonts w:ascii="黑体" w:hAnsi="黑体" w:eastAsia="黑体" w:cs="黑体"/>
          <w:spacing w:val="-9"/>
          <w:sz w:val="30"/>
          <w:szCs w:val="30"/>
        </w:rPr>
        <w:t xml:space="preserve"> </w:t>
      </w:r>
      <w:r>
        <w:rPr>
          <w:rFonts w:ascii="Calibri" w:hAnsi="Calibri" w:eastAsia="Calibri" w:cs="Calibri"/>
          <w:b/>
          <w:bCs/>
          <w:spacing w:val="-9"/>
          <w:sz w:val="30"/>
          <w:szCs w:val="30"/>
        </w:rPr>
        <w:t>2025</w:t>
      </w:r>
      <w:r>
        <w:rPr>
          <w:rFonts w:ascii="黑体" w:hAnsi="黑体" w:eastAsia="黑体" w:cs="黑体"/>
          <w:b/>
          <w:bCs/>
          <w:spacing w:val="-9"/>
          <w:sz w:val="30"/>
          <w:szCs w:val="30"/>
        </w:rPr>
        <w:t>年</w:t>
      </w:r>
      <w:r>
        <w:rPr>
          <w:rFonts w:ascii="黑体" w:hAnsi="黑体" w:eastAsia="黑体" w:cs="黑体"/>
          <w:spacing w:val="20"/>
          <w:sz w:val="30"/>
          <w:szCs w:val="30"/>
        </w:rPr>
        <w:t xml:space="preserve"> </w:t>
      </w:r>
      <w:r>
        <w:rPr>
          <w:rFonts w:hint="eastAsia" w:ascii="Calibri" w:hAnsi="Calibri" w:eastAsia="宋体" w:cs="Calibri"/>
          <w:b/>
          <w:bCs/>
          <w:spacing w:val="-9"/>
          <w:sz w:val="30"/>
          <w:szCs w:val="30"/>
          <w:lang w:val="en-US" w:eastAsia="zh-CN"/>
        </w:rPr>
        <w:t>9</w:t>
      </w:r>
      <w:r>
        <w:rPr>
          <w:rFonts w:ascii="Calibri" w:hAnsi="Calibri" w:eastAsia="Calibri" w:cs="Calibri"/>
          <w:b/>
          <w:bCs/>
          <w:spacing w:val="20"/>
          <w:sz w:val="30"/>
          <w:szCs w:val="30"/>
        </w:rPr>
        <w:t xml:space="preserve"> </w:t>
      </w:r>
      <w:r>
        <w:rPr>
          <w:rFonts w:ascii="黑体" w:hAnsi="黑体" w:eastAsia="黑体" w:cs="黑体"/>
          <w:b/>
          <w:bCs/>
          <w:spacing w:val="-9"/>
          <w:sz w:val="30"/>
          <w:szCs w:val="30"/>
        </w:rPr>
        <w:t>月</w:t>
      </w:r>
      <w:r>
        <w:rPr>
          <w:rFonts w:hint="eastAsia" w:ascii="黑体" w:hAnsi="黑体" w:eastAsia="黑体" w:cs="黑体"/>
          <w:b/>
          <w:bCs/>
          <w:spacing w:val="-9"/>
          <w:sz w:val="30"/>
          <w:szCs w:val="30"/>
          <w:lang w:val="en-US" w:eastAsia="zh-CN"/>
        </w:rPr>
        <w:t>25</w:t>
      </w:r>
      <w:r>
        <w:rPr>
          <w:rFonts w:ascii="黑体" w:hAnsi="黑体" w:eastAsia="黑体" w:cs="黑体"/>
          <w:spacing w:val="-9"/>
          <w:sz w:val="30"/>
          <w:szCs w:val="30"/>
        </w:rPr>
        <w:t xml:space="preserve"> </w:t>
      </w:r>
      <w:r>
        <w:rPr>
          <w:rFonts w:ascii="黑体" w:hAnsi="黑体" w:eastAsia="黑体" w:cs="黑体"/>
          <w:b/>
          <w:bCs/>
          <w:spacing w:val="-9"/>
          <w:sz w:val="30"/>
          <w:szCs w:val="30"/>
        </w:rPr>
        <w:t>日</w:t>
      </w:r>
      <w:r>
        <w:rPr>
          <w:rFonts w:ascii="黑体" w:hAnsi="黑体" w:eastAsia="黑体" w:cs="黑体"/>
          <w:b/>
          <w:bCs/>
          <w:spacing w:val="-2"/>
          <w:sz w:val="30"/>
          <w:szCs w:val="30"/>
        </w:rPr>
        <w:t>版本名称：</w:t>
      </w:r>
      <w:r>
        <w:rPr>
          <w:rFonts w:ascii="Calibri" w:hAnsi="Calibri" w:eastAsia="Calibri" w:cs="Calibri"/>
          <w:b/>
          <w:bCs/>
          <w:spacing w:val="-2"/>
          <w:sz w:val="30"/>
          <w:szCs w:val="30"/>
        </w:rPr>
        <w:t>CYYH-ITSS-07-08</w:t>
      </w:r>
    </w:p>
    <w:p w14:paraId="4B7F9CD4">
      <w:pPr>
        <w:spacing w:before="272" w:line="332" w:lineRule="auto"/>
        <w:ind w:left="2903" w:right="2765"/>
        <w:outlineLvl w:val="0"/>
        <w:rPr>
          <w:rFonts w:ascii="黑体" w:hAnsi="黑体" w:eastAsia="黑体" w:cs="黑体"/>
          <w:sz w:val="30"/>
          <w:szCs w:val="30"/>
        </w:rPr>
      </w:pPr>
      <w:r>
        <w:rPr>
          <w:rFonts w:ascii="黑体" w:hAnsi="黑体" w:eastAsia="黑体" w:cs="黑体"/>
          <w:b/>
          <w:bCs/>
          <w:spacing w:val="-6"/>
          <w:sz w:val="30"/>
          <w:szCs w:val="30"/>
        </w:rPr>
        <w:t>文件起草人：姜晓建</w:t>
      </w:r>
      <w:r>
        <w:rPr>
          <w:rFonts w:ascii="黑体" w:hAnsi="黑体" w:eastAsia="黑体" w:cs="黑体"/>
          <w:b/>
          <w:bCs/>
          <w:spacing w:val="-4"/>
          <w:sz w:val="30"/>
          <w:szCs w:val="30"/>
        </w:rPr>
        <w:t>文件审核人：姜晓建</w:t>
      </w:r>
      <w:r>
        <w:rPr>
          <w:rFonts w:ascii="黑体" w:hAnsi="黑体" w:eastAsia="黑体" w:cs="黑体"/>
          <w:b/>
          <w:bCs/>
          <w:spacing w:val="-6"/>
          <w:sz w:val="30"/>
          <w:szCs w:val="30"/>
        </w:rPr>
        <w:t>文件审批人：谢晓彤</w:t>
      </w:r>
    </w:p>
    <w:p w14:paraId="67EF5402">
      <w:pPr>
        <w:spacing w:before="272" w:line="221" w:lineRule="auto"/>
        <w:ind w:left="2897"/>
        <w:outlineLvl w:val="0"/>
        <w:rPr>
          <w:rFonts w:ascii="黑体" w:hAnsi="黑体" w:eastAsia="黑体" w:cs="黑体"/>
          <w:sz w:val="30"/>
          <w:szCs w:val="30"/>
        </w:rPr>
      </w:pPr>
      <w:r>
        <w:rPr>
          <w:rFonts w:ascii="黑体" w:hAnsi="黑体" w:eastAsia="黑体" w:cs="黑体"/>
          <w:b/>
          <w:bCs/>
          <w:spacing w:val="-5"/>
          <w:sz w:val="30"/>
          <w:szCs w:val="30"/>
        </w:rPr>
        <w:t>生效时间：</w:t>
      </w:r>
      <w:r>
        <w:rPr>
          <w:rFonts w:ascii="Calibri" w:hAnsi="Calibri" w:eastAsia="Calibri" w:cs="Calibri"/>
          <w:b/>
          <w:bCs/>
          <w:spacing w:val="-5"/>
          <w:sz w:val="30"/>
          <w:szCs w:val="30"/>
        </w:rPr>
        <w:t>2025</w:t>
      </w:r>
      <w:r>
        <w:rPr>
          <w:rFonts w:ascii="黑体" w:hAnsi="黑体" w:eastAsia="黑体" w:cs="黑体"/>
          <w:b/>
          <w:bCs/>
          <w:spacing w:val="-5"/>
          <w:sz w:val="30"/>
          <w:szCs w:val="30"/>
        </w:rPr>
        <w:t>年</w:t>
      </w:r>
      <w:r>
        <w:rPr>
          <w:rFonts w:ascii="黑体" w:hAnsi="黑体" w:eastAsia="黑体" w:cs="黑体"/>
          <w:spacing w:val="-5"/>
          <w:sz w:val="30"/>
          <w:szCs w:val="30"/>
        </w:rPr>
        <w:t xml:space="preserve"> </w:t>
      </w:r>
      <w:r>
        <w:rPr>
          <w:rFonts w:hint="eastAsia" w:ascii="Calibri" w:hAnsi="Calibri" w:eastAsia="宋体" w:cs="Calibri"/>
          <w:b/>
          <w:bCs/>
          <w:spacing w:val="-5"/>
          <w:sz w:val="30"/>
          <w:szCs w:val="30"/>
          <w:lang w:val="en-US" w:eastAsia="zh-CN"/>
        </w:rPr>
        <w:t>9</w:t>
      </w:r>
      <w:r>
        <w:rPr>
          <w:rFonts w:ascii="Calibri" w:hAnsi="Calibri" w:eastAsia="Calibri" w:cs="Calibri"/>
          <w:b/>
          <w:bCs/>
          <w:spacing w:val="29"/>
          <w:sz w:val="30"/>
          <w:szCs w:val="30"/>
        </w:rPr>
        <w:t xml:space="preserve"> </w:t>
      </w:r>
      <w:r>
        <w:rPr>
          <w:rFonts w:ascii="黑体" w:hAnsi="黑体" w:eastAsia="黑体" w:cs="黑体"/>
          <w:b/>
          <w:bCs/>
          <w:spacing w:val="-5"/>
          <w:sz w:val="30"/>
          <w:szCs w:val="30"/>
        </w:rPr>
        <w:t>月</w:t>
      </w:r>
      <w:r>
        <w:rPr>
          <w:rFonts w:hint="eastAsia" w:ascii="黑体" w:hAnsi="黑体" w:eastAsia="黑体" w:cs="黑体"/>
          <w:b/>
          <w:bCs/>
          <w:spacing w:val="-5"/>
          <w:sz w:val="30"/>
          <w:szCs w:val="30"/>
          <w:lang w:val="en-US" w:eastAsia="zh-CN"/>
        </w:rPr>
        <w:t>25</w:t>
      </w:r>
      <w:r>
        <w:rPr>
          <w:rFonts w:ascii="黑体" w:hAnsi="黑体" w:eastAsia="黑体" w:cs="黑体"/>
          <w:spacing w:val="-5"/>
          <w:sz w:val="30"/>
          <w:szCs w:val="30"/>
        </w:rPr>
        <w:t xml:space="preserve"> </w:t>
      </w:r>
      <w:r>
        <w:rPr>
          <w:rFonts w:ascii="黑体" w:hAnsi="黑体" w:eastAsia="黑体" w:cs="黑体"/>
          <w:b/>
          <w:bCs/>
          <w:spacing w:val="-5"/>
          <w:sz w:val="30"/>
          <w:szCs w:val="30"/>
        </w:rPr>
        <w:t>日</w:t>
      </w:r>
    </w:p>
    <w:p w14:paraId="4FC49C7C">
      <w:pPr>
        <w:spacing w:line="221" w:lineRule="auto"/>
        <w:rPr>
          <w:rFonts w:ascii="黑体" w:hAnsi="黑体" w:eastAsia="黑体" w:cs="黑体"/>
          <w:sz w:val="30"/>
          <w:szCs w:val="30"/>
        </w:rPr>
        <w:sectPr>
          <w:footerReference r:id="rId5" w:type="default"/>
          <w:pgSz w:w="11910" w:h="16840"/>
          <w:pgMar w:top="720" w:right="1786" w:bottom="925" w:left="1760" w:header="0" w:footer="690" w:gutter="0"/>
          <w:cols w:space="720" w:num="1"/>
        </w:sectPr>
      </w:pPr>
    </w:p>
    <w:p w14:paraId="2A1F51AE">
      <w:pPr>
        <w:pStyle w:val="2"/>
        <w:spacing w:line="293" w:lineRule="auto"/>
      </w:pPr>
    </w:p>
    <w:p w14:paraId="66D66CE9">
      <w:pPr>
        <w:spacing w:before="98" w:line="222" w:lineRule="auto"/>
        <w:ind w:left="3357"/>
        <w:rPr>
          <w:rFonts w:ascii="黑体" w:hAnsi="黑体" w:eastAsia="黑体" w:cs="黑体"/>
          <w:sz w:val="30"/>
          <w:szCs w:val="30"/>
        </w:rPr>
      </w:pPr>
      <w:r>
        <w:rPr>
          <w:rFonts w:ascii="黑体" w:hAnsi="黑体" w:eastAsia="黑体" w:cs="黑体"/>
          <w:b/>
          <w:bCs/>
          <w:spacing w:val="-5"/>
          <w:sz w:val="30"/>
          <w:szCs w:val="30"/>
        </w:rPr>
        <w:t>文件修改记录</w:t>
      </w:r>
    </w:p>
    <w:p w14:paraId="3FBFB822">
      <w:pPr>
        <w:spacing w:before="114"/>
      </w:pPr>
    </w:p>
    <w:tbl>
      <w:tblPr>
        <w:tblStyle w:val="5"/>
        <w:tblW w:w="8508" w:type="dxa"/>
        <w:tblInd w:w="16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82"/>
        <w:gridCol w:w="1843"/>
        <w:gridCol w:w="1693"/>
        <w:gridCol w:w="1693"/>
        <w:gridCol w:w="1697"/>
      </w:tblGrid>
      <w:tr w14:paraId="5A6977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095A398B">
            <w:pPr>
              <w:spacing w:before="178" w:line="222" w:lineRule="auto"/>
              <w:ind w:left="228"/>
              <w:rPr>
                <w:rFonts w:ascii="黑体" w:hAnsi="黑体" w:eastAsia="黑体" w:cs="黑体"/>
                <w:sz w:val="28"/>
                <w:szCs w:val="28"/>
              </w:rPr>
            </w:pPr>
            <w:r>
              <w:rPr>
                <w:rFonts w:ascii="黑体" w:hAnsi="黑体" w:eastAsia="黑体" w:cs="黑体"/>
                <w:spacing w:val="-4"/>
                <w:sz w:val="28"/>
                <w:szCs w:val="28"/>
              </w:rPr>
              <w:t>文件版本</w:t>
            </w:r>
          </w:p>
        </w:tc>
        <w:tc>
          <w:tcPr>
            <w:tcW w:w="1843" w:type="dxa"/>
          </w:tcPr>
          <w:p w14:paraId="011354C2">
            <w:pPr>
              <w:spacing w:before="178" w:line="222" w:lineRule="auto"/>
              <w:ind w:left="367"/>
              <w:rPr>
                <w:rFonts w:ascii="黑体" w:hAnsi="黑体" w:eastAsia="黑体" w:cs="黑体"/>
                <w:sz w:val="28"/>
                <w:szCs w:val="28"/>
              </w:rPr>
            </w:pPr>
            <w:r>
              <w:rPr>
                <w:rFonts w:ascii="黑体" w:hAnsi="黑体" w:eastAsia="黑体" w:cs="黑体"/>
                <w:spacing w:val="-3"/>
                <w:sz w:val="28"/>
                <w:szCs w:val="28"/>
              </w:rPr>
              <w:t>修订内容</w:t>
            </w:r>
          </w:p>
        </w:tc>
        <w:tc>
          <w:tcPr>
            <w:tcW w:w="1693" w:type="dxa"/>
          </w:tcPr>
          <w:p w14:paraId="6E3DECF9">
            <w:pPr>
              <w:spacing w:before="178" w:line="222" w:lineRule="auto"/>
              <w:ind w:left="432"/>
              <w:rPr>
                <w:rFonts w:ascii="黑体" w:hAnsi="黑体" w:eastAsia="黑体" w:cs="黑体"/>
                <w:sz w:val="28"/>
                <w:szCs w:val="28"/>
              </w:rPr>
            </w:pPr>
            <w:r>
              <w:rPr>
                <w:rFonts w:ascii="黑体" w:hAnsi="黑体" w:eastAsia="黑体" w:cs="黑体"/>
                <w:spacing w:val="-3"/>
                <w:sz w:val="28"/>
                <w:szCs w:val="28"/>
              </w:rPr>
              <w:t>修改人</w:t>
            </w:r>
          </w:p>
        </w:tc>
        <w:tc>
          <w:tcPr>
            <w:tcW w:w="1693" w:type="dxa"/>
          </w:tcPr>
          <w:p w14:paraId="4CE0E42F">
            <w:pPr>
              <w:spacing w:before="178" w:line="223" w:lineRule="auto"/>
              <w:ind w:left="442"/>
              <w:rPr>
                <w:rFonts w:ascii="黑体" w:hAnsi="黑体" w:eastAsia="黑体" w:cs="黑体"/>
                <w:sz w:val="28"/>
                <w:szCs w:val="28"/>
              </w:rPr>
            </w:pPr>
            <w:r>
              <w:rPr>
                <w:rFonts w:ascii="黑体" w:hAnsi="黑体" w:eastAsia="黑体" w:cs="黑体"/>
                <w:spacing w:val="-6"/>
                <w:sz w:val="28"/>
                <w:szCs w:val="28"/>
              </w:rPr>
              <w:t>审核人</w:t>
            </w:r>
          </w:p>
        </w:tc>
        <w:tc>
          <w:tcPr>
            <w:tcW w:w="1697" w:type="dxa"/>
          </w:tcPr>
          <w:p w14:paraId="42410464">
            <w:pPr>
              <w:spacing w:before="177" w:line="222" w:lineRule="auto"/>
              <w:ind w:left="333"/>
              <w:rPr>
                <w:rFonts w:ascii="黑体" w:hAnsi="黑体" w:eastAsia="黑体" w:cs="黑体"/>
                <w:sz w:val="28"/>
                <w:szCs w:val="28"/>
              </w:rPr>
            </w:pPr>
            <w:r>
              <w:rPr>
                <w:rFonts w:ascii="黑体" w:hAnsi="黑体" w:eastAsia="黑体" w:cs="黑体"/>
                <w:spacing w:val="-2"/>
                <w:sz w:val="28"/>
                <w:szCs w:val="28"/>
              </w:rPr>
              <w:t>生效日期</w:t>
            </w:r>
          </w:p>
        </w:tc>
      </w:tr>
      <w:tr w14:paraId="54918B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5" w:hRule="atLeast"/>
        </w:trPr>
        <w:tc>
          <w:tcPr>
            <w:tcW w:w="1582" w:type="dxa"/>
          </w:tcPr>
          <w:p w14:paraId="640B0C35">
            <w:pPr>
              <w:spacing w:before="177" w:line="241" w:lineRule="auto"/>
              <w:ind w:left="310"/>
              <w:rPr>
                <w:rFonts w:ascii="黑体" w:hAnsi="黑体" w:eastAsia="黑体" w:cs="黑体"/>
                <w:sz w:val="28"/>
                <w:szCs w:val="28"/>
              </w:rPr>
            </w:pPr>
            <w:r>
              <w:rPr>
                <w:rFonts w:ascii="黑体" w:hAnsi="黑体" w:eastAsia="黑体" w:cs="黑体"/>
                <w:spacing w:val="-1"/>
                <w:sz w:val="28"/>
                <w:szCs w:val="28"/>
              </w:rPr>
              <w:t>V1.0</w:t>
            </w:r>
          </w:p>
        </w:tc>
        <w:tc>
          <w:tcPr>
            <w:tcW w:w="1843" w:type="dxa"/>
          </w:tcPr>
          <w:p w14:paraId="5E5F13A2">
            <w:pPr>
              <w:spacing w:before="178" w:line="223" w:lineRule="auto"/>
              <w:ind w:left="558" w:right="28" w:hanging="420"/>
              <w:rPr>
                <w:rFonts w:ascii="黑体" w:hAnsi="黑体" w:eastAsia="黑体" w:cs="黑体"/>
                <w:sz w:val="28"/>
                <w:szCs w:val="28"/>
              </w:rPr>
            </w:pPr>
            <w:r>
              <w:rPr>
                <w:rFonts w:ascii="黑体" w:hAnsi="黑体" w:eastAsia="黑体" w:cs="黑体"/>
                <w:spacing w:val="-2"/>
                <w:sz w:val="28"/>
                <w:szCs w:val="28"/>
              </w:rPr>
              <w:t>初始版本，文</w:t>
            </w:r>
            <w:r>
              <w:rPr>
                <w:rFonts w:ascii="黑体" w:hAnsi="黑体" w:eastAsia="黑体" w:cs="黑体"/>
                <w:spacing w:val="-3"/>
                <w:sz w:val="28"/>
                <w:szCs w:val="28"/>
              </w:rPr>
              <w:t>档建立</w:t>
            </w:r>
          </w:p>
        </w:tc>
        <w:tc>
          <w:tcPr>
            <w:tcW w:w="1693" w:type="dxa"/>
          </w:tcPr>
          <w:p w14:paraId="6A1C4EAE">
            <w:pPr>
              <w:spacing w:before="177" w:line="222" w:lineRule="auto"/>
              <w:ind w:left="439"/>
              <w:rPr>
                <w:rFonts w:ascii="黑体" w:hAnsi="黑体" w:eastAsia="黑体" w:cs="黑体"/>
                <w:sz w:val="28"/>
                <w:szCs w:val="28"/>
              </w:rPr>
            </w:pPr>
            <w:r>
              <w:rPr>
                <w:rFonts w:ascii="黑体" w:hAnsi="黑体" w:eastAsia="黑体" w:cs="黑体"/>
                <w:spacing w:val="-5"/>
                <w:sz w:val="28"/>
                <w:szCs w:val="28"/>
              </w:rPr>
              <w:t>姜晓建</w:t>
            </w:r>
          </w:p>
        </w:tc>
        <w:tc>
          <w:tcPr>
            <w:tcW w:w="1693" w:type="dxa"/>
          </w:tcPr>
          <w:p w14:paraId="52DAEA0F">
            <w:pPr>
              <w:spacing w:before="177" w:line="222" w:lineRule="auto"/>
              <w:ind w:left="493"/>
              <w:rPr>
                <w:rFonts w:ascii="黑体" w:hAnsi="黑体" w:eastAsia="黑体" w:cs="黑体"/>
                <w:sz w:val="28"/>
                <w:szCs w:val="28"/>
              </w:rPr>
            </w:pPr>
            <w:r>
              <w:rPr>
                <w:rFonts w:ascii="黑体" w:hAnsi="黑体" w:eastAsia="黑体" w:cs="黑体"/>
                <w:spacing w:val="-5"/>
                <w:sz w:val="28"/>
                <w:szCs w:val="28"/>
              </w:rPr>
              <w:t>姜晓建</w:t>
            </w:r>
          </w:p>
        </w:tc>
        <w:tc>
          <w:tcPr>
            <w:tcW w:w="1697" w:type="dxa"/>
          </w:tcPr>
          <w:p w14:paraId="4DD3F8EF">
            <w:pPr>
              <w:spacing w:before="177" w:line="241" w:lineRule="auto"/>
              <w:ind w:left="261"/>
              <w:rPr>
                <w:rFonts w:hint="default" w:ascii="黑体" w:hAnsi="黑体" w:eastAsia="黑体" w:cs="黑体"/>
                <w:sz w:val="28"/>
                <w:szCs w:val="28"/>
                <w:lang w:val="en-US" w:eastAsia="zh-CN"/>
              </w:rPr>
            </w:pPr>
            <w:r>
              <w:rPr>
                <w:rFonts w:ascii="黑体" w:hAnsi="黑体" w:eastAsia="黑体" w:cs="黑体"/>
                <w:spacing w:val="-1"/>
                <w:sz w:val="28"/>
                <w:szCs w:val="28"/>
              </w:rPr>
              <w:t>2025.</w:t>
            </w:r>
            <w:r>
              <w:rPr>
                <w:rFonts w:hint="eastAsia" w:ascii="黑体" w:hAnsi="黑体" w:eastAsia="黑体" w:cs="黑体"/>
                <w:spacing w:val="-1"/>
                <w:sz w:val="28"/>
                <w:szCs w:val="28"/>
                <w:lang w:val="en-US" w:eastAsia="zh-CN"/>
              </w:rPr>
              <w:t>9</w:t>
            </w:r>
            <w:r>
              <w:rPr>
                <w:rFonts w:ascii="黑体" w:hAnsi="黑体" w:eastAsia="黑体" w:cs="黑体"/>
                <w:spacing w:val="-1"/>
                <w:sz w:val="28"/>
                <w:szCs w:val="28"/>
              </w:rPr>
              <w:t>.</w:t>
            </w:r>
            <w:r>
              <w:rPr>
                <w:rFonts w:hint="eastAsia" w:ascii="黑体" w:hAnsi="黑体" w:eastAsia="黑体" w:cs="黑体"/>
                <w:spacing w:val="-1"/>
                <w:sz w:val="28"/>
                <w:szCs w:val="28"/>
                <w:lang w:val="en-US" w:eastAsia="zh-CN"/>
              </w:rPr>
              <w:t>25</w:t>
            </w:r>
          </w:p>
        </w:tc>
      </w:tr>
      <w:tr w14:paraId="64940E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6435DB5F">
            <w:pPr>
              <w:pStyle w:val="6"/>
            </w:pPr>
          </w:p>
        </w:tc>
        <w:tc>
          <w:tcPr>
            <w:tcW w:w="1843" w:type="dxa"/>
          </w:tcPr>
          <w:p w14:paraId="4AFE754E">
            <w:pPr>
              <w:pStyle w:val="6"/>
            </w:pPr>
          </w:p>
        </w:tc>
        <w:tc>
          <w:tcPr>
            <w:tcW w:w="1693" w:type="dxa"/>
          </w:tcPr>
          <w:p w14:paraId="4F3E15AF">
            <w:pPr>
              <w:pStyle w:val="6"/>
            </w:pPr>
          </w:p>
        </w:tc>
        <w:tc>
          <w:tcPr>
            <w:tcW w:w="1693" w:type="dxa"/>
          </w:tcPr>
          <w:p w14:paraId="46560CF3">
            <w:pPr>
              <w:pStyle w:val="6"/>
            </w:pPr>
          </w:p>
        </w:tc>
        <w:tc>
          <w:tcPr>
            <w:tcW w:w="1697" w:type="dxa"/>
          </w:tcPr>
          <w:p w14:paraId="5E1FA7F1">
            <w:pPr>
              <w:pStyle w:val="6"/>
            </w:pPr>
          </w:p>
        </w:tc>
      </w:tr>
      <w:tr w14:paraId="61ECDE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5160854C">
            <w:pPr>
              <w:pStyle w:val="6"/>
            </w:pPr>
          </w:p>
        </w:tc>
        <w:tc>
          <w:tcPr>
            <w:tcW w:w="1843" w:type="dxa"/>
          </w:tcPr>
          <w:p w14:paraId="27C89B02">
            <w:pPr>
              <w:pStyle w:val="6"/>
            </w:pPr>
          </w:p>
        </w:tc>
        <w:tc>
          <w:tcPr>
            <w:tcW w:w="1693" w:type="dxa"/>
          </w:tcPr>
          <w:p w14:paraId="13D5624D">
            <w:pPr>
              <w:pStyle w:val="6"/>
            </w:pPr>
          </w:p>
        </w:tc>
        <w:tc>
          <w:tcPr>
            <w:tcW w:w="1693" w:type="dxa"/>
          </w:tcPr>
          <w:p w14:paraId="050244A5">
            <w:pPr>
              <w:pStyle w:val="6"/>
            </w:pPr>
          </w:p>
        </w:tc>
        <w:tc>
          <w:tcPr>
            <w:tcW w:w="1697" w:type="dxa"/>
          </w:tcPr>
          <w:p w14:paraId="6013362F">
            <w:pPr>
              <w:pStyle w:val="6"/>
            </w:pPr>
          </w:p>
        </w:tc>
      </w:tr>
      <w:tr w14:paraId="169C8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582" w:type="dxa"/>
          </w:tcPr>
          <w:p w14:paraId="0D338114">
            <w:pPr>
              <w:pStyle w:val="6"/>
            </w:pPr>
          </w:p>
        </w:tc>
        <w:tc>
          <w:tcPr>
            <w:tcW w:w="1843" w:type="dxa"/>
          </w:tcPr>
          <w:p w14:paraId="1E0DC1C9">
            <w:pPr>
              <w:pStyle w:val="6"/>
            </w:pPr>
          </w:p>
        </w:tc>
        <w:tc>
          <w:tcPr>
            <w:tcW w:w="1693" w:type="dxa"/>
          </w:tcPr>
          <w:p w14:paraId="576C74CC">
            <w:pPr>
              <w:pStyle w:val="6"/>
            </w:pPr>
          </w:p>
        </w:tc>
        <w:tc>
          <w:tcPr>
            <w:tcW w:w="1693" w:type="dxa"/>
          </w:tcPr>
          <w:p w14:paraId="0ECA79E8">
            <w:pPr>
              <w:pStyle w:val="6"/>
            </w:pPr>
          </w:p>
        </w:tc>
        <w:tc>
          <w:tcPr>
            <w:tcW w:w="1697" w:type="dxa"/>
          </w:tcPr>
          <w:p w14:paraId="3DBCD435">
            <w:pPr>
              <w:pStyle w:val="6"/>
            </w:pPr>
          </w:p>
        </w:tc>
      </w:tr>
      <w:tr w14:paraId="6AD912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0517F379">
            <w:pPr>
              <w:pStyle w:val="6"/>
            </w:pPr>
          </w:p>
        </w:tc>
        <w:tc>
          <w:tcPr>
            <w:tcW w:w="1843" w:type="dxa"/>
          </w:tcPr>
          <w:p w14:paraId="10B0EE43">
            <w:pPr>
              <w:pStyle w:val="6"/>
            </w:pPr>
          </w:p>
        </w:tc>
        <w:tc>
          <w:tcPr>
            <w:tcW w:w="1693" w:type="dxa"/>
          </w:tcPr>
          <w:p w14:paraId="29EE85F0">
            <w:pPr>
              <w:pStyle w:val="6"/>
            </w:pPr>
          </w:p>
        </w:tc>
        <w:tc>
          <w:tcPr>
            <w:tcW w:w="1693" w:type="dxa"/>
          </w:tcPr>
          <w:p w14:paraId="3C1A7A80">
            <w:pPr>
              <w:pStyle w:val="6"/>
            </w:pPr>
          </w:p>
        </w:tc>
        <w:tc>
          <w:tcPr>
            <w:tcW w:w="1697" w:type="dxa"/>
          </w:tcPr>
          <w:p w14:paraId="4A46C07C">
            <w:pPr>
              <w:pStyle w:val="6"/>
            </w:pPr>
          </w:p>
        </w:tc>
      </w:tr>
      <w:tr w14:paraId="666B33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51DDC5D6">
            <w:pPr>
              <w:pStyle w:val="6"/>
            </w:pPr>
          </w:p>
        </w:tc>
        <w:tc>
          <w:tcPr>
            <w:tcW w:w="1843" w:type="dxa"/>
          </w:tcPr>
          <w:p w14:paraId="1535FB53">
            <w:pPr>
              <w:pStyle w:val="6"/>
            </w:pPr>
          </w:p>
        </w:tc>
        <w:tc>
          <w:tcPr>
            <w:tcW w:w="1693" w:type="dxa"/>
          </w:tcPr>
          <w:p w14:paraId="0E21917F">
            <w:pPr>
              <w:pStyle w:val="6"/>
            </w:pPr>
          </w:p>
        </w:tc>
        <w:tc>
          <w:tcPr>
            <w:tcW w:w="1693" w:type="dxa"/>
          </w:tcPr>
          <w:p w14:paraId="42B1BC31">
            <w:pPr>
              <w:pStyle w:val="6"/>
            </w:pPr>
          </w:p>
        </w:tc>
        <w:tc>
          <w:tcPr>
            <w:tcW w:w="1697" w:type="dxa"/>
          </w:tcPr>
          <w:p w14:paraId="3B5479EF">
            <w:pPr>
              <w:pStyle w:val="6"/>
            </w:pPr>
          </w:p>
        </w:tc>
      </w:tr>
      <w:tr w14:paraId="109806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82" w:type="dxa"/>
          </w:tcPr>
          <w:p w14:paraId="1F83A08C">
            <w:pPr>
              <w:pStyle w:val="6"/>
            </w:pPr>
          </w:p>
        </w:tc>
        <w:tc>
          <w:tcPr>
            <w:tcW w:w="1843" w:type="dxa"/>
          </w:tcPr>
          <w:p w14:paraId="3248E5E9">
            <w:pPr>
              <w:pStyle w:val="6"/>
            </w:pPr>
          </w:p>
        </w:tc>
        <w:tc>
          <w:tcPr>
            <w:tcW w:w="1693" w:type="dxa"/>
          </w:tcPr>
          <w:p w14:paraId="4810899E">
            <w:pPr>
              <w:pStyle w:val="6"/>
            </w:pPr>
          </w:p>
        </w:tc>
        <w:tc>
          <w:tcPr>
            <w:tcW w:w="1693" w:type="dxa"/>
          </w:tcPr>
          <w:p w14:paraId="3BB7ABF8">
            <w:pPr>
              <w:pStyle w:val="6"/>
            </w:pPr>
          </w:p>
        </w:tc>
        <w:tc>
          <w:tcPr>
            <w:tcW w:w="1697" w:type="dxa"/>
          </w:tcPr>
          <w:p w14:paraId="6D5DF800">
            <w:pPr>
              <w:pStyle w:val="6"/>
            </w:pPr>
          </w:p>
        </w:tc>
      </w:tr>
      <w:tr w14:paraId="2686DA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582" w:type="dxa"/>
          </w:tcPr>
          <w:p w14:paraId="1C3DC1A4">
            <w:pPr>
              <w:pStyle w:val="6"/>
            </w:pPr>
          </w:p>
        </w:tc>
        <w:tc>
          <w:tcPr>
            <w:tcW w:w="1843" w:type="dxa"/>
          </w:tcPr>
          <w:p w14:paraId="0CDE47F0">
            <w:pPr>
              <w:pStyle w:val="6"/>
            </w:pPr>
          </w:p>
        </w:tc>
        <w:tc>
          <w:tcPr>
            <w:tcW w:w="1693" w:type="dxa"/>
          </w:tcPr>
          <w:p w14:paraId="7458E8E0">
            <w:pPr>
              <w:pStyle w:val="6"/>
            </w:pPr>
          </w:p>
        </w:tc>
        <w:tc>
          <w:tcPr>
            <w:tcW w:w="1693" w:type="dxa"/>
          </w:tcPr>
          <w:p w14:paraId="0C57B787">
            <w:pPr>
              <w:pStyle w:val="6"/>
            </w:pPr>
          </w:p>
        </w:tc>
        <w:tc>
          <w:tcPr>
            <w:tcW w:w="1697" w:type="dxa"/>
          </w:tcPr>
          <w:p w14:paraId="71DA553C">
            <w:pPr>
              <w:pStyle w:val="6"/>
            </w:pPr>
          </w:p>
        </w:tc>
      </w:tr>
      <w:tr w14:paraId="4FB97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1582" w:type="dxa"/>
          </w:tcPr>
          <w:p w14:paraId="20355498">
            <w:pPr>
              <w:pStyle w:val="6"/>
            </w:pPr>
          </w:p>
        </w:tc>
        <w:tc>
          <w:tcPr>
            <w:tcW w:w="1843" w:type="dxa"/>
          </w:tcPr>
          <w:p w14:paraId="11C29EC8">
            <w:pPr>
              <w:pStyle w:val="6"/>
            </w:pPr>
          </w:p>
        </w:tc>
        <w:tc>
          <w:tcPr>
            <w:tcW w:w="1693" w:type="dxa"/>
          </w:tcPr>
          <w:p w14:paraId="621073A4">
            <w:pPr>
              <w:pStyle w:val="6"/>
            </w:pPr>
          </w:p>
        </w:tc>
        <w:tc>
          <w:tcPr>
            <w:tcW w:w="1693" w:type="dxa"/>
          </w:tcPr>
          <w:p w14:paraId="38BF9F8F">
            <w:pPr>
              <w:pStyle w:val="6"/>
            </w:pPr>
          </w:p>
        </w:tc>
        <w:tc>
          <w:tcPr>
            <w:tcW w:w="1697" w:type="dxa"/>
          </w:tcPr>
          <w:p w14:paraId="39EADD32">
            <w:pPr>
              <w:pStyle w:val="6"/>
            </w:pPr>
          </w:p>
        </w:tc>
      </w:tr>
    </w:tbl>
    <w:p w14:paraId="08E1EEA5">
      <w:pPr>
        <w:pStyle w:val="2"/>
      </w:pPr>
    </w:p>
    <w:p w14:paraId="539E0808">
      <w:pPr>
        <w:sectPr>
          <w:headerReference r:id="rId6" w:type="default"/>
          <w:footerReference r:id="rId7" w:type="default"/>
          <w:pgSz w:w="11910" w:h="16840"/>
          <w:pgMar w:top="1574" w:right="1477" w:bottom="961" w:left="1760" w:header="1068" w:footer="726" w:gutter="0"/>
          <w:cols w:space="720" w:num="1"/>
        </w:sectPr>
      </w:pPr>
    </w:p>
    <w:p w14:paraId="69B26A21">
      <w:pPr>
        <w:pStyle w:val="2"/>
        <w:spacing w:line="349" w:lineRule="auto"/>
      </w:pPr>
    </w:p>
    <w:sdt>
      <w:sdtPr>
        <w:rPr>
          <w:rFonts w:ascii="宋体" w:hAnsi="宋体" w:eastAsia="宋体" w:cs="宋体"/>
          <w:sz w:val="24"/>
          <w:szCs w:val="24"/>
        </w:rPr>
        <w:id w:val="1271299937"/>
        <w:docPartObj>
          <w:docPartGallery w:val="Table of Contents"/>
          <w:docPartUnique/>
        </w:docPartObj>
      </w:sdtPr>
      <w:sdtEndPr>
        <w:rPr>
          <w:rFonts w:ascii="宋体" w:hAnsi="宋体" w:eastAsia="宋体" w:cs="宋体"/>
          <w:sz w:val="24"/>
          <w:szCs w:val="24"/>
        </w:rPr>
      </w:sdtEndPr>
      <w:sdtContent>
        <w:p w14:paraId="10711DB4">
          <w:pPr>
            <w:spacing w:before="78" w:line="221" w:lineRule="auto"/>
            <w:ind w:left="4150"/>
            <w:rPr>
              <w:rFonts w:ascii="宋体" w:hAnsi="宋体" w:eastAsia="宋体" w:cs="宋体"/>
              <w:sz w:val="24"/>
              <w:szCs w:val="24"/>
            </w:rPr>
          </w:pPr>
          <w:r>
            <w:rPr>
              <w:rFonts w:ascii="宋体" w:hAnsi="宋体" w:eastAsia="宋体" w:cs="宋体"/>
              <w:spacing w:val="-28"/>
              <w:sz w:val="24"/>
              <w:szCs w:val="24"/>
            </w:rPr>
            <w:t>目录</w:t>
          </w:r>
        </w:p>
        <w:p w14:paraId="2D319359">
          <w:pPr>
            <w:tabs>
              <w:tab w:val="right" w:leader="dot" w:pos="8679"/>
            </w:tabs>
            <w:spacing w:before="180" w:line="185" w:lineRule="auto"/>
            <w:ind w:left="18"/>
            <w:rPr>
              <w:rFonts w:ascii="宋体" w:hAnsi="宋体" w:eastAsia="宋体" w:cs="宋体"/>
              <w:sz w:val="24"/>
              <w:szCs w:val="24"/>
            </w:rPr>
          </w:pPr>
          <w:r>
            <w:fldChar w:fldCharType="begin"/>
          </w:r>
          <w:r>
            <w:instrText xml:space="preserve"> HYPERLINK \l "bookmark1" </w:instrText>
          </w:r>
          <w:r>
            <w:fldChar w:fldCharType="separate"/>
          </w:r>
          <w:r>
            <w:rPr>
              <w:rFonts w:ascii="宋体" w:hAnsi="宋体" w:eastAsia="宋体" w:cs="宋体"/>
              <w:spacing w:val="-8"/>
              <w:sz w:val="24"/>
              <w:szCs w:val="24"/>
            </w:rPr>
            <w:t>1</w:t>
          </w:r>
          <w:r>
            <w:rPr>
              <w:rFonts w:ascii="宋体" w:hAnsi="宋体" w:eastAsia="宋体" w:cs="宋体"/>
              <w:spacing w:val="11"/>
              <w:sz w:val="24"/>
              <w:szCs w:val="24"/>
            </w:rPr>
            <w:t xml:space="preserve"> </w:t>
          </w:r>
          <w:r>
            <w:rPr>
              <w:rFonts w:ascii="宋体" w:hAnsi="宋体" w:eastAsia="宋体" w:cs="宋体"/>
              <w:spacing w:val="-8"/>
              <w:sz w:val="24"/>
              <w:szCs w:val="24"/>
            </w:rPr>
            <w:t>评审安排</w:t>
          </w:r>
          <w:r>
            <w:rPr>
              <w:rFonts w:ascii="宋体" w:hAnsi="宋体" w:eastAsia="宋体" w:cs="宋体"/>
              <w:sz w:val="24"/>
              <w:szCs w:val="24"/>
            </w:rPr>
            <w:tab/>
          </w:r>
          <w:r>
            <w:rPr>
              <w:rFonts w:ascii="宋体" w:hAnsi="宋体" w:eastAsia="宋体" w:cs="宋体"/>
              <w:spacing w:val="-63"/>
              <w:sz w:val="24"/>
              <w:szCs w:val="24"/>
            </w:rPr>
            <w:t xml:space="preserve"> </w:t>
          </w:r>
          <w:r>
            <w:rPr>
              <w:rFonts w:ascii="宋体" w:hAnsi="宋体" w:eastAsia="宋体" w:cs="宋体"/>
              <w:spacing w:val="-9"/>
              <w:sz w:val="24"/>
              <w:szCs w:val="24"/>
            </w:rPr>
            <w:t>4</w:t>
          </w:r>
          <w:r>
            <w:fldChar w:fldCharType="end"/>
          </w:r>
        </w:p>
        <w:p w14:paraId="2833835A">
          <w:pPr>
            <w:tabs>
              <w:tab w:val="right" w:leader="dot" w:pos="8679"/>
            </w:tabs>
            <w:spacing w:before="227" w:line="185" w:lineRule="auto"/>
            <w:ind w:left="3"/>
            <w:rPr>
              <w:rFonts w:ascii="宋体" w:hAnsi="宋体" w:eastAsia="宋体" w:cs="宋体"/>
              <w:sz w:val="24"/>
              <w:szCs w:val="24"/>
            </w:rPr>
          </w:pPr>
          <w:r>
            <w:fldChar w:fldCharType="begin"/>
          </w:r>
          <w:r>
            <w:instrText xml:space="preserve"> HYPERLINK \l "bookmark2" </w:instrText>
          </w:r>
          <w:r>
            <w:fldChar w:fldCharType="separate"/>
          </w:r>
          <w:r>
            <w:rPr>
              <w:rFonts w:ascii="宋体" w:hAnsi="宋体" w:eastAsia="宋体" w:cs="宋体"/>
              <w:spacing w:val="-3"/>
              <w:sz w:val="24"/>
              <w:szCs w:val="24"/>
            </w:rPr>
            <w:t>2 评审目的</w:t>
          </w:r>
          <w:r>
            <w:rPr>
              <w:rFonts w:ascii="宋体" w:hAnsi="宋体" w:eastAsia="宋体" w:cs="宋体"/>
              <w:sz w:val="24"/>
              <w:szCs w:val="24"/>
            </w:rPr>
            <w:tab/>
          </w:r>
          <w:r>
            <w:rPr>
              <w:rFonts w:ascii="宋体" w:hAnsi="宋体" w:eastAsia="宋体" w:cs="宋体"/>
              <w:spacing w:val="-63"/>
              <w:sz w:val="24"/>
              <w:szCs w:val="24"/>
            </w:rPr>
            <w:t xml:space="preserve"> </w:t>
          </w:r>
          <w:r>
            <w:rPr>
              <w:rFonts w:ascii="宋体" w:hAnsi="宋体" w:eastAsia="宋体" w:cs="宋体"/>
              <w:spacing w:val="-9"/>
              <w:sz w:val="24"/>
              <w:szCs w:val="24"/>
            </w:rPr>
            <w:t>4</w:t>
          </w:r>
          <w:r>
            <w:fldChar w:fldCharType="end"/>
          </w:r>
        </w:p>
        <w:p w14:paraId="64B3D4DE">
          <w:pPr>
            <w:tabs>
              <w:tab w:val="right" w:leader="dot" w:pos="8679"/>
            </w:tabs>
            <w:spacing w:before="225" w:line="185" w:lineRule="auto"/>
            <w:ind w:left="5"/>
            <w:rPr>
              <w:rFonts w:ascii="宋体" w:hAnsi="宋体" w:eastAsia="宋体" w:cs="宋体"/>
              <w:sz w:val="24"/>
              <w:szCs w:val="24"/>
            </w:rPr>
          </w:pPr>
          <w:r>
            <w:fldChar w:fldCharType="begin"/>
          </w:r>
          <w:r>
            <w:instrText xml:space="preserve"> HYPERLINK \l "bookmark3" </w:instrText>
          </w:r>
          <w:r>
            <w:fldChar w:fldCharType="separate"/>
          </w:r>
          <w:r>
            <w:rPr>
              <w:rFonts w:ascii="宋体" w:hAnsi="宋体" w:eastAsia="宋体" w:cs="宋体"/>
              <w:spacing w:val="-5"/>
              <w:sz w:val="24"/>
              <w:szCs w:val="24"/>
            </w:rPr>
            <w:t>3</w:t>
          </w:r>
          <w:r>
            <w:rPr>
              <w:rFonts w:ascii="宋体" w:hAnsi="宋体" w:eastAsia="宋体" w:cs="宋体"/>
              <w:spacing w:val="9"/>
              <w:sz w:val="24"/>
              <w:szCs w:val="24"/>
            </w:rPr>
            <w:t xml:space="preserve"> </w:t>
          </w:r>
          <w:r>
            <w:rPr>
              <w:rFonts w:ascii="宋体" w:hAnsi="宋体" w:eastAsia="宋体" w:cs="宋体"/>
              <w:spacing w:val="-5"/>
              <w:sz w:val="24"/>
              <w:szCs w:val="24"/>
            </w:rPr>
            <w:t>评审范围</w:t>
          </w:r>
          <w:r>
            <w:rPr>
              <w:rFonts w:ascii="宋体" w:hAnsi="宋体" w:eastAsia="宋体" w:cs="宋体"/>
              <w:sz w:val="24"/>
              <w:szCs w:val="24"/>
            </w:rPr>
            <w:tab/>
          </w:r>
          <w:r>
            <w:rPr>
              <w:rFonts w:ascii="宋体" w:hAnsi="宋体" w:eastAsia="宋体" w:cs="宋体"/>
              <w:spacing w:val="-63"/>
              <w:sz w:val="24"/>
              <w:szCs w:val="24"/>
            </w:rPr>
            <w:t xml:space="preserve"> </w:t>
          </w:r>
          <w:r>
            <w:rPr>
              <w:rFonts w:ascii="宋体" w:hAnsi="宋体" w:eastAsia="宋体" w:cs="宋体"/>
              <w:spacing w:val="-9"/>
              <w:sz w:val="24"/>
              <w:szCs w:val="24"/>
            </w:rPr>
            <w:t>4</w:t>
          </w:r>
          <w:r>
            <w:fldChar w:fldCharType="end"/>
          </w:r>
        </w:p>
        <w:p w14:paraId="5D7E8DF1">
          <w:pPr>
            <w:tabs>
              <w:tab w:val="right" w:leader="dot" w:pos="8679"/>
            </w:tabs>
            <w:spacing w:before="227" w:line="184" w:lineRule="auto"/>
            <w:rPr>
              <w:rFonts w:ascii="宋体" w:hAnsi="宋体" w:eastAsia="宋体" w:cs="宋体"/>
              <w:sz w:val="24"/>
              <w:szCs w:val="24"/>
            </w:rPr>
          </w:pPr>
          <w:r>
            <w:fldChar w:fldCharType="begin"/>
          </w:r>
          <w:r>
            <w:instrText xml:space="preserve"> HYPERLINK \l "bookmark4" </w:instrText>
          </w:r>
          <w:r>
            <w:fldChar w:fldCharType="separate"/>
          </w:r>
          <w:r>
            <w:rPr>
              <w:rFonts w:ascii="宋体" w:hAnsi="宋体" w:eastAsia="宋体" w:cs="宋体"/>
              <w:spacing w:val="-2"/>
              <w:sz w:val="24"/>
              <w:szCs w:val="24"/>
            </w:rPr>
            <w:t>4 评审内容</w:t>
          </w:r>
          <w:r>
            <w:rPr>
              <w:rFonts w:ascii="宋体" w:hAnsi="宋体" w:eastAsia="宋体" w:cs="宋体"/>
              <w:sz w:val="24"/>
              <w:szCs w:val="24"/>
            </w:rPr>
            <w:tab/>
          </w:r>
          <w:r>
            <w:rPr>
              <w:rFonts w:ascii="宋体" w:hAnsi="宋体" w:eastAsia="宋体" w:cs="宋体"/>
              <w:spacing w:val="-63"/>
              <w:sz w:val="24"/>
              <w:szCs w:val="24"/>
            </w:rPr>
            <w:t xml:space="preserve"> </w:t>
          </w:r>
          <w:r>
            <w:rPr>
              <w:rFonts w:ascii="宋体" w:hAnsi="宋体" w:eastAsia="宋体" w:cs="宋体"/>
              <w:spacing w:val="-9"/>
              <w:sz w:val="24"/>
              <w:szCs w:val="24"/>
            </w:rPr>
            <w:t>4</w:t>
          </w:r>
          <w:r>
            <w:fldChar w:fldCharType="end"/>
          </w:r>
        </w:p>
        <w:p w14:paraId="23AF77E4">
          <w:pPr>
            <w:tabs>
              <w:tab w:val="right" w:leader="dot" w:pos="8679"/>
            </w:tabs>
            <w:spacing w:before="226" w:line="185" w:lineRule="auto"/>
            <w:ind w:left="5"/>
            <w:rPr>
              <w:rFonts w:ascii="宋体" w:hAnsi="宋体" w:eastAsia="宋体" w:cs="宋体"/>
              <w:sz w:val="24"/>
              <w:szCs w:val="24"/>
            </w:rPr>
          </w:pPr>
          <w:r>
            <w:fldChar w:fldCharType="begin"/>
          </w:r>
          <w:r>
            <w:instrText xml:space="preserve"> HYPERLINK \l "bookmark5" </w:instrText>
          </w:r>
          <w:r>
            <w:fldChar w:fldCharType="separate"/>
          </w:r>
          <w:r>
            <w:rPr>
              <w:rFonts w:ascii="宋体" w:hAnsi="宋体" w:eastAsia="宋体" w:cs="宋体"/>
              <w:spacing w:val="-7"/>
              <w:sz w:val="24"/>
              <w:szCs w:val="24"/>
            </w:rPr>
            <w:t>5</w:t>
          </w:r>
          <w:r>
            <w:rPr>
              <w:rFonts w:ascii="宋体" w:hAnsi="宋体" w:eastAsia="宋体" w:cs="宋体"/>
              <w:spacing w:val="19"/>
              <w:sz w:val="24"/>
              <w:szCs w:val="24"/>
            </w:rPr>
            <w:t xml:space="preserve"> </w:t>
          </w:r>
          <w:r>
            <w:rPr>
              <w:rFonts w:ascii="宋体" w:hAnsi="宋体" w:eastAsia="宋体" w:cs="宋体"/>
              <w:spacing w:val="-7"/>
              <w:sz w:val="24"/>
              <w:szCs w:val="24"/>
            </w:rPr>
            <w:t>改进意见</w:t>
          </w:r>
          <w:r>
            <w:rPr>
              <w:rFonts w:ascii="宋体" w:hAnsi="宋体" w:eastAsia="宋体" w:cs="宋体"/>
              <w:sz w:val="24"/>
              <w:szCs w:val="24"/>
            </w:rPr>
            <w:tab/>
          </w:r>
          <w:r>
            <w:rPr>
              <w:rFonts w:ascii="宋体" w:hAnsi="宋体" w:eastAsia="宋体" w:cs="宋体"/>
              <w:spacing w:val="-58"/>
              <w:sz w:val="24"/>
              <w:szCs w:val="24"/>
            </w:rPr>
            <w:t xml:space="preserve"> </w:t>
          </w:r>
          <w:r>
            <w:rPr>
              <w:rFonts w:ascii="宋体" w:hAnsi="宋体" w:eastAsia="宋体" w:cs="宋体"/>
              <w:spacing w:val="-15"/>
              <w:sz w:val="24"/>
              <w:szCs w:val="24"/>
            </w:rPr>
            <w:t>5</w:t>
          </w:r>
          <w:r>
            <w:fldChar w:fldCharType="end"/>
          </w:r>
        </w:p>
        <w:p w14:paraId="7A5707BD">
          <w:pPr>
            <w:tabs>
              <w:tab w:val="right" w:leader="dot" w:pos="8679"/>
            </w:tabs>
            <w:spacing w:before="224" w:line="220" w:lineRule="auto"/>
            <w:ind w:left="2"/>
            <w:rPr>
              <w:rFonts w:ascii="宋体" w:hAnsi="宋体" w:eastAsia="宋体" w:cs="宋体"/>
              <w:sz w:val="24"/>
              <w:szCs w:val="24"/>
            </w:rPr>
          </w:pPr>
          <w:r>
            <w:fldChar w:fldCharType="begin"/>
          </w:r>
          <w:r>
            <w:instrText xml:space="preserve"> HYPERLINK \l "bookmark6" </w:instrText>
          </w:r>
          <w:r>
            <w:fldChar w:fldCharType="separate"/>
          </w:r>
          <w:r>
            <w:rPr>
              <w:rFonts w:ascii="宋体" w:hAnsi="宋体" w:eastAsia="宋体" w:cs="宋体"/>
              <w:spacing w:val="-2"/>
              <w:sz w:val="24"/>
              <w:szCs w:val="24"/>
            </w:rPr>
            <w:t>6 评审总结</w:t>
          </w:r>
          <w:r>
            <w:rPr>
              <w:rFonts w:ascii="宋体" w:hAnsi="宋体" w:eastAsia="宋体" w:cs="宋体"/>
              <w:sz w:val="24"/>
              <w:szCs w:val="24"/>
            </w:rPr>
            <w:tab/>
          </w:r>
          <w:r>
            <w:rPr>
              <w:rFonts w:ascii="宋体" w:hAnsi="宋体" w:eastAsia="宋体" w:cs="宋体"/>
              <w:spacing w:val="-58"/>
              <w:sz w:val="24"/>
              <w:szCs w:val="24"/>
            </w:rPr>
            <w:t xml:space="preserve"> </w:t>
          </w:r>
          <w:r>
            <w:rPr>
              <w:rFonts w:ascii="宋体" w:hAnsi="宋体" w:eastAsia="宋体" w:cs="宋体"/>
              <w:spacing w:val="-15"/>
              <w:sz w:val="24"/>
              <w:szCs w:val="24"/>
            </w:rPr>
            <w:t>5</w:t>
          </w:r>
          <w:r>
            <w:fldChar w:fldCharType="end"/>
          </w:r>
        </w:p>
      </w:sdtContent>
    </w:sdt>
    <w:p w14:paraId="173FCEF0">
      <w:pPr>
        <w:spacing w:line="220" w:lineRule="auto"/>
        <w:rPr>
          <w:rFonts w:ascii="宋体" w:hAnsi="宋体" w:eastAsia="宋体" w:cs="宋体"/>
          <w:sz w:val="24"/>
          <w:szCs w:val="24"/>
        </w:rPr>
        <w:sectPr>
          <w:headerReference r:id="rId8" w:type="default"/>
          <w:footerReference r:id="rId9" w:type="default"/>
          <w:pgSz w:w="11910" w:h="16840"/>
          <w:pgMar w:top="1574" w:right="1561" w:bottom="961" w:left="1669" w:header="1068" w:footer="728" w:gutter="0"/>
          <w:cols w:space="720" w:num="1"/>
        </w:sectPr>
      </w:pPr>
    </w:p>
    <w:p w14:paraId="3EE305B1">
      <w:pPr>
        <w:spacing w:before="101" w:line="227" w:lineRule="auto"/>
        <w:ind w:left="67"/>
        <w:outlineLvl w:val="0"/>
        <w:rPr>
          <w:rFonts w:ascii="黑体" w:hAnsi="黑体" w:eastAsia="黑体" w:cs="黑体"/>
          <w:sz w:val="31"/>
          <w:szCs w:val="31"/>
        </w:rPr>
      </w:pPr>
      <w:bookmarkStart w:id="0" w:name="bookmark1"/>
      <w:bookmarkEnd w:id="0"/>
      <w:r>
        <w:rPr>
          <w:rFonts w:ascii="黑体" w:hAnsi="黑体" w:eastAsia="黑体" w:cs="黑体"/>
          <w:b/>
          <w:bCs/>
          <w:spacing w:val="-3"/>
          <w:sz w:val="31"/>
          <w:szCs w:val="31"/>
        </w:rPr>
        <w:t>1</w:t>
      </w:r>
      <w:r>
        <w:rPr>
          <w:rFonts w:ascii="黑体" w:hAnsi="黑体" w:eastAsia="黑体" w:cs="黑体"/>
          <w:spacing w:val="-55"/>
          <w:sz w:val="31"/>
          <w:szCs w:val="31"/>
        </w:rPr>
        <w:t xml:space="preserve"> </w:t>
      </w:r>
      <w:r>
        <w:rPr>
          <w:rFonts w:ascii="黑体" w:hAnsi="黑体" w:eastAsia="黑体" w:cs="黑体"/>
          <w:b/>
          <w:bCs/>
          <w:spacing w:val="-3"/>
          <w:sz w:val="31"/>
          <w:szCs w:val="31"/>
        </w:rPr>
        <w:t>评审安排</w:t>
      </w:r>
    </w:p>
    <w:p w14:paraId="4C46B2E9">
      <w:pPr>
        <w:spacing w:before="78" w:line="220" w:lineRule="auto"/>
        <w:ind w:left="527"/>
        <w:rPr>
          <w:rFonts w:hint="eastAsia" w:ascii="宋体" w:hAnsi="宋体" w:eastAsia="宋体" w:cs="宋体"/>
          <w:sz w:val="24"/>
          <w:szCs w:val="24"/>
          <w:lang w:eastAsia="zh-CN"/>
        </w:rPr>
      </w:pPr>
      <w:r>
        <w:rPr>
          <w:rFonts w:ascii="宋体" w:hAnsi="宋体" w:eastAsia="宋体" w:cs="宋体"/>
          <w:spacing w:val="-1"/>
          <w:sz w:val="24"/>
          <w:szCs w:val="24"/>
        </w:rPr>
        <w:t>评审时间：2025.</w:t>
      </w:r>
      <w:r>
        <w:rPr>
          <w:rFonts w:hint="eastAsia" w:ascii="宋体" w:hAnsi="宋体" w:eastAsia="宋体" w:cs="宋体"/>
          <w:spacing w:val="-1"/>
          <w:sz w:val="24"/>
          <w:szCs w:val="24"/>
          <w:lang w:val="en-US" w:eastAsia="zh-CN"/>
        </w:rPr>
        <w:t>9</w:t>
      </w:r>
      <w:r>
        <w:rPr>
          <w:rFonts w:ascii="宋体" w:hAnsi="宋体" w:eastAsia="宋体" w:cs="宋体"/>
          <w:spacing w:val="-1"/>
          <w:sz w:val="24"/>
          <w:szCs w:val="24"/>
        </w:rPr>
        <w:t>.2</w:t>
      </w:r>
      <w:r>
        <w:rPr>
          <w:rFonts w:hint="eastAsia" w:ascii="宋体" w:hAnsi="宋体" w:eastAsia="宋体" w:cs="宋体"/>
          <w:spacing w:val="-1"/>
          <w:sz w:val="24"/>
          <w:szCs w:val="24"/>
          <w:lang w:val="en-US" w:eastAsia="zh-CN"/>
        </w:rPr>
        <w:t>0</w:t>
      </w:r>
    </w:p>
    <w:p w14:paraId="1CA55220">
      <w:pPr>
        <w:spacing w:before="78" w:line="219" w:lineRule="auto"/>
        <w:ind w:left="527"/>
        <w:rPr>
          <w:rFonts w:ascii="宋体" w:hAnsi="宋体" w:eastAsia="宋体" w:cs="宋体"/>
          <w:sz w:val="24"/>
          <w:szCs w:val="24"/>
        </w:rPr>
      </w:pPr>
      <w:r>
        <w:rPr>
          <w:rFonts w:ascii="宋体" w:hAnsi="宋体" w:eastAsia="宋体" w:cs="宋体"/>
          <w:spacing w:val="-2"/>
          <w:sz w:val="24"/>
          <w:szCs w:val="24"/>
        </w:rPr>
        <w:t>评审地点：会议区</w:t>
      </w:r>
    </w:p>
    <w:p w14:paraId="432AB0BF">
      <w:pPr>
        <w:spacing w:before="79" w:line="219" w:lineRule="auto"/>
        <w:ind w:left="530"/>
        <w:rPr>
          <w:rFonts w:ascii="宋体" w:hAnsi="宋体" w:eastAsia="宋体" w:cs="宋体"/>
          <w:sz w:val="24"/>
          <w:szCs w:val="24"/>
        </w:rPr>
      </w:pPr>
      <w:r>
        <w:rPr>
          <w:rFonts w:ascii="宋体" w:hAnsi="宋体" w:eastAsia="宋体" w:cs="宋体"/>
          <w:spacing w:val="-15"/>
          <w:sz w:val="24"/>
          <w:szCs w:val="24"/>
        </w:rPr>
        <w:t>参与人员：公司高层、运维部、人力行政部、质量部、开发部、市场商务部。</w:t>
      </w:r>
    </w:p>
    <w:p w14:paraId="4F3464CC">
      <w:pPr>
        <w:spacing w:before="101" w:line="227" w:lineRule="auto"/>
        <w:ind w:left="49"/>
        <w:outlineLvl w:val="0"/>
        <w:rPr>
          <w:rFonts w:ascii="黑体" w:hAnsi="黑体" w:eastAsia="黑体" w:cs="黑体"/>
          <w:sz w:val="31"/>
          <w:szCs w:val="31"/>
        </w:rPr>
      </w:pPr>
      <w:bookmarkStart w:id="1" w:name="bookmark2"/>
      <w:bookmarkEnd w:id="1"/>
      <w:r>
        <w:rPr>
          <w:rFonts w:ascii="黑体" w:hAnsi="黑体" w:eastAsia="黑体" w:cs="黑体"/>
          <w:b/>
          <w:bCs/>
          <w:spacing w:val="1"/>
          <w:sz w:val="31"/>
          <w:szCs w:val="31"/>
        </w:rPr>
        <w:t>2</w:t>
      </w:r>
      <w:r>
        <w:rPr>
          <w:rFonts w:ascii="黑体" w:hAnsi="黑体" w:eastAsia="黑体" w:cs="黑体"/>
          <w:spacing w:val="23"/>
          <w:sz w:val="31"/>
          <w:szCs w:val="31"/>
        </w:rPr>
        <w:t xml:space="preserve"> </w:t>
      </w:r>
      <w:r>
        <w:rPr>
          <w:rFonts w:ascii="黑体" w:hAnsi="黑体" w:eastAsia="黑体" w:cs="黑体"/>
          <w:b/>
          <w:bCs/>
          <w:spacing w:val="1"/>
          <w:sz w:val="31"/>
          <w:szCs w:val="31"/>
        </w:rPr>
        <w:t>评审目的</w:t>
      </w:r>
    </w:p>
    <w:p w14:paraId="7F8666A7">
      <w:pPr>
        <w:spacing w:before="78" w:line="239" w:lineRule="auto"/>
        <w:ind w:left="498"/>
        <w:rPr>
          <w:rFonts w:ascii="宋体" w:hAnsi="宋体" w:eastAsia="宋体" w:cs="宋体"/>
          <w:sz w:val="24"/>
          <w:szCs w:val="24"/>
        </w:rPr>
      </w:pPr>
      <w:r>
        <w:rPr>
          <w:rFonts w:ascii="Wingdings" w:hAnsi="Wingdings" w:eastAsia="Wingdings" w:cs="Wingdings"/>
          <w:spacing w:val="-8"/>
          <w:sz w:val="24"/>
          <w:szCs w:val="24"/>
        </w:rPr>
        <w:t xml:space="preserve">n </w:t>
      </w:r>
      <w:r>
        <w:rPr>
          <w:rFonts w:ascii="宋体" w:hAnsi="宋体" w:eastAsia="宋体" w:cs="宋体"/>
          <w:spacing w:val="-8"/>
          <w:sz w:val="24"/>
          <w:szCs w:val="24"/>
        </w:rPr>
        <w:t>对公司 ITSS 运维服务能力管理体系</w:t>
      </w:r>
      <w:r>
        <w:rPr>
          <w:rFonts w:ascii="宋体" w:hAnsi="宋体" w:eastAsia="宋体" w:cs="宋体"/>
          <w:spacing w:val="-9"/>
          <w:sz w:val="24"/>
          <w:szCs w:val="24"/>
        </w:rPr>
        <w:t>进行总结。</w:t>
      </w:r>
    </w:p>
    <w:p w14:paraId="4D627B88">
      <w:pPr>
        <w:spacing w:before="78" w:line="239" w:lineRule="auto"/>
        <w:ind w:left="498"/>
        <w:rPr>
          <w:rFonts w:ascii="宋体" w:hAnsi="宋体" w:eastAsia="宋体" w:cs="宋体"/>
          <w:sz w:val="24"/>
          <w:szCs w:val="24"/>
        </w:rPr>
      </w:pPr>
      <w:r>
        <w:rPr>
          <w:rFonts w:ascii="Wingdings" w:hAnsi="Wingdings" w:eastAsia="Wingdings" w:cs="Wingdings"/>
          <w:spacing w:val="-8"/>
          <w:sz w:val="24"/>
          <w:szCs w:val="24"/>
        </w:rPr>
        <w:t xml:space="preserve">n </w:t>
      </w:r>
      <w:r>
        <w:rPr>
          <w:rFonts w:ascii="宋体" w:hAnsi="宋体" w:eastAsia="宋体" w:cs="宋体"/>
          <w:spacing w:val="-8"/>
          <w:sz w:val="24"/>
          <w:szCs w:val="24"/>
        </w:rPr>
        <w:t>确保公司 ITSS 运维服务能力管理体系持续的适宜性、充分性和有效性。</w:t>
      </w:r>
    </w:p>
    <w:p w14:paraId="4DB1128C">
      <w:pPr>
        <w:spacing w:before="79" w:line="296" w:lineRule="auto"/>
        <w:ind w:left="910" w:right="127" w:hanging="412"/>
        <w:rPr>
          <w:rFonts w:ascii="宋体" w:hAnsi="宋体" w:eastAsia="宋体" w:cs="宋体"/>
          <w:sz w:val="24"/>
          <w:szCs w:val="24"/>
        </w:rPr>
      </w:pPr>
      <w:r>
        <w:rPr>
          <w:rFonts w:ascii="Wingdings" w:hAnsi="Wingdings" w:eastAsia="Wingdings" w:cs="Wingdings"/>
          <w:spacing w:val="-6"/>
          <w:sz w:val="24"/>
          <w:szCs w:val="24"/>
        </w:rPr>
        <w:t xml:space="preserve">n </w:t>
      </w:r>
      <w:r>
        <w:rPr>
          <w:rFonts w:ascii="宋体" w:hAnsi="宋体" w:eastAsia="宋体" w:cs="宋体"/>
          <w:spacing w:val="-6"/>
          <w:sz w:val="24"/>
          <w:szCs w:val="24"/>
        </w:rPr>
        <w:t>识别改进的机会和变更的需求，实现公司</w:t>
      </w:r>
      <w:r>
        <w:rPr>
          <w:rFonts w:ascii="宋体" w:hAnsi="宋体" w:eastAsia="宋体" w:cs="宋体"/>
          <w:spacing w:val="-7"/>
          <w:sz w:val="24"/>
          <w:szCs w:val="24"/>
        </w:rPr>
        <w:t xml:space="preserve"> ITSS 运维服务能力管理体系的</w:t>
      </w:r>
      <w:r>
        <w:rPr>
          <w:rFonts w:ascii="宋体" w:hAnsi="宋体" w:eastAsia="宋体" w:cs="宋体"/>
          <w:spacing w:val="-3"/>
          <w:sz w:val="24"/>
          <w:szCs w:val="24"/>
        </w:rPr>
        <w:t>持续改进。</w:t>
      </w:r>
    </w:p>
    <w:p w14:paraId="76330474">
      <w:pPr>
        <w:spacing w:before="101" w:line="227" w:lineRule="auto"/>
        <w:ind w:left="51"/>
        <w:outlineLvl w:val="0"/>
        <w:rPr>
          <w:rFonts w:ascii="黑体" w:hAnsi="黑体" w:eastAsia="黑体" w:cs="黑体"/>
          <w:sz w:val="31"/>
          <w:szCs w:val="31"/>
        </w:rPr>
      </w:pPr>
      <w:bookmarkStart w:id="2" w:name="bookmark3"/>
      <w:bookmarkEnd w:id="2"/>
      <w:r>
        <w:rPr>
          <w:rFonts w:ascii="黑体" w:hAnsi="黑体" w:eastAsia="黑体" w:cs="黑体"/>
          <w:b/>
          <w:bCs/>
          <w:spacing w:val="1"/>
          <w:sz w:val="31"/>
          <w:szCs w:val="31"/>
        </w:rPr>
        <w:t>3</w:t>
      </w:r>
      <w:r>
        <w:rPr>
          <w:rFonts w:ascii="黑体" w:hAnsi="黑体" w:eastAsia="黑体" w:cs="黑体"/>
          <w:spacing w:val="21"/>
          <w:sz w:val="31"/>
          <w:szCs w:val="31"/>
        </w:rPr>
        <w:t xml:space="preserve"> </w:t>
      </w:r>
      <w:r>
        <w:rPr>
          <w:rFonts w:ascii="黑体" w:hAnsi="黑体" w:eastAsia="黑体" w:cs="黑体"/>
          <w:b/>
          <w:bCs/>
          <w:spacing w:val="1"/>
          <w:sz w:val="31"/>
          <w:szCs w:val="31"/>
        </w:rPr>
        <w:t>评审范围</w:t>
      </w:r>
    </w:p>
    <w:p w14:paraId="2364A75A">
      <w:pPr>
        <w:spacing w:before="79" w:line="219" w:lineRule="auto"/>
        <w:ind w:left="542"/>
        <w:rPr>
          <w:rFonts w:ascii="宋体" w:hAnsi="宋体" w:eastAsia="宋体" w:cs="宋体"/>
          <w:sz w:val="24"/>
          <w:szCs w:val="24"/>
        </w:rPr>
      </w:pPr>
      <w:r>
        <w:rPr>
          <w:rFonts w:ascii="宋体" w:hAnsi="宋体" w:eastAsia="宋体" w:cs="宋体"/>
          <w:spacing w:val="-1"/>
          <w:sz w:val="24"/>
          <w:szCs w:val="24"/>
        </w:rPr>
        <w:t>ITSS 运维服务相关各部门和运维服务相关事项。</w:t>
      </w:r>
    </w:p>
    <w:p w14:paraId="79827967">
      <w:pPr>
        <w:spacing w:before="101" w:line="227" w:lineRule="auto"/>
        <w:ind w:left="43"/>
        <w:outlineLvl w:val="0"/>
        <w:rPr>
          <w:rFonts w:ascii="黑体" w:hAnsi="黑体" w:eastAsia="黑体" w:cs="黑体"/>
          <w:sz w:val="31"/>
          <w:szCs w:val="31"/>
        </w:rPr>
      </w:pPr>
      <w:bookmarkStart w:id="3" w:name="bookmark4"/>
      <w:bookmarkEnd w:id="3"/>
      <w:r>
        <w:rPr>
          <w:rFonts w:ascii="黑体" w:hAnsi="黑体" w:eastAsia="黑体" w:cs="黑体"/>
          <w:b/>
          <w:bCs/>
          <w:spacing w:val="2"/>
          <w:sz w:val="31"/>
          <w:szCs w:val="31"/>
        </w:rPr>
        <w:t>4</w:t>
      </w:r>
      <w:r>
        <w:rPr>
          <w:rFonts w:ascii="黑体" w:hAnsi="黑体" w:eastAsia="黑体" w:cs="黑体"/>
          <w:spacing w:val="24"/>
          <w:sz w:val="31"/>
          <w:szCs w:val="31"/>
        </w:rPr>
        <w:t xml:space="preserve"> </w:t>
      </w:r>
      <w:r>
        <w:rPr>
          <w:rFonts w:ascii="黑体" w:hAnsi="黑体" w:eastAsia="黑体" w:cs="黑体"/>
          <w:b/>
          <w:bCs/>
          <w:spacing w:val="2"/>
          <w:sz w:val="31"/>
          <w:szCs w:val="31"/>
        </w:rPr>
        <w:t>评审内容</w:t>
      </w:r>
    </w:p>
    <w:p w14:paraId="19273B26">
      <w:pPr>
        <w:spacing w:before="79" w:line="318" w:lineRule="auto"/>
        <w:ind w:left="906" w:hanging="408"/>
        <w:rPr>
          <w:rFonts w:ascii="宋体" w:hAnsi="宋体" w:eastAsia="宋体" w:cs="宋体"/>
          <w:sz w:val="24"/>
          <w:szCs w:val="24"/>
        </w:rPr>
      </w:pPr>
      <w:r>
        <w:rPr>
          <w:rFonts w:ascii="Wingdings" w:hAnsi="Wingdings" w:eastAsia="Wingdings" w:cs="Wingdings"/>
          <w:spacing w:val="2"/>
          <w:sz w:val="24"/>
          <w:szCs w:val="24"/>
        </w:rPr>
        <w:t xml:space="preserve">n </w:t>
      </w:r>
      <w:r>
        <w:rPr>
          <w:rFonts w:ascii="宋体" w:hAnsi="宋体" w:eastAsia="宋体" w:cs="宋体"/>
          <w:spacing w:val="2"/>
          <w:sz w:val="24"/>
          <w:szCs w:val="24"/>
        </w:rPr>
        <w:t>公司管理层评价现阶段公司</w:t>
      </w:r>
      <w:r>
        <w:rPr>
          <w:rFonts w:ascii="宋体" w:hAnsi="宋体" w:eastAsia="宋体" w:cs="宋体"/>
          <w:spacing w:val="49"/>
          <w:sz w:val="24"/>
          <w:szCs w:val="24"/>
        </w:rPr>
        <w:t xml:space="preserve"> </w:t>
      </w:r>
      <w:r>
        <w:rPr>
          <w:rFonts w:ascii="宋体" w:hAnsi="宋体" w:eastAsia="宋体" w:cs="宋体"/>
          <w:sz w:val="24"/>
          <w:szCs w:val="24"/>
        </w:rPr>
        <w:t>ITSS</w:t>
      </w:r>
      <w:r>
        <w:rPr>
          <w:rFonts w:ascii="宋体" w:hAnsi="宋体" w:eastAsia="宋体" w:cs="宋体"/>
          <w:spacing w:val="2"/>
          <w:sz w:val="24"/>
          <w:szCs w:val="24"/>
        </w:rPr>
        <w:t xml:space="preserve"> 运维服务能力管理体系的适宜性和有</w:t>
      </w:r>
      <w:r>
        <w:rPr>
          <w:rFonts w:ascii="宋体" w:hAnsi="宋体" w:eastAsia="宋体" w:cs="宋体"/>
          <w:spacing w:val="-9"/>
          <w:sz w:val="24"/>
          <w:szCs w:val="24"/>
        </w:rPr>
        <w:t>效性，证明公司整体 ITSS 运维服务</w:t>
      </w:r>
      <w:r>
        <w:rPr>
          <w:rFonts w:ascii="宋体" w:hAnsi="宋体" w:eastAsia="宋体" w:cs="宋体"/>
          <w:spacing w:val="-10"/>
          <w:sz w:val="24"/>
          <w:szCs w:val="24"/>
        </w:rPr>
        <w:t>能力是否符合市场发展，制定的各项制</w:t>
      </w:r>
      <w:r>
        <w:rPr>
          <w:rFonts w:ascii="宋体" w:hAnsi="宋体" w:eastAsia="宋体" w:cs="宋体"/>
          <w:spacing w:val="-17"/>
          <w:sz w:val="24"/>
          <w:szCs w:val="24"/>
        </w:rPr>
        <w:t>度和服务过程是否得到落实执行，能否实现公司的运维服</w:t>
      </w:r>
      <w:r>
        <w:rPr>
          <w:rFonts w:ascii="宋体" w:hAnsi="宋体" w:eastAsia="宋体" w:cs="宋体"/>
          <w:spacing w:val="-18"/>
          <w:sz w:val="24"/>
          <w:szCs w:val="24"/>
        </w:rPr>
        <w:t>务能力目标；</w:t>
      </w:r>
    </w:p>
    <w:p w14:paraId="2E2F4FF5">
      <w:pPr>
        <w:spacing w:before="78" w:line="295" w:lineRule="auto"/>
        <w:ind w:left="906" w:right="122" w:hanging="408"/>
        <w:rPr>
          <w:rFonts w:ascii="宋体" w:hAnsi="宋体" w:eastAsia="宋体" w:cs="宋体"/>
          <w:sz w:val="24"/>
          <w:szCs w:val="24"/>
        </w:rPr>
      </w:pPr>
      <w:r>
        <w:rPr>
          <w:rFonts w:ascii="Wingdings" w:hAnsi="Wingdings" w:eastAsia="Wingdings" w:cs="Wingdings"/>
          <w:spacing w:val="-6"/>
          <w:sz w:val="24"/>
          <w:szCs w:val="24"/>
        </w:rPr>
        <w:t xml:space="preserve">n </w:t>
      </w:r>
      <w:r>
        <w:rPr>
          <w:rFonts w:ascii="宋体" w:hAnsi="宋体" w:eastAsia="宋体" w:cs="宋体"/>
          <w:spacing w:val="-6"/>
          <w:sz w:val="24"/>
          <w:szCs w:val="24"/>
        </w:rPr>
        <w:t>运维部针对公司 ITSS 运维服务能力体系的</w:t>
      </w:r>
      <w:r>
        <w:rPr>
          <w:rFonts w:ascii="宋体" w:hAnsi="宋体" w:eastAsia="宋体" w:cs="宋体"/>
          <w:spacing w:val="-7"/>
          <w:sz w:val="24"/>
          <w:szCs w:val="24"/>
        </w:rPr>
        <w:t>运行情况和指标完成情况，根</w:t>
      </w:r>
      <w:r>
        <w:rPr>
          <w:rFonts w:ascii="宋体" w:hAnsi="宋体" w:eastAsia="宋体" w:cs="宋体"/>
          <w:spacing w:val="-1"/>
          <w:sz w:val="24"/>
          <w:szCs w:val="24"/>
        </w:rPr>
        <w:t>据公司运维服务质量管理计划及目标评审、运维服务</w:t>
      </w:r>
      <w:r>
        <w:rPr>
          <w:rFonts w:ascii="宋体" w:hAnsi="宋体" w:eastAsia="宋体" w:cs="宋体"/>
          <w:spacing w:val="-2"/>
          <w:sz w:val="24"/>
          <w:szCs w:val="24"/>
        </w:rPr>
        <w:t>质量管理总体目标</w:t>
      </w:r>
      <w:r>
        <w:rPr>
          <w:rFonts w:ascii="宋体" w:hAnsi="宋体" w:eastAsia="宋体" w:cs="宋体"/>
          <w:spacing w:val="-1"/>
          <w:sz w:val="24"/>
          <w:szCs w:val="24"/>
        </w:rPr>
        <w:t>是否达成，公司 ITSS 运维服务能力管理体系的运行情况是否良好；</w:t>
      </w:r>
    </w:p>
    <w:p w14:paraId="29D1D7B3">
      <w:pPr>
        <w:spacing w:before="78" w:line="295" w:lineRule="auto"/>
        <w:ind w:left="905" w:right="244" w:hanging="407"/>
        <w:rPr>
          <w:rFonts w:ascii="宋体" w:hAnsi="宋体" w:eastAsia="宋体" w:cs="宋体"/>
          <w:sz w:val="24"/>
          <w:szCs w:val="24"/>
        </w:rPr>
      </w:pPr>
      <w:r>
        <w:rPr>
          <w:rFonts w:ascii="Wingdings" w:hAnsi="Wingdings" w:eastAsia="Wingdings" w:cs="Wingdings"/>
          <w:spacing w:val="7"/>
          <w:sz w:val="24"/>
          <w:szCs w:val="24"/>
        </w:rPr>
        <w:t xml:space="preserve">n </w:t>
      </w:r>
      <w:r>
        <w:rPr>
          <w:rFonts w:ascii="宋体" w:hAnsi="宋体" w:eastAsia="宋体" w:cs="宋体"/>
          <w:spacing w:val="7"/>
          <w:sz w:val="24"/>
          <w:szCs w:val="24"/>
        </w:rPr>
        <w:t>运维部服务过程负责人针对过去一年多中过程目标的达成情况进行汇</w:t>
      </w:r>
      <w:r>
        <w:rPr>
          <w:rFonts w:ascii="宋体" w:hAnsi="宋体" w:eastAsia="宋体" w:cs="宋体"/>
          <w:spacing w:val="4"/>
          <w:sz w:val="24"/>
          <w:szCs w:val="24"/>
        </w:rPr>
        <w:t>报，分析讨论并提出改进措施；</w:t>
      </w:r>
    </w:p>
    <w:p w14:paraId="26A4FC71">
      <w:pPr>
        <w:spacing w:before="78" w:line="296" w:lineRule="auto"/>
        <w:ind w:left="908" w:right="225" w:hanging="410"/>
        <w:rPr>
          <w:rFonts w:ascii="宋体" w:hAnsi="宋体" w:eastAsia="宋体" w:cs="宋体"/>
          <w:sz w:val="24"/>
          <w:szCs w:val="24"/>
        </w:rPr>
      </w:pPr>
      <w:r>
        <w:rPr>
          <w:rFonts w:ascii="Wingdings" w:hAnsi="Wingdings" w:eastAsia="Wingdings" w:cs="Wingdings"/>
          <w:spacing w:val="-6"/>
          <w:sz w:val="24"/>
          <w:szCs w:val="24"/>
        </w:rPr>
        <w:t xml:space="preserve">n </w:t>
      </w:r>
      <w:r>
        <w:rPr>
          <w:rFonts w:ascii="宋体" w:hAnsi="宋体" w:eastAsia="宋体" w:cs="宋体"/>
          <w:spacing w:val="-6"/>
          <w:sz w:val="24"/>
          <w:szCs w:val="24"/>
        </w:rPr>
        <w:t>开发部根据 ITSS 对运维服务技术研发</w:t>
      </w:r>
      <w:r>
        <w:rPr>
          <w:rFonts w:ascii="宋体" w:hAnsi="宋体" w:eastAsia="宋体" w:cs="宋体"/>
          <w:spacing w:val="-7"/>
          <w:sz w:val="24"/>
          <w:szCs w:val="24"/>
        </w:rPr>
        <w:t>的要求，汇报了技术研发工作完成</w:t>
      </w:r>
      <w:r>
        <w:rPr>
          <w:rFonts w:ascii="宋体" w:hAnsi="宋体" w:eastAsia="宋体" w:cs="宋体"/>
          <w:spacing w:val="-4"/>
          <w:sz w:val="24"/>
          <w:szCs w:val="24"/>
        </w:rPr>
        <w:t>情况；</w:t>
      </w:r>
    </w:p>
    <w:p w14:paraId="5A5765CA">
      <w:pPr>
        <w:spacing w:before="78" w:line="318" w:lineRule="auto"/>
        <w:ind w:left="912" w:right="232" w:hanging="414"/>
        <w:rPr>
          <w:rFonts w:ascii="宋体" w:hAnsi="宋体" w:eastAsia="宋体" w:cs="宋体"/>
          <w:sz w:val="24"/>
          <w:szCs w:val="24"/>
        </w:rPr>
      </w:pPr>
      <w:r>
        <w:rPr>
          <w:rFonts w:ascii="Wingdings" w:hAnsi="Wingdings" w:eastAsia="Wingdings" w:cs="Wingdings"/>
          <w:sz w:val="24"/>
          <w:szCs w:val="24"/>
        </w:rPr>
        <w:t xml:space="preserve">n </w:t>
      </w:r>
      <w:r>
        <w:rPr>
          <w:rFonts w:ascii="宋体" w:hAnsi="宋体" w:eastAsia="宋体" w:cs="宋体"/>
          <w:sz w:val="24"/>
          <w:szCs w:val="24"/>
        </w:rPr>
        <w:t>人力行政部就年度的人员的岗位优化、人员的储备及招聘、人</w:t>
      </w:r>
      <w:r>
        <w:rPr>
          <w:rFonts w:ascii="宋体" w:hAnsi="宋体" w:eastAsia="宋体" w:cs="宋体"/>
          <w:spacing w:val="-1"/>
          <w:sz w:val="24"/>
          <w:szCs w:val="24"/>
        </w:rPr>
        <w:t>员培训的</w:t>
      </w:r>
      <w:r>
        <w:rPr>
          <w:rFonts w:ascii="宋体" w:hAnsi="宋体" w:eastAsia="宋体" w:cs="宋体"/>
          <w:sz w:val="24"/>
          <w:szCs w:val="24"/>
        </w:rPr>
        <w:t>总体情况进行了介绍，并指出不足和问题所在；市场商务部就备品备件</w:t>
      </w:r>
      <w:r>
        <w:rPr>
          <w:rFonts w:ascii="宋体" w:hAnsi="宋体" w:eastAsia="宋体" w:cs="宋体"/>
          <w:spacing w:val="-1"/>
          <w:sz w:val="24"/>
          <w:szCs w:val="24"/>
        </w:rPr>
        <w:t>管理采购及供应商管理的情况进行分析；</w:t>
      </w:r>
    </w:p>
    <w:p w14:paraId="3BD1B214">
      <w:pPr>
        <w:spacing w:before="78" w:line="239" w:lineRule="auto"/>
        <w:ind w:left="498"/>
        <w:rPr>
          <w:rFonts w:ascii="宋体" w:hAnsi="宋体" w:eastAsia="宋体" w:cs="宋体"/>
          <w:sz w:val="24"/>
          <w:szCs w:val="24"/>
        </w:rPr>
      </w:pPr>
      <w:r>
        <w:rPr>
          <w:rFonts w:ascii="Wingdings" w:hAnsi="Wingdings" w:eastAsia="Wingdings" w:cs="Wingdings"/>
          <w:spacing w:val="-1"/>
          <w:sz w:val="24"/>
          <w:szCs w:val="24"/>
        </w:rPr>
        <w:t xml:space="preserve">n </w:t>
      </w:r>
      <w:r>
        <w:rPr>
          <w:rFonts w:ascii="宋体" w:hAnsi="宋体" w:eastAsia="宋体" w:cs="宋体"/>
          <w:spacing w:val="-1"/>
          <w:sz w:val="24"/>
          <w:szCs w:val="24"/>
        </w:rPr>
        <w:t>质量部汇报了公司内审的情况，包括内审的整改、</w:t>
      </w:r>
      <w:r>
        <w:rPr>
          <w:rFonts w:ascii="宋体" w:hAnsi="宋体" w:eastAsia="宋体" w:cs="宋体"/>
          <w:spacing w:val="-2"/>
          <w:sz w:val="24"/>
          <w:szCs w:val="24"/>
        </w:rPr>
        <w:t>纠正及预防措施；</w:t>
      </w:r>
    </w:p>
    <w:p w14:paraId="76CEAB66">
      <w:pPr>
        <w:spacing w:before="78" w:line="295" w:lineRule="auto"/>
        <w:ind w:left="909" w:right="232" w:hanging="411"/>
        <w:rPr>
          <w:rFonts w:ascii="宋体" w:hAnsi="宋体" w:eastAsia="宋体" w:cs="宋体"/>
          <w:sz w:val="24"/>
          <w:szCs w:val="24"/>
        </w:rPr>
      </w:pPr>
      <w:r>
        <w:rPr>
          <w:rFonts w:ascii="Wingdings" w:hAnsi="Wingdings" w:eastAsia="Wingdings" w:cs="Wingdings"/>
          <w:sz w:val="24"/>
          <w:szCs w:val="24"/>
        </w:rPr>
        <w:t xml:space="preserve">n </w:t>
      </w:r>
      <w:r>
        <w:rPr>
          <w:rFonts w:ascii="宋体" w:hAnsi="宋体" w:eastAsia="宋体" w:cs="宋体"/>
          <w:sz w:val="24"/>
          <w:szCs w:val="24"/>
        </w:rPr>
        <w:t>各部门对各自在 ITSS 运维能力管理体系中的定位和改进提出</w:t>
      </w:r>
      <w:r>
        <w:rPr>
          <w:rFonts w:ascii="宋体" w:hAnsi="宋体" w:eastAsia="宋体" w:cs="宋体"/>
          <w:spacing w:val="-1"/>
          <w:sz w:val="24"/>
          <w:szCs w:val="24"/>
        </w:rPr>
        <w:t>相应的建议，要符合公司服务方针的有效性和管理体系的适宜性；</w:t>
      </w:r>
    </w:p>
    <w:p w14:paraId="3BCB11F6">
      <w:pPr>
        <w:spacing w:before="102" w:line="226" w:lineRule="auto"/>
        <w:ind w:left="44"/>
        <w:outlineLvl w:val="0"/>
        <w:rPr>
          <w:rFonts w:ascii="黑体" w:hAnsi="黑体" w:eastAsia="黑体" w:cs="黑体"/>
          <w:sz w:val="31"/>
          <w:szCs w:val="31"/>
        </w:rPr>
      </w:pPr>
      <w:bookmarkStart w:id="4" w:name="bookmark5"/>
      <w:bookmarkEnd w:id="4"/>
      <w:r>
        <w:rPr>
          <w:rFonts w:ascii="黑体" w:hAnsi="黑体" w:eastAsia="黑体" w:cs="黑体"/>
          <w:b/>
          <w:bCs/>
          <w:sz w:val="31"/>
          <w:szCs w:val="31"/>
        </w:rPr>
        <w:t>5</w:t>
      </w:r>
      <w:r>
        <w:rPr>
          <w:rFonts w:ascii="黑体" w:hAnsi="黑体" w:eastAsia="黑体" w:cs="黑体"/>
          <w:spacing w:val="33"/>
          <w:sz w:val="31"/>
          <w:szCs w:val="31"/>
        </w:rPr>
        <w:t xml:space="preserve"> </w:t>
      </w:r>
      <w:r>
        <w:rPr>
          <w:rFonts w:ascii="黑体" w:hAnsi="黑体" w:eastAsia="黑体" w:cs="黑体"/>
          <w:b/>
          <w:bCs/>
          <w:sz w:val="31"/>
          <w:szCs w:val="31"/>
        </w:rPr>
        <w:t>改进意见</w:t>
      </w:r>
    </w:p>
    <w:p w14:paraId="5F343A67">
      <w:pPr>
        <w:spacing w:before="78" w:line="239" w:lineRule="auto"/>
        <w:ind w:left="498"/>
        <w:rPr>
          <w:rFonts w:ascii="宋体" w:hAnsi="宋体" w:eastAsia="宋体" w:cs="宋体"/>
          <w:sz w:val="24"/>
          <w:szCs w:val="24"/>
        </w:rPr>
      </w:pPr>
      <w:r>
        <w:rPr>
          <w:rFonts w:ascii="Wingdings" w:hAnsi="Wingdings" w:eastAsia="Wingdings" w:cs="Wingdings"/>
          <w:spacing w:val="-3"/>
          <w:sz w:val="24"/>
          <w:szCs w:val="24"/>
        </w:rPr>
        <w:t xml:space="preserve">n </w:t>
      </w:r>
      <w:r>
        <w:rPr>
          <w:rFonts w:ascii="宋体" w:hAnsi="宋体" w:eastAsia="宋体" w:cs="宋体"/>
          <w:spacing w:val="-3"/>
          <w:sz w:val="24"/>
          <w:szCs w:val="24"/>
        </w:rPr>
        <w:t>提高技术人员的技术水平，加强培训。</w:t>
      </w:r>
    </w:p>
    <w:p w14:paraId="660D133B">
      <w:pPr>
        <w:spacing w:before="156" w:line="316" w:lineRule="auto"/>
        <w:ind w:left="890" w:hanging="392"/>
        <w:rPr>
          <w:rFonts w:ascii="宋体" w:hAnsi="宋体" w:eastAsia="宋体" w:cs="宋体"/>
          <w:sz w:val="24"/>
          <w:szCs w:val="24"/>
        </w:rPr>
      </w:pPr>
      <w:r>
        <w:rPr>
          <w:rFonts w:ascii="Wingdings" w:hAnsi="Wingdings" w:eastAsia="Wingdings" w:cs="Wingdings"/>
          <w:sz w:val="24"/>
          <w:szCs w:val="24"/>
        </w:rPr>
        <w:t xml:space="preserve">n </w:t>
      </w:r>
      <w:r>
        <w:rPr>
          <w:rFonts w:ascii="宋体" w:hAnsi="宋体" w:eastAsia="宋体" w:cs="宋体"/>
          <w:sz w:val="24"/>
          <w:szCs w:val="24"/>
        </w:rPr>
        <w:t>提高客户满意度，特别是在技术水平和服务主动</w:t>
      </w:r>
      <w:r>
        <w:rPr>
          <w:rFonts w:ascii="宋体" w:hAnsi="宋体" w:eastAsia="宋体" w:cs="宋体"/>
          <w:spacing w:val="-1"/>
          <w:sz w:val="24"/>
          <w:szCs w:val="24"/>
        </w:rPr>
        <w:t>性方面，加强人员在服务</w:t>
      </w:r>
      <w:r>
        <w:rPr>
          <w:rFonts w:ascii="宋体" w:hAnsi="宋体" w:eastAsia="宋体" w:cs="宋体"/>
          <w:sz w:val="24"/>
          <w:szCs w:val="24"/>
        </w:rPr>
        <w:t>礼仪上的培训，安排老员工带新员工，快速提高员工在运维方面的技能培</w:t>
      </w:r>
      <w:r>
        <w:rPr>
          <w:rFonts w:ascii="宋体" w:hAnsi="宋体" w:eastAsia="宋体" w:cs="宋体"/>
          <w:spacing w:val="-7"/>
          <w:sz w:val="24"/>
          <w:szCs w:val="24"/>
        </w:rPr>
        <w:t>训。</w:t>
      </w:r>
    </w:p>
    <w:p w14:paraId="1EE80CA8">
      <w:pPr>
        <w:spacing w:before="101" w:line="227" w:lineRule="auto"/>
        <w:ind w:left="50"/>
        <w:outlineLvl w:val="0"/>
        <w:rPr>
          <w:rFonts w:ascii="黑体" w:hAnsi="黑体" w:eastAsia="黑体" w:cs="黑体"/>
          <w:sz w:val="31"/>
          <w:szCs w:val="31"/>
        </w:rPr>
      </w:pPr>
      <w:bookmarkStart w:id="5" w:name="bookmark6"/>
      <w:bookmarkEnd w:id="5"/>
      <w:r>
        <w:rPr>
          <w:rFonts w:ascii="黑体" w:hAnsi="黑体" w:eastAsia="黑体" w:cs="黑体"/>
          <w:b/>
          <w:bCs/>
          <w:spacing w:val="1"/>
          <w:sz w:val="31"/>
          <w:szCs w:val="31"/>
        </w:rPr>
        <w:t>6</w:t>
      </w:r>
      <w:r>
        <w:rPr>
          <w:rFonts w:ascii="黑体" w:hAnsi="黑体" w:eastAsia="黑体" w:cs="黑体"/>
          <w:spacing w:val="22"/>
          <w:sz w:val="31"/>
          <w:szCs w:val="31"/>
        </w:rPr>
        <w:t xml:space="preserve"> </w:t>
      </w:r>
      <w:r>
        <w:rPr>
          <w:rFonts w:ascii="黑体" w:hAnsi="黑体" w:eastAsia="黑体" w:cs="黑体"/>
          <w:b/>
          <w:bCs/>
          <w:spacing w:val="1"/>
          <w:sz w:val="31"/>
          <w:szCs w:val="31"/>
        </w:rPr>
        <w:t>评审总结</w:t>
      </w:r>
    </w:p>
    <w:p w14:paraId="15D18945">
      <w:pPr>
        <w:spacing w:before="78" w:line="364" w:lineRule="auto"/>
        <w:ind w:left="46" w:right="58" w:firstLine="489"/>
        <w:jc w:val="both"/>
        <w:rPr>
          <w:rFonts w:ascii="宋体" w:hAnsi="宋体" w:eastAsia="宋体" w:cs="宋体"/>
          <w:sz w:val="24"/>
          <w:szCs w:val="24"/>
        </w:rPr>
      </w:pPr>
      <w:r>
        <w:rPr>
          <w:rFonts w:ascii="宋体" w:hAnsi="宋体" w:eastAsia="宋体" w:cs="宋体"/>
          <w:spacing w:val="-3"/>
          <w:sz w:val="24"/>
          <w:szCs w:val="24"/>
        </w:rPr>
        <w:t>公司 ITSS 运维服务能力管理体系建设运行期间，公司按照运维服务能力管</w:t>
      </w:r>
      <w:r>
        <w:rPr>
          <w:rFonts w:ascii="宋体" w:hAnsi="宋体" w:eastAsia="宋体" w:cs="宋体"/>
          <w:spacing w:val="-11"/>
          <w:sz w:val="24"/>
          <w:szCs w:val="24"/>
        </w:rPr>
        <w:t>理计划安排，各项工作有效开展，运维服务人员服务意识得到增强，服务团队稳定。</w:t>
      </w:r>
      <w:r>
        <w:rPr>
          <w:rFonts w:ascii="宋体" w:hAnsi="宋体" w:eastAsia="宋体" w:cs="宋体"/>
          <w:spacing w:val="8"/>
          <w:sz w:val="24"/>
          <w:szCs w:val="24"/>
        </w:rPr>
        <w:t xml:space="preserve"> </w:t>
      </w:r>
      <w:r>
        <w:rPr>
          <w:rFonts w:ascii="宋体" w:hAnsi="宋体" w:eastAsia="宋体" w:cs="宋体"/>
          <w:spacing w:val="-7"/>
          <w:sz w:val="24"/>
          <w:szCs w:val="24"/>
        </w:rPr>
        <w:t>2025年</w:t>
      </w:r>
      <w:r>
        <w:rPr>
          <w:rFonts w:hint="eastAsia" w:ascii="宋体" w:hAnsi="宋体" w:eastAsia="宋体" w:cs="宋体"/>
          <w:spacing w:val="-20"/>
          <w:sz w:val="24"/>
          <w:szCs w:val="24"/>
          <w:lang w:val="en-US" w:eastAsia="zh-CN"/>
        </w:rPr>
        <w:t>9月20日</w:t>
      </w:r>
      <w:r>
        <w:rPr>
          <w:rFonts w:ascii="宋体" w:hAnsi="宋体" w:eastAsia="宋体" w:cs="宋体"/>
          <w:spacing w:val="-7"/>
          <w:sz w:val="24"/>
          <w:szCs w:val="24"/>
        </w:rPr>
        <w:t>公司进行了</w:t>
      </w:r>
      <w:r>
        <w:rPr>
          <w:rFonts w:hint="eastAsia" w:ascii="宋体" w:hAnsi="宋体" w:eastAsia="宋体" w:cs="宋体"/>
          <w:spacing w:val="-7"/>
          <w:sz w:val="24"/>
          <w:szCs w:val="24"/>
          <w:lang w:val="en-US" w:eastAsia="zh-CN"/>
        </w:rPr>
        <w:t>管理评审</w:t>
      </w:r>
      <w:r>
        <w:rPr>
          <w:rFonts w:ascii="宋体" w:hAnsi="宋体" w:eastAsia="宋体" w:cs="宋体"/>
          <w:spacing w:val="-7"/>
          <w:sz w:val="24"/>
          <w:szCs w:val="24"/>
        </w:rPr>
        <w:t>，从</w:t>
      </w:r>
      <w:r>
        <w:rPr>
          <w:rFonts w:hint="eastAsia" w:ascii="宋体" w:hAnsi="宋体" w:eastAsia="宋体" w:cs="宋体"/>
          <w:spacing w:val="-7"/>
          <w:sz w:val="24"/>
          <w:szCs w:val="24"/>
          <w:lang w:val="en-US" w:eastAsia="zh-CN"/>
        </w:rPr>
        <w:t>管理评审</w:t>
      </w:r>
      <w:r>
        <w:rPr>
          <w:rFonts w:ascii="宋体" w:hAnsi="宋体" w:eastAsia="宋体" w:cs="宋体"/>
          <w:spacing w:val="-7"/>
          <w:sz w:val="24"/>
          <w:szCs w:val="24"/>
        </w:rPr>
        <w:t>情况来看，各部门均能按</w:t>
      </w:r>
      <w:r>
        <w:rPr>
          <w:rFonts w:ascii="宋体" w:hAnsi="宋体" w:eastAsia="宋体" w:cs="宋体"/>
          <w:spacing w:val="-3"/>
          <w:sz w:val="24"/>
          <w:szCs w:val="24"/>
        </w:rPr>
        <w:t>照公司发布的各项管理制度及服务过程，加强运维服务管理规范化建设，持续改</w:t>
      </w:r>
      <w:r>
        <w:rPr>
          <w:rFonts w:ascii="宋体" w:hAnsi="宋体" w:eastAsia="宋体" w:cs="宋体"/>
          <w:spacing w:val="-7"/>
          <w:sz w:val="24"/>
          <w:szCs w:val="24"/>
        </w:rPr>
        <w:t>进运维服务体系业绩。通过持续进行的运维服务质量教育和培训，加强过程控制，</w:t>
      </w:r>
      <w:r>
        <w:rPr>
          <w:rFonts w:ascii="宋体" w:hAnsi="宋体" w:eastAsia="宋体" w:cs="宋体"/>
          <w:spacing w:val="-3"/>
          <w:sz w:val="24"/>
          <w:szCs w:val="24"/>
        </w:rPr>
        <w:t>确保运维服务质量稳定和运维服务体系有效运行，较好地实现公司运维服务能力</w:t>
      </w:r>
    </w:p>
    <w:p w14:paraId="34F85D13">
      <w:pPr>
        <w:spacing w:before="78" w:line="364" w:lineRule="auto"/>
        <w:ind w:left="47" w:right="2" w:firstLine="482"/>
        <w:jc w:val="both"/>
        <w:rPr>
          <w:rFonts w:ascii="宋体" w:hAnsi="宋体" w:eastAsia="宋体" w:cs="宋体"/>
          <w:sz w:val="24"/>
          <w:szCs w:val="24"/>
        </w:rPr>
      </w:pPr>
      <w:r>
        <w:rPr>
          <w:rFonts w:ascii="宋体" w:hAnsi="宋体" w:eastAsia="宋体" w:cs="宋体"/>
          <w:spacing w:val="-8"/>
          <w:sz w:val="24"/>
          <w:szCs w:val="24"/>
        </w:rPr>
        <w:t>按照公司实施 ITSS 的要求，我们开展了 ITSS 标</w:t>
      </w:r>
      <w:r>
        <w:rPr>
          <w:rFonts w:ascii="宋体" w:hAnsi="宋体" w:eastAsia="宋体" w:cs="宋体"/>
          <w:spacing w:val="-9"/>
          <w:sz w:val="24"/>
          <w:szCs w:val="24"/>
        </w:rPr>
        <w:t>准的全面规划和实施。经过</w:t>
      </w:r>
      <w:r>
        <w:rPr>
          <w:rFonts w:ascii="宋体" w:hAnsi="宋体" w:eastAsia="宋体" w:cs="宋体"/>
          <w:spacing w:val="1"/>
          <w:sz w:val="24"/>
          <w:szCs w:val="24"/>
        </w:rPr>
        <w:t>近一年多时间的体系运行，</w:t>
      </w:r>
      <w:r>
        <w:rPr>
          <w:rFonts w:ascii="宋体" w:hAnsi="宋体" w:eastAsia="宋体" w:cs="宋体"/>
          <w:sz w:val="24"/>
          <w:szCs w:val="24"/>
        </w:rPr>
        <w:t>ITSS</w:t>
      </w:r>
      <w:r>
        <w:rPr>
          <w:rFonts w:ascii="宋体" w:hAnsi="宋体" w:eastAsia="宋体" w:cs="宋体"/>
          <w:spacing w:val="1"/>
          <w:sz w:val="24"/>
          <w:szCs w:val="24"/>
        </w:rPr>
        <w:t xml:space="preserve"> 对我们的运维服务</w:t>
      </w:r>
      <w:r>
        <w:rPr>
          <w:rFonts w:ascii="宋体" w:hAnsi="宋体" w:eastAsia="宋体" w:cs="宋体"/>
          <w:sz w:val="24"/>
          <w:szCs w:val="24"/>
        </w:rPr>
        <w:t>能力体系建设起到了非常好</w:t>
      </w:r>
      <w:r>
        <w:rPr>
          <w:rFonts w:ascii="宋体" w:hAnsi="宋体" w:eastAsia="宋体" w:cs="宋体"/>
          <w:spacing w:val="-3"/>
          <w:sz w:val="24"/>
          <w:szCs w:val="24"/>
        </w:rPr>
        <w:t>的规范和指导作用，人员的服务能力与服务质量都有所提升，给客户带来了更满</w:t>
      </w:r>
      <w:r>
        <w:rPr>
          <w:rFonts w:ascii="宋体" w:hAnsi="宋体" w:eastAsia="宋体" w:cs="宋体"/>
          <w:spacing w:val="-7"/>
          <w:sz w:val="24"/>
          <w:szCs w:val="24"/>
        </w:rPr>
        <w:t>意的服务。</w:t>
      </w:r>
    </w:p>
    <w:p w14:paraId="1E714FBE">
      <w:pPr>
        <w:spacing w:before="150" w:line="366" w:lineRule="auto"/>
        <w:ind w:left="50" w:right="5" w:firstLine="484"/>
        <w:rPr>
          <w:rFonts w:ascii="宋体" w:hAnsi="宋体" w:eastAsia="宋体" w:cs="宋体"/>
          <w:sz w:val="24"/>
          <w:szCs w:val="24"/>
        </w:rPr>
      </w:pPr>
      <w:r>
        <w:rPr>
          <w:rFonts w:ascii="宋体" w:hAnsi="宋体" w:eastAsia="宋体" w:cs="宋体"/>
          <w:spacing w:val="-3"/>
          <w:sz w:val="24"/>
          <w:szCs w:val="24"/>
        </w:rPr>
        <w:t>总体来说，公司所建立的运维服务能力管理体系包括运维服务方针和运维服</w:t>
      </w:r>
      <w:r>
        <w:rPr>
          <w:rFonts w:ascii="宋体" w:hAnsi="宋体" w:eastAsia="宋体" w:cs="宋体"/>
          <w:spacing w:val="-9"/>
          <w:sz w:val="24"/>
          <w:szCs w:val="24"/>
        </w:rPr>
        <w:t>务目标都是适宜的、充分的，符合信息技术服务标准和公司目前实际情况。</w:t>
      </w:r>
    </w:p>
    <w:sectPr>
      <w:headerReference r:id="rId10" w:type="default"/>
      <w:footerReference r:id="rId11" w:type="default"/>
      <w:pgSz w:w="11910" w:h="16840"/>
      <w:pgMar w:top="400" w:right="1786" w:bottom="961" w:left="1760" w:header="0" w:footer="72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B1CC3">
    <w:pPr>
      <w:spacing w:line="230" w:lineRule="auto"/>
      <w:ind w:left="4219"/>
      <w:rPr>
        <w:rFonts w:ascii="宋体" w:hAnsi="宋体" w:eastAsia="宋体" w:cs="宋体"/>
        <w:sz w:val="18"/>
        <w:szCs w:val="18"/>
      </w:rPr>
    </w:pPr>
    <w:r>
      <w:rPr>
        <w:rFonts w:ascii="宋体" w:hAnsi="宋体" w:eastAsia="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F3C9F">
    <w:pPr>
      <w:spacing w:line="230" w:lineRule="auto"/>
      <w:ind w:left="4207"/>
      <w:rPr>
        <w:rFonts w:ascii="宋体" w:hAnsi="宋体" w:eastAsia="宋体" w:cs="宋体"/>
        <w:sz w:val="18"/>
        <w:szCs w:val="18"/>
      </w:rPr>
    </w:pPr>
    <w:r>
      <w:rPr>
        <w:rFonts w:ascii="宋体" w:hAnsi="宋体" w:eastAsia="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31F86">
    <w:pPr>
      <w:spacing w:line="229" w:lineRule="auto"/>
      <w:ind w:left="4300"/>
      <w:rPr>
        <w:rFonts w:ascii="宋体" w:hAnsi="宋体" w:eastAsia="宋体" w:cs="宋体"/>
        <w:sz w:val="18"/>
        <w:szCs w:val="18"/>
      </w:rPr>
    </w:pPr>
    <w:r>
      <w:rPr>
        <w:rFonts w:ascii="宋体" w:hAnsi="宋体" w:eastAsia="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95FB3">
    <w:pPr>
      <w:spacing w:line="229" w:lineRule="auto"/>
      <w:ind w:left="4207"/>
      <w:rPr>
        <w:rFonts w:ascii="宋体" w:hAnsi="宋体" w:eastAsia="宋体" w:cs="宋体"/>
        <w:sz w:val="18"/>
        <w:szCs w:val="18"/>
      </w:rPr>
    </w:pPr>
    <w:r>
      <w:rPr>
        <w:rFonts w:ascii="宋体" w:hAnsi="宋体" w:eastAsia="宋体" w:cs="宋体"/>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05D08">
    <w:pPr>
      <w:spacing w:line="427" w:lineRule="exact"/>
    </w:pPr>
    <w:r>
      <w:drawing>
        <wp:anchor distT="0" distB="0" distL="0" distR="0" simplePos="0" relativeHeight="251659264" behindDoc="0" locked="0" layoutInCell="0" allowOverlap="1">
          <wp:simplePos x="0" y="0"/>
          <wp:positionH relativeFrom="page">
            <wp:posOffset>1124585</wp:posOffset>
          </wp:positionH>
          <wp:positionV relativeFrom="page">
            <wp:posOffset>989965</wp:posOffset>
          </wp:positionV>
          <wp:extent cx="5311140" cy="88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5311140" cy="9144"/>
                  </a:xfrm>
                  <a:prstGeom prst="rect">
                    <a:avLst/>
                  </a:prstGeom>
                </pic:spPr>
              </pic:pic>
            </a:graphicData>
          </a:graphic>
        </wp:anchor>
      </w:drawing>
    </w:r>
    <w:r>
      <w:rPr>
        <w:position w:val="-8"/>
      </w:rPr>
      <w:drawing>
        <wp:inline distT="0" distB="0" distL="0" distR="0">
          <wp:extent cx="695960" cy="27114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
                  <a:stretch>
                    <a:fillRect/>
                  </a:stretch>
                </pic:blipFill>
                <pic:spPr>
                  <a:xfrm>
                    <a:off x="0" y="0"/>
                    <a:ext cx="696350" cy="271753"/>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7A49">
    <w:pPr>
      <w:spacing w:line="427" w:lineRule="exact"/>
      <w:ind w:firstLine="91"/>
    </w:pPr>
    <w:r>
      <w:drawing>
        <wp:anchor distT="0" distB="0" distL="0" distR="0" simplePos="0" relativeHeight="251660288" behindDoc="0" locked="0" layoutInCell="0" allowOverlap="1">
          <wp:simplePos x="0" y="0"/>
          <wp:positionH relativeFrom="page">
            <wp:posOffset>1124585</wp:posOffset>
          </wp:positionH>
          <wp:positionV relativeFrom="page">
            <wp:posOffset>989965</wp:posOffset>
          </wp:positionV>
          <wp:extent cx="5311140" cy="889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5311140" cy="9144"/>
                  </a:xfrm>
                  <a:prstGeom prst="rect">
                    <a:avLst/>
                  </a:prstGeom>
                </pic:spPr>
              </pic:pic>
            </a:graphicData>
          </a:graphic>
        </wp:anchor>
      </w:drawing>
    </w:r>
    <w:r>
      <w:rPr>
        <w:position w:val="-8"/>
      </w:rPr>
      <w:drawing>
        <wp:inline distT="0" distB="0" distL="0" distR="0">
          <wp:extent cx="695960" cy="27114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
                  <a:stretch>
                    <a:fillRect/>
                  </a:stretch>
                </pic:blipFill>
                <pic:spPr>
                  <a:xfrm>
                    <a:off x="0" y="0"/>
                    <a:ext cx="696350" cy="271753"/>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C3D56">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B837E82"/>
    <w:rsid w:val="128210D6"/>
    <w:rsid w:val="30CF40DF"/>
    <w:rsid w:val="3C5F1432"/>
    <w:rsid w:val="4C31389B"/>
    <w:rsid w:val="4F400DD8"/>
    <w:rsid w:val="78972A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after="200"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3.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1241</Words>
  <Characters>1340</Characters>
  <Lines>0</Lines>
  <Paragraphs>0</Paragraphs>
  <TotalTime>1</TotalTime>
  <ScaleCrop>false</ScaleCrop>
  <LinksUpToDate>false</LinksUpToDate>
  <CharactersWithSpaces>1411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2022-11-30T10:49:00Z</dcterms:created>
  <dc:creator>王劼</dc:creator>
  <cp:lastModifiedBy>郝宇</cp:lastModifiedBy>
  <dcterms:modified xsi:type="dcterms:W3CDTF">2025-10-06T08:00:35Z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2025-09-29T02:59:13Z</vt:filetime>
  </property>
  <property fmtid="{D5CDD505-2E9C-101B-9397-08002B2CF9AE}" pid="3" name="CRO">
    <vt:lpwstr>wqlLaW5nc29mdCBQREYgdG8gV1BTIDExNQ</vt:lpwstr>
  </property>
  <property fmtid="{D5CDD505-2E9C-101B-9397-08002B2CF9AE}" pid="4" name="KSOTemplateDocerSaveRecord">
    <vt:lpwstr>eyJoZGlkIjoiMDY5NmFjMmM4ZTljMGJiZDAxN2JmYTc0NGI0NmFiNDgiLCJ1c2VySWQiOiIxMDc1MzgyOSJ9</vt:lpwstr>
  </property>
  <property fmtid="{D5CDD505-2E9C-101B-9397-08002B2CF9AE}" pid="5" name="KSOProductBuildVer">
    <vt:lpwstr>2052-12.1.0.23125</vt:lpwstr>
  </property>
  <property fmtid="{D5CDD505-2E9C-101B-9397-08002B2CF9AE}" pid="6" name="ICV">
    <vt:lpwstr>F452318602534783BA2752A02108633F_12</vt:lpwstr>
  </property>
</Properties>
</file>