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F91ACF">
      <w:pPr>
        <w:spacing w:line="414" w:lineRule="exact"/>
      </w:pPr>
      <w:r>
        <w:rPr>
          <w:position w:val="-8"/>
        </w:rPr>
        <w:drawing>
          <wp:inline distT="0" distB="0" distL="0" distR="0">
            <wp:extent cx="685165" cy="26289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371" cy="2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A0A52">
      <w:pPr>
        <w:pStyle w:val="2"/>
        <w:spacing w:line="259" w:lineRule="auto"/>
      </w:pPr>
    </w:p>
    <w:p w14:paraId="7087EEB4">
      <w:pPr>
        <w:pStyle w:val="2"/>
        <w:spacing w:line="260" w:lineRule="auto"/>
      </w:pPr>
    </w:p>
    <w:p w14:paraId="71584731">
      <w:pPr>
        <w:pStyle w:val="2"/>
        <w:spacing w:line="260" w:lineRule="auto"/>
      </w:pPr>
    </w:p>
    <w:p w14:paraId="4EB3EE2D">
      <w:pPr>
        <w:pStyle w:val="2"/>
        <w:spacing w:line="260" w:lineRule="auto"/>
      </w:pPr>
    </w:p>
    <w:p w14:paraId="211D20B8">
      <w:pPr>
        <w:pStyle w:val="2"/>
        <w:spacing w:line="260" w:lineRule="auto"/>
      </w:pPr>
    </w:p>
    <w:p w14:paraId="7DAE7646">
      <w:pPr>
        <w:spacing w:before="140" w:line="225" w:lineRule="auto"/>
        <w:ind w:left="1099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6"/>
          <w:sz w:val="43"/>
          <w:szCs w:val="43"/>
        </w:rPr>
        <w:t>创意银航（山东）技术有限公司</w:t>
      </w:r>
    </w:p>
    <w:p w14:paraId="7739ADC7">
      <w:pPr>
        <w:pStyle w:val="2"/>
        <w:spacing w:line="314" w:lineRule="auto"/>
      </w:pPr>
    </w:p>
    <w:p w14:paraId="631D05EE">
      <w:pPr>
        <w:pStyle w:val="2"/>
        <w:spacing w:line="314" w:lineRule="auto"/>
      </w:pPr>
    </w:p>
    <w:p w14:paraId="27D9226B">
      <w:pPr>
        <w:spacing w:before="140" w:line="225" w:lineRule="auto"/>
        <w:ind w:left="2425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4"/>
          <w:sz w:val="43"/>
          <w:szCs w:val="43"/>
        </w:rPr>
        <w:t>备品备件管理制度</w:t>
      </w:r>
    </w:p>
    <w:p w14:paraId="7A2454D4">
      <w:pPr>
        <w:pStyle w:val="2"/>
        <w:spacing w:line="249" w:lineRule="auto"/>
      </w:pPr>
    </w:p>
    <w:p w14:paraId="707713A3">
      <w:pPr>
        <w:pStyle w:val="2"/>
        <w:spacing w:line="249" w:lineRule="auto"/>
      </w:pPr>
    </w:p>
    <w:p w14:paraId="11345003">
      <w:pPr>
        <w:pStyle w:val="2"/>
        <w:spacing w:line="249" w:lineRule="auto"/>
      </w:pPr>
    </w:p>
    <w:p w14:paraId="605EE1F1">
      <w:pPr>
        <w:pStyle w:val="2"/>
        <w:spacing w:line="249" w:lineRule="auto"/>
      </w:pPr>
    </w:p>
    <w:p w14:paraId="7439683F">
      <w:pPr>
        <w:pStyle w:val="2"/>
        <w:spacing w:line="249" w:lineRule="auto"/>
      </w:pPr>
    </w:p>
    <w:p w14:paraId="780E1F5D">
      <w:pPr>
        <w:pStyle w:val="2"/>
        <w:spacing w:line="249" w:lineRule="auto"/>
      </w:pPr>
    </w:p>
    <w:p w14:paraId="2236BB73">
      <w:pPr>
        <w:pStyle w:val="2"/>
        <w:spacing w:line="249" w:lineRule="auto"/>
      </w:pPr>
    </w:p>
    <w:p w14:paraId="065A6B88">
      <w:pPr>
        <w:pStyle w:val="2"/>
        <w:spacing w:line="249" w:lineRule="auto"/>
      </w:pPr>
    </w:p>
    <w:p w14:paraId="54DC461D">
      <w:pPr>
        <w:pStyle w:val="2"/>
        <w:spacing w:line="249" w:lineRule="auto"/>
      </w:pPr>
    </w:p>
    <w:p w14:paraId="533BBBA9">
      <w:pPr>
        <w:pStyle w:val="2"/>
        <w:spacing w:line="249" w:lineRule="auto"/>
      </w:pPr>
    </w:p>
    <w:p w14:paraId="20EC5DC2">
      <w:pPr>
        <w:pStyle w:val="2"/>
        <w:spacing w:line="250" w:lineRule="auto"/>
      </w:pPr>
    </w:p>
    <w:p w14:paraId="325DED9A">
      <w:pPr>
        <w:spacing w:before="98" w:line="221" w:lineRule="auto"/>
        <w:ind w:left="2887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编制机构：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市场商务部</w:t>
      </w:r>
    </w:p>
    <w:p w14:paraId="747BEE6D">
      <w:pPr>
        <w:spacing w:before="269" w:line="221" w:lineRule="auto"/>
        <w:ind w:left="2878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编制时间：</w:t>
      </w:r>
      <w:r>
        <w:rPr>
          <w:rFonts w:ascii="黑体" w:hAnsi="黑体" w:eastAsia="黑体" w:cs="黑体"/>
          <w:spacing w:val="-9"/>
          <w:sz w:val="30"/>
          <w:szCs w:val="30"/>
        </w:rPr>
        <w:t xml:space="preserve"> </w:t>
      </w:r>
      <w:r>
        <w:rPr>
          <w:rFonts w:ascii="Calibri" w:hAnsi="Calibri" w:eastAsia="Calibri" w:cs="Calibri"/>
          <w:b/>
          <w:bCs/>
          <w:spacing w:val="-9"/>
          <w:sz w:val="30"/>
          <w:szCs w:val="30"/>
        </w:rPr>
        <w:t>2025</w:t>
      </w:r>
      <w:r>
        <w:rPr>
          <w:rFonts w:ascii="Calibri" w:hAnsi="Calibri" w:eastAsia="Calibri" w:cs="Calibri"/>
          <w:b/>
          <w:bCs/>
          <w:spacing w:val="2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年</w:t>
      </w:r>
      <w:r>
        <w:rPr>
          <w:rFonts w:ascii="黑体" w:hAnsi="黑体" w:eastAsia="黑体" w:cs="黑体"/>
          <w:spacing w:val="25"/>
          <w:sz w:val="30"/>
          <w:szCs w:val="30"/>
        </w:rPr>
        <w:t xml:space="preserve"> </w:t>
      </w:r>
      <w:r>
        <w:rPr>
          <w:rFonts w:ascii="Calibri" w:hAnsi="Calibri" w:eastAsia="Calibri" w:cs="Calibri"/>
          <w:b/>
          <w:bCs/>
          <w:spacing w:val="-9"/>
          <w:sz w:val="30"/>
          <w:szCs w:val="30"/>
        </w:rPr>
        <w:t>1</w:t>
      </w:r>
      <w:r>
        <w:rPr>
          <w:rFonts w:ascii="Calibri" w:hAnsi="Calibri" w:eastAsia="Calibri" w:cs="Calibri"/>
          <w:b/>
          <w:bCs/>
          <w:spacing w:val="17"/>
          <w:w w:val="10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月</w:t>
      </w:r>
      <w:r>
        <w:rPr>
          <w:rFonts w:ascii="Calibri" w:hAnsi="Calibri" w:eastAsia="Calibri" w:cs="Calibri"/>
          <w:b/>
          <w:bCs/>
          <w:spacing w:val="-9"/>
          <w:sz w:val="30"/>
          <w:szCs w:val="30"/>
        </w:rPr>
        <w:t xml:space="preserve">6 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日版</w:t>
      </w:r>
    </w:p>
    <w:p w14:paraId="0D998A45">
      <w:pPr>
        <w:spacing w:before="269" w:line="222" w:lineRule="auto"/>
        <w:ind w:left="2881"/>
        <w:rPr>
          <w:rFonts w:ascii="Calibri" w:hAnsi="Calibri" w:eastAsia="Calibri" w:cs="Calibri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本名称：</w:t>
      </w:r>
      <w:r>
        <w:rPr>
          <w:rFonts w:ascii="Calibri" w:hAnsi="Calibri" w:eastAsia="Calibri" w:cs="Calibri"/>
          <w:b/>
          <w:bCs/>
          <w:spacing w:val="-2"/>
          <w:sz w:val="30"/>
          <w:szCs w:val="30"/>
        </w:rPr>
        <w:t>CYYH-ITSS-12-02</w:t>
      </w:r>
    </w:p>
    <w:p w14:paraId="74BAEA6F">
      <w:pPr>
        <w:spacing w:before="270" w:line="222" w:lineRule="auto"/>
        <w:ind w:left="288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文件起草人：张延山</w:t>
      </w:r>
    </w:p>
    <w:p w14:paraId="511670A2">
      <w:pPr>
        <w:spacing w:before="268" w:line="222" w:lineRule="auto"/>
        <w:ind w:left="288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文件审核人：姜晓建</w:t>
      </w:r>
    </w:p>
    <w:p w14:paraId="680DC3DA">
      <w:pPr>
        <w:spacing w:before="268" w:line="221" w:lineRule="auto"/>
        <w:ind w:left="288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文件审批人：谢晓彤</w:t>
      </w:r>
    </w:p>
    <w:p w14:paraId="4B506876">
      <w:pPr>
        <w:spacing w:before="275" w:line="221" w:lineRule="auto"/>
        <w:ind w:left="2878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生效时间：</w:t>
      </w:r>
      <w:r>
        <w:rPr>
          <w:rFonts w:ascii="Calibri" w:hAnsi="Calibri" w:eastAsia="Calibri" w:cs="Calibri"/>
          <w:b/>
          <w:bCs/>
          <w:spacing w:val="-5"/>
          <w:sz w:val="30"/>
          <w:szCs w:val="30"/>
          <w:u w:val="single" w:color="auto"/>
        </w:rPr>
        <w:t xml:space="preserve">  2025</w:t>
      </w:r>
      <w:r>
        <w:rPr>
          <w:rFonts w:ascii="Calibri" w:hAnsi="Calibri" w:eastAsia="Calibri" w:cs="Calibri"/>
          <w:b/>
          <w:bCs/>
          <w:spacing w:val="8"/>
          <w:sz w:val="30"/>
          <w:szCs w:val="30"/>
          <w:u w:val="single" w:color="auto"/>
        </w:rPr>
        <w:t xml:space="preserve">    </w:t>
      </w:r>
      <w:r>
        <w:rPr>
          <w:rFonts w:ascii="Calibri" w:hAnsi="Calibri" w:eastAsia="Calibri" w:cs="Calibri"/>
          <w:b/>
          <w:bCs/>
          <w:spacing w:val="-5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年</w:t>
      </w:r>
      <w:r>
        <w:rPr>
          <w:rFonts w:ascii="Calibri" w:hAnsi="Calibri" w:eastAsia="Calibri" w:cs="Calibri"/>
          <w:b/>
          <w:bCs/>
          <w:spacing w:val="-5"/>
          <w:sz w:val="30"/>
          <w:szCs w:val="30"/>
          <w:u w:val="single" w:color="auto"/>
        </w:rPr>
        <w:t xml:space="preserve">   1</w:t>
      </w:r>
      <w:r>
        <w:rPr>
          <w:rFonts w:ascii="Calibri" w:hAnsi="Calibri" w:eastAsia="Calibri" w:cs="Calibri"/>
          <w:b/>
          <w:bCs/>
          <w:spacing w:val="18"/>
          <w:sz w:val="30"/>
          <w:szCs w:val="30"/>
          <w:u w:val="single" w:color="auto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月</w:t>
      </w:r>
      <w:r>
        <w:rPr>
          <w:rFonts w:ascii="Calibri" w:hAnsi="Calibri" w:eastAsia="Calibri" w:cs="Calibri"/>
          <w:b/>
          <w:bCs/>
          <w:spacing w:val="17"/>
          <w:sz w:val="30"/>
          <w:szCs w:val="30"/>
          <w:u w:val="single" w:color="auto"/>
        </w:rPr>
        <w:t xml:space="preserve">  </w:t>
      </w:r>
      <w:r>
        <w:rPr>
          <w:rFonts w:ascii="Calibri" w:hAnsi="Calibri" w:eastAsia="Calibri" w:cs="Calibri"/>
          <w:b/>
          <w:bCs/>
          <w:spacing w:val="-5"/>
          <w:sz w:val="30"/>
          <w:szCs w:val="30"/>
          <w:u w:val="single" w:color="auto"/>
        </w:rPr>
        <w:t xml:space="preserve">8 </w:t>
      </w:r>
      <w:r>
        <w:rPr>
          <w:rFonts w:ascii="Calibri" w:hAnsi="Calibri" w:eastAsia="Calibri" w:cs="Calibri"/>
          <w:b/>
          <w:bCs/>
          <w:spacing w:val="-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日</w:t>
      </w:r>
    </w:p>
    <w:p w14:paraId="701E7CDA">
      <w:pPr>
        <w:spacing w:line="221" w:lineRule="auto"/>
        <w:rPr>
          <w:rFonts w:ascii="黑体" w:hAnsi="黑体" w:eastAsia="黑体" w:cs="黑体"/>
          <w:sz w:val="30"/>
          <w:szCs w:val="30"/>
        </w:rPr>
        <w:sectPr>
          <w:footerReference r:id="rId5" w:type="default"/>
          <w:pgSz w:w="11910" w:h="16840"/>
          <w:pgMar w:top="907" w:right="1786" w:bottom="1110" w:left="1779" w:header="0" w:footer="875" w:gutter="0"/>
          <w:cols w:space="720" w:num="1"/>
        </w:sectPr>
      </w:pPr>
    </w:p>
    <w:p w14:paraId="0006A452">
      <w:pPr>
        <w:spacing w:line="414" w:lineRule="exact"/>
        <w:ind w:firstLine="21"/>
      </w:pPr>
      <w:r>
        <w:rPr>
          <w:position w:val="-8"/>
        </w:rPr>
        <w:drawing>
          <wp:inline distT="0" distB="0" distL="0" distR="0">
            <wp:extent cx="685165" cy="26289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371" cy="2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CA9B">
      <w:pPr>
        <w:spacing w:before="266" w:line="222" w:lineRule="auto"/>
        <w:ind w:left="4098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文件修改记录</w:t>
      </w:r>
    </w:p>
    <w:p w14:paraId="38AB6C55">
      <w:pPr>
        <w:spacing w:line="108" w:lineRule="exact"/>
      </w:pPr>
    </w:p>
    <w:tbl>
      <w:tblPr>
        <w:tblStyle w:val="5"/>
        <w:tblW w:w="850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2"/>
        <w:gridCol w:w="1843"/>
        <w:gridCol w:w="1693"/>
        <w:gridCol w:w="1693"/>
        <w:gridCol w:w="1697"/>
      </w:tblGrid>
      <w:tr w14:paraId="5EE0A9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632" w:hRule="atLeast"/>
        </w:trPr>
        <w:tc>
          <w:tcPr>
            <w:tcW w:w="1582" w:type="dxa"/>
          </w:tcPr>
          <w:p w14:paraId="32D401C8">
            <w:pPr>
              <w:spacing w:before="177" w:line="222" w:lineRule="auto"/>
              <w:ind w:left="228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4"/>
                <w:sz w:val="28"/>
                <w:szCs w:val="28"/>
              </w:rPr>
              <w:t>文件版本</w:t>
            </w:r>
          </w:p>
        </w:tc>
        <w:tc>
          <w:tcPr>
            <w:tcW w:w="1843" w:type="dxa"/>
          </w:tcPr>
          <w:p w14:paraId="3480A26A">
            <w:pPr>
              <w:spacing w:before="177" w:line="222" w:lineRule="auto"/>
              <w:ind w:left="367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修订内容</w:t>
            </w:r>
          </w:p>
        </w:tc>
        <w:tc>
          <w:tcPr>
            <w:tcW w:w="1693" w:type="dxa"/>
          </w:tcPr>
          <w:p w14:paraId="4CA2019A">
            <w:pPr>
              <w:spacing w:before="177" w:line="222" w:lineRule="auto"/>
              <w:ind w:left="432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修改人</w:t>
            </w:r>
          </w:p>
        </w:tc>
        <w:tc>
          <w:tcPr>
            <w:tcW w:w="1693" w:type="dxa"/>
          </w:tcPr>
          <w:p w14:paraId="692F0624">
            <w:pPr>
              <w:spacing w:before="176" w:line="223" w:lineRule="auto"/>
              <w:ind w:left="442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6"/>
                <w:sz w:val="28"/>
                <w:szCs w:val="28"/>
              </w:rPr>
              <w:t>审核人</w:t>
            </w:r>
          </w:p>
        </w:tc>
        <w:tc>
          <w:tcPr>
            <w:tcW w:w="1697" w:type="dxa"/>
          </w:tcPr>
          <w:p w14:paraId="30DAE24D">
            <w:pPr>
              <w:spacing w:before="176" w:line="222" w:lineRule="auto"/>
              <w:ind w:left="331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生效日期</w:t>
            </w:r>
          </w:p>
        </w:tc>
      </w:tr>
      <w:tr w14:paraId="6D88E1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5" w:hRule="atLeast"/>
        </w:trPr>
        <w:tc>
          <w:tcPr>
            <w:tcW w:w="1582" w:type="dxa"/>
          </w:tcPr>
          <w:p w14:paraId="7960C1D7">
            <w:pPr>
              <w:spacing w:before="175" w:line="241" w:lineRule="auto"/>
              <w:ind w:left="310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1"/>
                <w:sz w:val="28"/>
                <w:szCs w:val="28"/>
              </w:rPr>
              <w:t>V1.0</w:t>
            </w:r>
          </w:p>
        </w:tc>
        <w:tc>
          <w:tcPr>
            <w:tcW w:w="1843" w:type="dxa"/>
          </w:tcPr>
          <w:p w14:paraId="2DD5DB6C">
            <w:pPr>
              <w:spacing w:before="175" w:line="224" w:lineRule="auto"/>
              <w:ind w:left="469" w:right="116" w:hanging="420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初始版本，文</w:t>
            </w: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档建立</w:t>
            </w:r>
          </w:p>
        </w:tc>
        <w:tc>
          <w:tcPr>
            <w:tcW w:w="1693" w:type="dxa"/>
          </w:tcPr>
          <w:p w14:paraId="7A3759CE">
            <w:pPr>
              <w:spacing w:before="175" w:line="223" w:lineRule="auto"/>
              <w:ind w:left="244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7"/>
                <w:sz w:val="28"/>
                <w:szCs w:val="28"/>
              </w:rPr>
              <w:t>张延山</w:t>
            </w:r>
          </w:p>
        </w:tc>
        <w:tc>
          <w:tcPr>
            <w:tcW w:w="1693" w:type="dxa"/>
          </w:tcPr>
          <w:p w14:paraId="78C75DF3">
            <w:pPr>
              <w:spacing w:before="176" w:line="222" w:lineRule="auto"/>
              <w:ind w:left="241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5"/>
                <w:sz w:val="28"/>
                <w:szCs w:val="28"/>
              </w:rPr>
              <w:t>姜晓建</w:t>
            </w:r>
          </w:p>
        </w:tc>
        <w:tc>
          <w:tcPr>
            <w:tcW w:w="1697" w:type="dxa"/>
          </w:tcPr>
          <w:p w14:paraId="63BFAC2A">
            <w:pPr>
              <w:spacing w:before="175" w:line="241" w:lineRule="auto"/>
              <w:ind w:left="93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1"/>
                <w:sz w:val="28"/>
                <w:szCs w:val="28"/>
              </w:rPr>
              <w:t>2025.1.8</w:t>
            </w:r>
          </w:p>
        </w:tc>
      </w:tr>
      <w:tr w14:paraId="6B3CAE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582" w:type="dxa"/>
          </w:tcPr>
          <w:p w14:paraId="0DE9602F">
            <w:pPr>
              <w:pStyle w:val="6"/>
            </w:pPr>
          </w:p>
        </w:tc>
        <w:tc>
          <w:tcPr>
            <w:tcW w:w="1843" w:type="dxa"/>
          </w:tcPr>
          <w:p w14:paraId="2D250516">
            <w:pPr>
              <w:pStyle w:val="6"/>
            </w:pPr>
          </w:p>
        </w:tc>
        <w:tc>
          <w:tcPr>
            <w:tcW w:w="1693" w:type="dxa"/>
          </w:tcPr>
          <w:p w14:paraId="0E512F1C">
            <w:pPr>
              <w:pStyle w:val="6"/>
            </w:pPr>
          </w:p>
        </w:tc>
        <w:tc>
          <w:tcPr>
            <w:tcW w:w="1693" w:type="dxa"/>
          </w:tcPr>
          <w:p w14:paraId="7A807687">
            <w:pPr>
              <w:pStyle w:val="6"/>
            </w:pPr>
          </w:p>
        </w:tc>
        <w:tc>
          <w:tcPr>
            <w:tcW w:w="1697" w:type="dxa"/>
          </w:tcPr>
          <w:p w14:paraId="5D35969B">
            <w:pPr>
              <w:pStyle w:val="6"/>
            </w:pPr>
          </w:p>
        </w:tc>
      </w:tr>
      <w:tr w14:paraId="36B22F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73AFD023">
            <w:pPr>
              <w:pStyle w:val="6"/>
            </w:pPr>
          </w:p>
        </w:tc>
        <w:tc>
          <w:tcPr>
            <w:tcW w:w="1843" w:type="dxa"/>
          </w:tcPr>
          <w:p w14:paraId="2876C852">
            <w:pPr>
              <w:pStyle w:val="6"/>
            </w:pPr>
          </w:p>
        </w:tc>
        <w:tc>
          <w:tcPr>
            <w:tcW w:w="1693" w:type="dxa"/>
          </w:tcPr>
          <w:p w14:paraId="5CEB7BB9">
            <w:pPr>
              <w:pStyle w:val="6"/>
            </w:pPr>
          </w:p>
        </w:tc>
        <w:tc>
          <w:tcPr>
            <w:tcW w:w="1693" w:type="dxa"/>
          </w:tcPr>
          <w:p w14:paraId="11FBFF9C">
            <w:pPr>
              <w:pStyle w:val="6"/>
            </w:pPr>
          </w:p>
        </w:tc>
        <w:tc>
          <w:tcPr>
            <w:tcW w:w="1697" w:type="dxa"/>
          </w:tcPr>
          <w:p w14:paraId="61428B51">
            <w:pPr>
              <w:pStyle w:val="6"/>
            </w:pPr>
          </w:p>
        </w:tc>
      </w:tr>
      <w:tr w14:paraId="3EE080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336142D2">
            <w:pPr>
              <w:pStyle w:val="6"/>
            </w:pPr>
          </w:p>
        </w:tc>
        <w:tc>
          <w:tcPr>
            <w:tcW w:w="1843" w:type="dxa"/>
          </w:tcPr>
          <w:p w14:paraId="0B9A36B7">
            <w:pPr>
              <w:pStyle w:val="6"/>
            </w:pPr>
          </w:p>
        </w:tc>
        <w:tc>
          <w:tcPr>
            <w:tcW w:w="1693" w:type="dxa"/>
          </w:tcPr>
          <w:p w14:paraId="7F36DA60">
            <w:pPr>
              <w:pStyle w:val="6"/>
            </w:pPr>
          </w:p>
        </w:tc>
        <w:tc>
          <w:tcPr>
            <w:tcW w:w="1693" w:type="dxa"/>
          </w:tcPr>
          <w:p w14:paraId="037832BE">
            <w:pPr>
              <w:pStyle w:val="6"/>
            </w:pPr>
          </w:p>
        </w:tc>
        <w:tc>
          <w:tcPr>
            <w:tcW w:w="1697" w:type="dxa"/>
          </w:tcPr>
          <w:p w14:paraId="0F5B80AC">
            <w:pPr>
              <w:pStyle w:val="6"/>
            </w:pPr>
          </w:p>
        </w:tc>
      </w:tr>
      <w:tr w14:paraId="7E063B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61CB5EA0">
            <w:pPr>
              <w:pStyle w:val="6"/>
            </w:pPr>
          </w:p>
        </w:tc>
        <w:tc>
          <w:tcPr>
            <w:tcW w:w="1843" w:type="dxa"/>
          </w:tcPr>
          <w:p w14:paraId="593F2B45">
            <w:pPr>
              <w:pStyle w:val="6"/>
            </w:pPr>
          </w:p>
        </w:tc>
        <w:tc>
          <w:tcPr>
            <w:tcW w:w="1693" w:type="dxa"/>
          </w:tcPr>
          <w:p w14:paraId="0C962FE3">
            <w:pPr>
              <w:pStyle w:val="6"/>
            </w:pPr>
          </w:p>
        </w:tc>
        <w:tc>
          <w:tcPr>
            <w:tcW w:w="1693" w:type="dxa"/>
          </w:tcPr>
          <w:p w14:paraId="2DDE8751">
            <w:pPr>
              <w:pStyle w:val="6"/>
            </w:pPr>
          </w:p>
        </w:tc>
        <w:tc>
          <w:tcPr>
            <w:tcW w:w="1697" w:type="dxa"/>
          </w:tcPr>
          <w:p w14:paraId="5291617E">
            <w:pPr>
              <w:pStyle w:val="6"/>
            </w:pPr>
          </w:p>
        </w:tc>
      </w:tr>
      <w:tr w14:paraId="7F98FE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582" w:type="dxa"/>
          </w:tcPr>
          <w:p w14:paraId="2A674476">
            <w:pPr>
              <w:pStyle w:val="6"/>
            </w:pPr>
          </w:p>
        </w:tc>
        <w:tc>
          <w:tcPr>
            <w:tcW w:w="1843" w:type="dxa"/>
          </w:tcPr>
          <w:p w14:paraId="2F841FEA">
            <w:pPr>
              <w:pStyle w:val="6"/>
            </w:pPr>
          </w:p>
        </w:tc>
        <w:tc>
          <w:tcPr>
            <w:tcW w:w="1693" w:type="dxa"/>
          </w:tcPr>
          <w:p w14:paraId="35237C76">
            <w:pPr>
              <w:pStyle w:val="6"/>
            </w:pPr>
          </w:p>
        </w:tc>
        <w:tc>
          <w:tcPr>
            <w:tcW w:w="1693" w:type="dxa"/>
          </w:tcPr>
          <w:p w14:paraId="237D6B55">
            <w:pPr>
              <w:pStyle w:val="6"/>
            </w:pPr>
          </w:p>
        </w:tc>
        <w:tc>
          <w:tcPr>
            <w:tcW w:w="1697" w:type="dxa"/>
          </w:tcPr>
          <w:p w14:paraId="1DA37D57">
            <w:pPr>
              <w:pStyle w:val="6"/>
            </w:pPr>
          </w:p>
        </w:tc>
      </w:tr>
      <w:tr w14:paraId="1CF4AA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582" w:type="dxa"/>
          </w:tcPr>
          <w:p w14:paraId="54E58E93">
            <w:pPr>
              <w:pStyle w:val="6"/>
            </w:pPr>
          </w:p>
        </w:tc>
        <w:tc>
          <w:tcPr>
            <w:tcW w:w="1843" w:type="dxa"/>
          </w:tcPr>
          <w:p w14:paraId="2A53518E">
            <w:pPr>
              <w:pStyle w:val="6"/>
            </w:pPr>
          </w:p>
        </w:tc>
        <w:tc>
          <w:tcPr>
            <w:tcW w:w="1693" w:type="dxa"/>
          </w:tcPr>
          <w:p w14:paraId="10498DCA">
            <w:pPr>
              <w:pStyle w:val="6"/>
            </w:pPr>
          </w:p>
        </w:tc>
        <w:tc>
          <w:tcPr>
            <w:tcW w:w="1693" w:type="dxa"/>
          </w:tcPr>
          <w:p w14:paraId="02B7D89B">
            <w:pPr>
              <w:pStyle w:val="6"/>
            </w:pPr>
          </w:p>
        </w:tc>
        <w:tc>
          <w:tcPr>
            <w:tcW w:w="1697" w:type="dxa"/>
          </w:tcPr>
          <w:p w14:paraId="1B1A3B4B">
            <w:pPr>
              <w:pStyle w:val="6"/>
            </w:pPr>
          </w:p>
        </w:tc>
      </w:tr>
      <w:tr w14:paraId="367FCC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582" w:type="dxa"/>
          </w:tcPr>
          <w:p w14:paraId="3F21131B">
            <w:pPr>
              <w:pStyle w:val="6"/>
            </w:pPr>
          </w:p>
        </w:tc>
        <w:tc>
          <w:tcPr>
            <w:tcW w:w="1843" w:type="dxa"/>
          </w:tcPr>
          <w:p w14:paraId="5D024251">
            <w:pPr>
              <w:pStyle w:val="6"/>
            </w:pPr>
          </w:p>
        </w:tc>
        <w:tc>
          <w:tcPr>
            <w:tcW w:w="1693" w:type="dxa"/>
          </w:tcPr>
          <w:p w14:paraId="3C9589CC">
            <w:pPr>
              <w:pStyle w:val="6"/>
            </w:pPr>
          </w:p>
        </w:tc>
        <w:tc>
          <w:tcPr>
            <w:tcW w:w="1693" w:type="dxa"/>
          </w:tcPr>
          <w:p w14:paraId="10590B19">
            <w:pPr>
              <w:pStyle w:val="6"/>
            </w:pPr>
          </w:p>
        </w:tc>
        <w:tc>
          <w:tcPr>
            <w:tcW w:w="1697" w:type="dxa"/>
          </w:tcPr>
          <w:p w14:paraId="66C39A4C">
            <w:pPr>
              <w:pStyle w:val="6"/>
            </w:pPr>
          </w:p>
        </w:tc>
      </w:tr>
    </w:tbl>
    <w:p w14:paraId="0427E1B5">
      <w:pPr>
        <w:pStyle w:val="2"/>
      </w:pPr>
    </w:p>
    <w:p w14:paraId="2ABBED2B">
      <w:pPr>
        <w:sectPr>
          <w:footerReference r:id="rId6" w:type="default"/>
          <w:pgSz w:w="11910" w:h="16840"/>
          <w:pgMar w:top="907" w:right="1638" w:bottom="1110" w:left="1758" w:header="0" w:footer="875" w:gutter="0"/>
          <w:cols w:space="720" w:num="1"/>
        </w:sectPr>
      </w:pPr>
    </w:p>
    <w:p w14:paraId="13390252">
      <w:pPr>
        <w:spacing w:line="414" w:lineRule="exact"/>
        <w:ind w:firstLine="91"/>
      </w:pPr>
      <w:r>
        <w:rPr>
          <w:position w:val="-8"/>
        </w:rPr>
        <w:drawing>
          <wp:inline distT="0" distB="0" distL="0" distR="0">
            <wp:extent cx="685165" cy="26289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371" cy="2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宋体" w:hAnsi="宋体" w:eastAsia="宋体" w:cs="宋体"/>
          <w:sz w:val="24"/>
          <w:szCs w:val="24"/>
        </w:rPr>
        <w:id w:val="9118866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sz w:val="24"/>
          <w:szCs w:val="24"/>
        </w:rPr>
      </w:sdtEndPr>
      <w:sdtContent>
        <w:p w14:paraId="0A56EE89">
          <w:pPr>
            <w:spacing w:before="78" w:line="221" w:lineRule="auto"/>
            <w:ind w:left="4141"/>
            <w:rPr>
              <w:rFonts w:ascii="宋体" w:hAnsi="宋体" w:eastAsia="宋体" w:cs="宋体"/>
              <w:sz w:val="24"/>
              <w:szCs w:val="24"/>
            </w:rPr>
          </w:pPr>
          <w:bookmarkStart w:id="16" w:name="_GoBack"/>
          <w:bookmarkEnd w:id="16"/>
          <w:r>
            <w:rPr>
              <w:rFonts w:ascii="宋体" w:hAnsi="宋体" w:eastAsia="宋体" w:cs="宋体"/>
              <w:spacing w:val="-28"/>
              <w:sz w:val="24"/>
              <w:szCs w:val="24"/>
            </w:rPr>
            <w:t>目录</w:t>
          </w:r>
        </w:p>
        <w:p w14:paraId="04736422">
          <w:pPr>
            <w:tabs>
              <w:tab w:val="right" w:leader="dot" w:pos="8660"/>
            </w:tabs>
            <w:spacing w:before="177" w:line="185" w:lineRule="auto"/>
            <w:ind w:left="18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8"/>
              <w:sz w:val="24"/>
              <w:szCs w:val="24"/>
            </w:rPr>
            <w:t>1</w:t>
          </w:r>
          <w:r>
            <w:rPr>
              <w:rFonts w:ascii="宋体" w:hAnsi="宋体" w:eastAsia="宋体" w:cs="宋体"/>
              <w:spacing w:val="11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8"/>
              <w:sz w:val="24"/>
              <w:szCs w:val="24"/>
            </w:rPr>
            <w:t>编写目的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8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fldChar w:fldCharType="end"/>
          </w:r>
        </w:p>
        <w:p w14:paraId="23C52C8D">
          <w:pPr>
            <w:tabs>
              <w:tab w:val="right" w:leader="dot" w:pos="8660"/>
            </w:tabs>
            <w:spacing w:before="227" w:line="185" w:lineRule="auto"/>
            <w:ind w:left="3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2</w:t>
          </w:r>
          <w:r>
            <w:rPr>
              <w:rFonts w:ascii="宋体" w:hAnsi="宋体" w:eastAsia="宋体" w:cs="宋体"/>
              <w:spacing w:val="11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适用范围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8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fldChar w:fldCharType="end"/>
          </w:r>
        </w:p>
        <w:p w14:paraId="3D1886B0">
          <w:pPr>
            <w:tabs>
              <w:tab w:val="right" w:leader="dot" w:pos="8660"/>
            </w:tabs>
            <w:spacing w:before="225" w:line="184" w:lineRule="auto"/>
            <w:ind w:left="5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3 备件响应时间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8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fldChar w:fldCharType="end"/>
          </w:r>
        </w:p>
        <w:p w14:paraId="4410B8ED">
          <w:pPr>
            <w:tabs>
              <w:tab w:val="right" w:leader="dot" w:pos="8660"/>
            </w:tabs>
            <w:spacing w:before="226" w:line="185" w:lineRule="auto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4</w:t>
          </w:r>
          <w:r>
            <w:rPr>
              <w:rFonts w:ascii="宋体" w:hAnsi="宋体" w:eastAsia="宋体" w:cs="宋体"/>
              <w:spacing w:val="15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管理职责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8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fldChar w:fldCharType="end"/>
          </w:r>
        </w:p>
        <w:p w14:paraId="53EC9E59">
          <w:pPr>
            <w:tabs>
              <w:tab w:val="right" w:leader="dot" w:pos="8660"/>
            </w:tabs>
            <w:spacing w:before="227" w:line="185" w:lineRule="auto"/>
            <w:ind w:left="439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4.1 采购专员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102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fldChar w:fldCharType="end"/>
          </w:r>
        </w:p>
        <w:p w14:paraId="7D6D93B8">
          <w:pPr>
            <w:tabs>
              <w:tab w:val="right" w:leader="dot" w:pos="8660"/>
            </w:tabs>
            <w:spacing w:before="228" w:line="185" w:lineRule="auto"/>
            <w:ind w:left="439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4.2 仓管专员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102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fldChar w:fldCharType="end"/>
          </w:r>
        </w:p>
        <w:p w14:paraId="28E6FDA7">
          <w:pPr>
            <w:tabs>
              <w:tab w:val="right" w:leader="dot" w:pos="8660"/>
            </w:tabs>
            <w:spacing w:before="225" w:line="185" w:lineRule="auto"/>
            <w:ind w:left="5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5</w:t>
          </w:r>
          <w:r>
            <w:rPr>
              <w:rFonts w:ascii="宋体" w:hAnsi="宋体" w:eastAsia="宋体" w:cs="宋体"/>
              <w:spacing w:val="9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执行策略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77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5"/>
              <w:sz w:val="24"/>
              <w:szCs w:val="24"/>
            </w:rPr>
            <w:t>5</w:t>
          </w:r>
          <w:r>
            <w:fldChar w:fldCharType="end"/>
          </w:r>
        </w:p>
        <w:p w14:paraId="6D9B1119">
          <w:pPr>
            <w:tabs>
              <w:tab w:val="right" w:leader="dot" w:pos="8660"/>
            </w:tabs>
            <w:spacing w:before="227" w:line="185" w:lineRule="auto"/>
            <w:ind w:left="2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6"/>
              <w:sz w:val="24"/>
              <w:szCs w:val="24"/>
            </w:rPr>
            <w:t>6</w:t>
          </w:r>
          <w:r>
            <w:rPr>
              <w:rFonts w:ascii="宋体" w:hAnsi="宋体" w:eastAsia="宋体" w:cs="宋体"/>
              <w:spacing w:val="17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6"/>
              <w:sz w:val="24"/>
              <w:szCs w:val="24"/>
            </w:rPr>
            <w:t>管理流程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77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5"/>
              <w:sz w:val="24"/>
              <w:szCs w:val="24"/>
            </w:rPr>
            <w:t>5</w:t>
          </w:r>
          <w:r>
            <w:fldChar w:fldCharType="end"/>
          </w:r>
        </w:p>
        <w:p w14:paraId="1FD0207C">
          <w:pPr>
            <w:tabs>
              <w:tab w:val="right" w:leader="dot" w:pos="8660"/>
            </w:tabs>
            <w:spacing w:before="226" w:line="185" w:lineRule="auto"/>
            <w:ind w:left="442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6.1 采购计划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96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5"/>
              <w:sz w:val="24"/>
              <w:szCs w:val="24"/>
            </w:rPr>
            <w:t>5</w:t>
          </w:r>
          <w:r>
            <w:fldChar w:fldCharType="end"/>
          </w:r>
        </w:p>
        <w:p w14:paraId="462EB803">
          <w:pPr>
            <w:tabs>
              <w:tab w:val="right" w:leader="dot" w:pos="8660"/>
            </w:tabs>
            <w:spacing w:before="227" w:line="185" w:lineRule="auto"/>
            <w:ind w:left="442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6.2 备件的分类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99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2"/>
              <w:sz w:val="24"/>
              <w:szCs w:val="24"/>
            </w:rPr>
            <w:t>6</w:t>
          </w:r>
          <w:r>
            <w:fldChar w:fldCharType="end"/>
          </w:r>
        </w:p>
        <w:p w14:paraId="30514ADB">
          <w:pPr>
            <w:tabs>
              <w:tab w:val="right" w:leader="dot" w:pos="8660"/>
            </w:tabs>
            <w:spacing w:before="228" w:line="184" w:lineRule="auto"/>
            <w:ind w:left="442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6.3 供应商管理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99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2"/>
              <w:sz w:val="24"/>
              <w:szCs w:val="24"/>
            </w:rPr>
            <w:t>6</w:t>
          </w:r>
          <w:r>
            <w:fldChar w:fldCharType="end"/>
          </w:r>
        </w:p>
        <w:p w14:paraId="1D0889B6">
          <w:pPr>
            <w:tabs>
              <w:tab w:val="right" w:leader="dot" w:pos="8660"/>
            </w:tabs>
            <w:spacing w:before="226" w:line="185" w:lineRule="auto"/>
            <w:ind w:left="442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6.4 备件的采购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95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6"/>
              <w:sz w:val="24"/>
              <w:szCs w:val="24"/>
            </w:rPr>
            <w:t>7</w:t>
          </w:r>
          <w:r>
            <w:fldChar w:fldCharType="end"/>
          </w:r>
        </w:p>
        <w:p w14:paraId="6EF8EA3F">
          <w:pPr>
            <w:tabs>
              <w:tab w:val="right" w:leader="dot" w:pos="8660"/>
            </w:tabs>
            <w:spacing w:before="225" w:line="185" w:lineRule="auto"/>
            <w:ind w:left="442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1"/>
              <w:sz w:val="24"/>
              <w:szCs w:val="24"/>
            </w:rPr>
            <w:t>6.5 备品备件出入库管理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95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6"/>
              <w:sz w:val="24"/>
              <w:szCs w:val="24"/>
            </w:rPr>
            <w:t>7</w:t>
          </w:r>
          <w:r>
            <w:fldChar w:fldCharType="end"/>
          </w:r>
        </w:p>
        <w:p w14:paraId="16258444">
          <w:pPr>
            <w:tabs>
              <w:tab w:val="right" w:leader="dot" w:pos="8660"/>
            </w:tabs>
            <w:spacing w:before="228" w:line="185" w:lineRule="auto"/>
            <w:ind w:left="6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"bookmark14"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7 备件盘点和可用性检测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81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1"/>
              <w:sz w:val="24"/>
              <w:szCs w:val="24"/>
            </w:rPr>
            <w:t>8</w:t>
          </w:r>
          <w:r>
            <w:fldChar w:fldCharType="end"/>
          </w:r>
        </w:p>
        <w:p w14:paraId="094420EF">
          <w:pPr>
            <w:tabs>
              <w:tab w:val="right" w:leader="dot" w:pos="8660"/>
            </w:tabs>
            <w:spacing w:before="225" w:line="185" w:lineRule="auto"/>
            <w:ind w:left="1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"bookmark15"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8</w:t>
          </w:r>
          <w:r>
            <w:rPr>
              <w:rFonts w:ascii="宋体" w:hAnsi="宋体" w:eastAsia="宋体" w:cs="宋体"/>
              <w:spacing w:val="1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备件销毁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81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1"/>
              <w:sz w:val="24"/>
              <w:szCs w:val="24"/>
            </w:rPr>
            <w:t>8</w:t>
          </w:r>
          <w:r>
            <w:fldChar w:fldCharType="end"/>
          </w:r>
        </w:p>
        <w:p w14:paraId="50E7AD9C">
          <w:pPr>
            <w:tabs>
              <w:tab w:val="right" w:leader="dot" w:pos="8660"/>
            </w:tabs>
            <w:spacing w:before="227" w:line="218" w:lineRule="auto"/>
            <w:ind w:left="1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"bookmark16"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9</w:t>
          </w:r>
          <w:r>
            <w:rPr>
              <w:rFonts w:ascii="宋体" w:hAnsi="宋体" w:eastAsia="宋体" w:cs="宋体"/>
              <w:spacing w:val="1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绩效评价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81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1"/>
              <w:sz w:val="24"/>
              <w:szCs w:val="24"/>
            </w:rPr>
            <w:t>8</w:t>
          </w:r>
          <w:r>
            <w:fldChar w:fldCharType="end"/>
          </w:r>
        </w:p>
      </w:sdtContent>
    </w:sdt>
    <w:p w14:paraId="774407A1">
      <w:pPr>
        <w:spacing w:line="218" w:lineRule="auto"/>
        <w:rPr>
          <w:rFonts w:ascii="宋体" w:hAnsi="宋体" w:eastAsia="宋体" w:cs="宋体"/>
          <w:sz w:val="24"/>
          <w:szCs w:val="24"/>
        </w:rPr>
        <w:sectPr>
          <w:footerReference r:id="rId7" w:type="default"/>
          <w:pgSz w:w="11910" w:h="16840"/>
          <w:pgMar w:top="921" w:right="1561" w:bottom="709" w:left="1688" w:header="0" w:footer="476" w:gutter="0"/>
          <w:cols w:space="720" w:num="1"/>
        </w:sectPr>
      </w:pPr>
    </w:p>
    <w:p w14:paraId="7347B10C">
      <w:pPr>
        <w:spacing w:line="414" w:lineRule="exact"/>
      </w:pPr>
      <w:r>
        <w:rPr>
          <w:position w:val="-8"/>
        </w:rPr>
        <w:drawing>
          <wp:inline distT="0" distB="0" distL="0" distR="0">
            <wp:extent cx="685165" cy="26289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371" cy="2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8FC9C">
      <w:pPr>
        <w:pStyle w:val="2"/>
        <w:spacing w:line="294" w:lineRule="auto"/>
      </w:pPr>
    </w:p>
    <w:p w14:paraId="002676B6">
      <w:pPr>
        <w:pStyle w:val="2"/>
        <w:spacing w:line="294" w:lineRule="auto"/>
      </w:pPr>
    </w:p>
    <w:p w14:paraId="4A294C84">
      <w:pPr>
        <w:spacing w:before="101" w:line="226" w:lineRule="auto"/>
        <w:ind w:left="42"/>
        <w:outlineLvl w:val="0"/>
        <w:rPr>
          <w:rFonts w:ascii="黑体" w:hAnsi="黑体" w:eastAsia="黑体" w:cs="黑体"/>
          <w:sz w:val="31"/>
          <w:szCs w:val="31"/>
        </w:rPr>
      </w:pPr>
      <w:bookmarkStart w:id="0" w:name="bookmark1"/>
      <w:bookmarkEnd w:id="0"/>
      <w:r>
        <w:rPr>
          <w:rFonts w:ascii="Calibri" w:hAnsi="Calibri" w:eastAsia="Calibri" w:cs="Calibri"/>
          <w:b/>
          <w:bCs/>
          <w:spacing w:val="-1"/>
          <w:sz w:val="31"/>
          <w:szCs w:val="31"/>
        </w:rPr>
        <w:t>1</w:t>
      </w:r>
      <w:r>
        <w:rPr>
          <w:rFonts w:ascii="Calibri" w:hAnsi="Calibri" w:eastAsia="Calibri" w:cs="Calibri"/>
          <w:b/>
          <w:bCs/>
          <w:spacing w:val="25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31"/>
          <w:szCs w:val="31"/>
        </w:rPr>
        <w:t>编写目的</w:t>
      </w:r>
    </w:p>
    <w:p w14:paraId="728CB8E9">
      <w:pPr>
        <w:pStyle w:val="2"/>
        <w:spacing w:line="376" w:lineRule="auto"/>
      </w:pPr>
    </w:p>
    <w:p w14:paraId="04E1F477">
      <w:pPr>
        <w:spacing w:before="78" w:line="365" w:lineRule="auto"/>
        <w:ind w:left="40" w:right="140" w:firstLine="52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确保备件库的规范管理，及时有效地提供优质备</w:t>
      </w:r>
      <w:r>
        <w:rPr>
          <w:rFonts w:ascii="宋体" w:hAnsi="宋体" w:eastAsia="宋体" w:cs="宋体"/>
          <w:spacing w:val="-1"/>
          <w:sz w:val="24"/>
          <w:szCs w:val="24"/>
        </w:rPr>
        <w:t>件，缩短设备故障的更换</w:t>
      </w:r>
      <w:r>
        <w:rPr>
          <w:rFonts w:ascii="宋体" w:hAnsi="宋体" w:eastAsia="宋体" w:cs="宋体"/>
          <w:spacing w:val="-17"/>
          <w:sz w:val="24"/>
          <w:szCs w:val="24"/>
        </w:rPr>
        <w:t>时间，提升客户满意度，并在保证备件供应的前提下，尽可能减少备件运作成本。</w:t>
      </w:r>
    </w:p>
    <w:p w14:paraId="237BC7A8">
      <w:pPr>
        <w:spacing w:before="276" w:line="228" w:lineRule="auto"/>
        <w:ind w:left="33"/>
        <w:outlineLvl w:val="0"/>
        <w:rPr>
          <w:rFonts w:ascii="黑体" w:hAnsi="黑体" w:eastAsia="黑体" w:cs="黑体"/>
          <w:sz w:val="31"/>
          <w:szCs w:val="31"/>
        </w:rPr>
      </w:pPr>
      <w:bookmarkStart w:id="1" w:name="bookmark2"/>
      <w:bookmarkEnd w:id="1"/>
      <w:r>
        <w:rPr>
          <w:rFonts w:ascii="Calibri" w:hAnsi="Calibri" w:eastAsia="Calibri" w:cs="Calibri"/>
          <w:b/>
          <w:bCs/>
          <w:sz w:val="31"/>
          <w:szCs w:val="31"/>
        </w:rPr>
        <w:t>2</w:t>
      </w:r>
      <w:r>
        <w:rPr>
          <w:rFonts w:ascii="Calibri" w:hAnsi="Calibri" w:eastAsia="Calibri" w:cs="Calibri"/>
          <w:b/>
          <w:bCs/>
          <w:spacing w:val="29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z w:val="31"/>
          <w:szCs w:val="31"/>
        </w:rPr>
        <w:t>适用范围</w:t>
      </w:r>
    </w:p>
    <w:p w14:paraId="426ABF4B">
      <w:pPr>
        <w:pStyle w:val="2"/>
        <w:spacing w:line="373" w:lineRule="auto"/>
      </w:pPr>
    </w:p>
    <w:p w14:paraId="29497185">
      <w:pPr>
        <w:spacing w:before="78" w:line="365" w:lineRule="auto"/>
        <w:ind w:left="32" w:firstLine="47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本制度适用于公司对企业备件资源进行管理的一切活动，包括管理的职责、</w:t>
      </w:r>
      <w:r>
        <w:rPr>
          <w:rFonts w:ascii="宋体" w:hAnsi="宋体" w:eastAsia="宋体" w:cs="宋体"/>
          <w:spacing w:val="-1"/>
          <w:sz w:val="24"/>
          <w:szCs w:val="24"/>
        </w:rPr>
        <w:t>备件的计划与采购、出入库的管理、可用性管理等。</w:t>
      </w:r>
    </w:p>
    <w:p w14:paraId="104E7BC3">
      <w:pPr>
        <w:spacing w:before="278" w:line="228" w:lineRule="auto"/>
        <w:ind w:left="33"/>
        <w:outlineLvl w:val="0"/>
        <w:rPr>
          <w:rFonts w:ascii="黑体" w:hAnsi="黑体" w:eastAsia="黑体" w:cs="黑体"/>
          <w:sz w:val="31"/>
          <w:szCs w:val="31"/>
        </w:rPr>
      </w:pPr>
      <w:bookmarkStart w:id="2" w:name="bookmark3"/>
      <w:bookmarkEnd w:id="2"/>
      <w:r>
        <w:rPr>
          <w:rFonts w:ascii="Calibri" w:hAnsi="Calibri" w:eastAsia="Calibri" w:cs="Calibri"/>
          <w:b/>
          <w:bCs/>
          <w:spacing w:val="2"/>
          <w:sz w:val="31"/>
          <w:szCs w:val="31"/>
        </w:rPr>
        <w:t>3</w:t>
      </w:r>
      <w:r>
        <w:rPr>
          <w:rFonts w:ascii="Calibri" w:hAnsi="Calibri" w:eastAsia="Calibri" w:cs="Calibri"/>
          <w:b/>
          <w:bCs/>
          <w:spacing w:val="29"/>
          <w:w w:val="101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31"/>
          <w:szCs w:val="31"/>
        </w:rPr>
        <w:t>备件响应时间</w:t>
      </w:r>
    </w:p>
    <w:p w14:paraId="2B6E612D">
      <w:pPr>
        <w:pStyle w:val="2"/>
        <w:spacing w:line="372" w:lineRule="auto"/>
      </w:pPr>
    </w:p>
    <w:p w14:paraId="2CB7D94B">
      <w:pPr>
        <w:spacing w:before="78" w:line="315" w:lineRule="auto"/>
        <w:ind w:left="28" w:right="135"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 xml:space="preserve">仓管专员根据备件服务 </w:t>
      </w:r>
      <w:r>
        <w:rPr>
          <w:rFonts w:ascii="Calibri" w:hAnsi="Calibri" w:eastAsia="Calibri" w:cs="Calibri"/>
          <w:spacing w:val="-7"/>
          <w:sz w:val="24"/>
          <w:szCs w:val="24"/>
        </w:rPr>
        <w:t>SLA</w:t>
      </w:r>
      <w:r>
        <w:rPr>
          <w:rFonts w:ascii="Calibri" w:hAnsi="Calibri" w:eastAsia="Calibri" w:cs="Calibri"/>
          <w:spacing w:val="2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>响应要求将紧急程度</w:t>
      </w:r>
      <w:r>
        <w:rPr>
          <w:rFonts w:ascii="宋体" w:hAnsi="宋体" w:eastAsia="宋体" w:cs="宋体"/>
          <w:spacing w:val="-8"/>
          <w:sz w:val="24"/>
          <w:szCs w:val="24"/>
        </w:rPr>
        <w:t>分为三级，并按照相应等级</w:t>
      </w:r>
      <w:r>
        <w:rPr>
          <w:rFonts w:ascii="宋体" w:hAnsi="宋体" w:eastAsia="宋体" w:cs="宋体"/>
          <w:spacing w:val="-2"/>
          <w:sz w:val="24"/>
          <w:szCs w:val="24"/>
        </w:rPr>
        <w:t>及时安排出库。</w:t>
      </w:r>
    </w:p>
    <w:tbl>
      <w:tblPr>
        <w:tblStyle w:val="5"/>
        <w:tblW w:w="8302" w:type="dxa"/>
        <w:tblInd w:w="2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8"/>
        <w:gridCol w:w="1730"/>
        <w:gridCol w:w="1840"/>
        <w:gridCol w:w="3314"/>
      </w:tblGrid>
      <w:tr w14:paraId="579DAE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1418" w:type="dxa"/>
            <w:shd w:val="clear" w:color="auto" w:fill="818181"/>
          </w:tcPr>
          <w:p w14:paraId="696CC76E">
            <w:pPr>
              <w:spacing w:before="118" w:line="215" w:lineRule="auto"/>
              <w:ind w:left="24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紧急程度</w:t>
            </w:r>
          </w:p>
        </w:tc>
        <w:tc>
          <w:tcPr>
            <w:tcW w:w="1730" w:type="dxa"/>
            <w:shd w:val="clear" w:color="auto" w:fill="818181"/>
          </w:tcPr>
          <w:p w14:paraId="2CD33FBD">
            <w:pPr>
              <w:spacing w:before="118" w:line="215" w:lineRule="auto"/>
              <w:ind w:left="4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响应时间</w:t>
            </w:r>
          </w:p>
        </w:tc>
        <w:tc>
          <w:tcPr>
            <w:tcW w:w="1840" w:type="dxa"/>
            <w:shd w:val="clear" w:color="auto" w:fill="818181"/>
          </w:tcPr>
          <w:p w14:paraId="43E86268">
            <w:pPr>
              <w:spacing w:before="118" w:line="215" w:lineRule="auto"/>
              <w:ind w:left="2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备件到场时间</w:t>
            </w:r>
          </w:p>
        </w:tc>
        <w:tc>
          <w:tcPr>
            <w:tcW w:w="3314" w:type="dxa"/>
            <w:shd w:val="clear" w:color="auto" w:fill="818181"/>
          </w:tcPr>
          <w:p w14:paraId="6F2F2514">
            <w:pPr>
              <w:spacing w:before="118" w:line="215" w:lineRule="auto"/>
              <w:ind w:left="118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运输方式</w:t>
            </w:r>
          </w:p>
        </w:tc>
      </w:tr>
      <w:tr w14:paraId="25F527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1418" w:type="dxa"/>
          </w:tcPr>
          <w:p w14:paraId="187219EA">
            <w:pPr>
              <w:spacing w:before="115" w:line="214" w:lineRule="auto"/>
              <w:ind w:left="48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一级</w:t>
            </w:r>
          </w:p>
        </w:tc>
        <w:tc>
          <w:tcPr>
            <w:tcW w:w="1730" w:type="dxa"/>
          </w:tcPr>
          <w:p w14:paraId="75A0891D">
            <w:pPr>
              <w:spacing w:before="115" w:line="214" w:lineRule="auto"/>
              <w:ind w:left="39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及时响应</w:t>
            </w:r>
          </w:p>
        </w:tc>
        <w:tc>
          <w:tcPr>
            <w:tcW w:w="1840" w:type="dxa"/>
          </w:tcPr>
          <w:p w14:paraId="66FCF333">
            <w:pPr>
              <w:spacing w:before="115" w:line="214" w:lineRule="auto"/>
              <w:ind w:left="59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pacing w:val="-8"/>
                <w:sz w:val="24"/>
                <w:szCs w:val="24"/>
              </w:rPr>
              <w:t>4</w:t>
            </w:r>
            <w:r>
              <w:rPr>
                <w:rFonts w:ascii="Calibri" w:hAnsi="Calibri" w:eastAsia="Calibri" w:cs="Calibri"/>
                <w:spacing w:val="16"/>
                <w:w w:val="10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小时</w:t>
            </w:r>
          </w:p>
        </w:tc>
        <w:tc>
          <w:tcPr>
            <w:tcW w:w="3314" w:type="dxa"/>
          </w:tcPr>
          <w:p w14:paraId="6A77DD33">
            <w:pPr>
              <w:spacing w:before="116" w:line="212" w:lineRule="auto"/>
              <w:ind w:left="125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市区</w:t>
            </w:r>
            <w:r>
              <w:rPr>
                <w:rFonts w:ascii="Calibri" w:hAnsi="Calibri" w:eastAsia="Calibri" w:cs="Calibri"/>
                <w:spacing w:val="-2"/>
                <w:sz w:val="24"/>
                <w:szCs w:val="24"/>
              </w:rPr>
              <w:t>(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运维服务工程师自提</w:t>
            </w:r>
            <w:r>
              <w:rPr>
                <w:rFonts w:ascii="Calibri" w:hAnsi="Calibri" w:eastAsia="Calibri" w:cs="Calibri"/>
                <w:spacing w:val="-2"/>
                <w:sz w:val="24"/>
                <w:szCs w:val="24"/>
              </w:rPr>
              <w:t>)</w:t>
            </w:r>
          </w:p>
        </w:tc>
      </w:tr>
      <w:tr w14:paraId="0CB45E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1" w:hRule="atLeast"/>
        </w:trPr>
        <w:tc>
          <w:tcPr>
            <w:tcW w:w="1418" w:type="dxa"/>
          </w:tcPr>
          <w:p w14:paraId="20532A5C">
            <w:pPr>
              <w:pStyle w:val="6"/>
            </w:pPr>
          </w:p>
          <w:p w14:paraId="3B040607">
            <w:pPr>
              <w:spacing w:before="78" w:line="221" w:lineRule="auto"/>
              <w:ind w:left="48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二级</w:t>
            </w:r>
          </w:p>
        </w:tc>
        <w:tc>
          <w:tcPr>
            <w:tcW w:w="1730" w:type="dxa"/>
          </w:tcPr>
          <w:p w14:paraId="392ED6D5">
            <w:pPr>
              <w:spacing w:before="319" w:line="220" w:lineRule="auto"/>
              <w:ind w:left="2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pacing w:val="-4"/>
                <w:sz w:val="24"/>
                <w:szCs w:val="24"/>
              </w:rPr>
              <w:t xml:space="preserve">10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分钟响应</w:t>
            </w:r>
          </w:p>
        </w:tc>
        <w:tc>
          <w:tcPr>
            <w:tcW w:w="1840" w:type="dxa"/>
          </w:tcPr>
          <w:p w14:paraId="31DE679A">
            <w:pPr>
              <w:pStyle w:val="6"/>
            </w:pPr>
          </w:p>
          <w:p w14:paraId="432C5532">
            <w:pPr>
              <w:spacing w:before="78" w:line="221" w:lineRule="auto"/>
              <w:ind w:left="60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pacing w:val="-9"/>
                <w:sz w:val="24"/>
                <w:szCs w:val="24"/>
              </w:rPr>
              <w:t>8</w:t>
            </w:r>
            <w:r>
              <w:rPr>
                <w:rFonts w:ascii="Calibri" w:hAnsi="Calibri" w:eastAsia="Calibri" w:cs="Calibri"/>
                <w:spacing w:val="15"/>
                <w:w w:val="10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小时</w:t>
            </w:r>
          </w:p>
        </w:tc>
        <w:tc>
          <w:tcPr>
            <w:tcW w:w="3314" w:type="dxa"/>
          </w:tcPr>
          <w:p w14:paraId="547AAE0D">
            <w:pPr>
              <w:spacing w:before="114" w:line="260" w:lineRule="auto"/>
              <w:ind w:left="119" w:right="247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周边地市</w:t>
            </w:r>
            <w:r>
              <w:rPr>
                <w:rFonts w:ascii="Calibri" w:hAnsi="Calibri" w:eastAsia="Calibri" w:cs="Calibri"/>
                <w:spacing w:val="-1"/>
                <w:sz w:val="24"/>
                <w:szCs w:val="24"/>
              </w:rPr>
              <w:t>(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运维服务工程师自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提</w:t>
            </w:r>
            <w:r>
              <w:rPr>
                <w:rFonts w:ascii="Calibri" w:hAnsi="Calibri" w:eastAsia="Calibri" w:cs="Calibri"/>
                <w:spacing w:val="-3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快递</w:t>
            </w:r>
            <w:r>
              <w:rPr>
                <w:rFonts w:ascii="Calibri" w:hAnsi="Calibri" w:eastAsia="Calibri" w:cs="Calibri"/>
                <w:spacing w:val="-3"/>
                <w:sz w:val="24"/>
                <w:szCs w:val="24"/>
              </w:rPr>
              <w:t>)</w:t>
            </w:r>
          </w:p>
        </w:tc>
      </w:tr>
      <w:tr w14:paraId="5FD86F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418" w:type="dxa"/>
          </w:tcPr>
          <w:p w14:paraId="701024E7">
            <w:pPr>
              <w:spacing w:before="118" w:line="216" w:lineRule="auto"/>
              <w:ind w:left="47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三级</w:t>
            </w:r>
          </w:p>
        </w:tc>
        <w:tc>
          <w:tcPr>
            <w:tcW w:w="1730" w:type="dxa"/>
          </w:tcPr>
          <w:p w14:paraId="28E71EFD">
            <w:pPr>
              <w:spacing w:before="118" w:line="216" w:lineRule="auto"/>
              <w:ind w:left="25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pacing w:val="-3"/>
                <w:sz w:val="24"/>
                <w:szCs w:val="24"/>
              </w:rPr>
              <w:t xml:space="preserve">20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分钟响应</w:t>
            </w:r>
          </w:p>
        </w:tc>
        <w:tc>
          <w:tcPr>
            <w:tcW w:w="1840" w:type="dxa"/>
          </w:tcPr>
          <w:p w14:paraId="7A49E60E">
            <w:pPr>
              <w:spacing w:before="118" w:line="216" w:lineRule="auto"/>
              <w:ind w:left="54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pacing w:val="-8"/>
                <w:sz w:val="24"/>
                <w:szCs w:val="24"/>
              </w:rPr>
              <w:t>24</w:t>
            </w:r>
            <w:r>
              <w:rPr>
                <w:rFonts w:ascii="Calibri" w:hAnsi="Calibri" w:eastAsia="Calibri" w:cs="Calibri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小时</w:t>
            </w:r>
          </w:p>
        </w:tc>
        <w:tc>
          <w:tcPr>
            <w:tcW w:w="3314" w:type="dxa"/>
          </w:tcPr>
          <w:p w14:paraId="57586132">
            <w:pPr>
              <w:spacing w:before="117" w:line="212" w:lineRule="auto"/>
              <w:ind w:left="118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偏远地区</w:t>
            </w:r>
            <w:r>
              <w:rPr>
                <w:rFonts w:ascii="Calibri" w:hAnsi="Calibri" w:eastAsia="Calibri" w:cs="Calibri"/>
                <w:spacing w:val="-2"/>
                <w:sz w:val="24"/>
                <w:szCs w:val="24"/>
              </w:rPr>
              <w:t>(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快递</w:t>
            </w:r>
            <w:r>
              <w:rPr>
                <w:rFonts w:ascii="Calibri" w:hAnsi="Calibri" w:eastAsia="Calibri" w:cs="Calibri"/>
                <w:spacing w:val="-2"/>
                <w:sz w:val="24"/>
                <w:szCs w:val="24"/>
              </w:rPr>
              <w:t>)</w:t>
            </w:r>
          </w:p>
        </w:tc>
      </w:tr>
    </w:tbl>
    <w:p w14:paraId="3FF49AE5">
      <w:pPr>
        <w:pStyle w:val="2"/>
        <w:spacing w:line="330" w:lineRule="auto"/>
      </w:pPr>
    </w:p>
    <w:p w14:paraId="0894C866">
      <w:pPr>
        <w:spacing w:before="101" w:line="226" w:lineRule="auto"/>
        <w:ind w:left="25"/>
        <w:outlineLvl w:val="0"/>
        <w:rPr>
          <w:rFonts w:ascii="黑体" w:hAnsi="黑体" w:eastAsia="黑体" w:cs="黑体"/>
          <w:sz w:val="31"/>
          <w:szCs w:val="31"/>
        </w:rPr>
      </w:pPr>
      <w:bookmarkStart w:id="3" w:name="bookmark4"/>
      <w:bookmarkEnd w:id="3"/>
      <w:r>
        <w:rPr>
          <w:rFonts w:ascii="Calibri" w:hAnsi="Calibri" w:eastAsia="Calibri" w:cs="Calibri"/>
          <w:b/>
          <w:bCs/>
          <w:spacing w:val="2"/>
          <w:sz w:val="31"/>
          <w:szCs w:val="31"/>
        </w:rPr>
        <w:t>4</w:t>
      </w:r>
      <w:r>
        <w:rPr>
          <w:rFonts w:ascii="Calibri" w:hAnsi="Calibri" w:eastAsia="Calibri" w:cs="Calibri"/>
          <w:b/>
          <w:bCs/>
          <w:spacing w:val="26"/>
          <w:w w:val="101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31"/>
          <w:szCs w:val="31"/>
        </w:rPr>
        <w:t>管理职责</w:t>
      </w:r>
    </w:p>
    <w:p w14:paraId="472191F6">
      <w:pPr>
        <w:pStyle w:val="2"/>
        <w:spacing w:line="402" w:lineRule="auto"/>
      </w:pPr>
    </w:p>
    <w:p w14:paraId="0A0FD1D5">
      <w:pPr>
        <w:pStyle w:val="2"/>
        <w:spacing w:before="98" w:line="221" w:lineRule="auto"/>
        <w:ind w:left="25"/>
        <w:outlineLvl w:val="1"/>
        <w:rPr>
          <w:rFonts w:ascii="黑体" w:hAnsi="黑体" w:eastAsia="黑体" w:cs="黑体"/>
          <w:sz w:val="30"/>
          <w:szCs w:val="30"/>
        </w:rPr>
      </w:pPr>
      <w:bookmarkStart w:id="4" w:name="bookmark5"/>
      <w:bookmarkEnd w:id="4"/>
      <w:r>
        <w:rPr>
          <w:b/>
          <w:bCs/>
          <w:spacing w:val="-4"/>
          <w:sz w:val="30"/>
          <w:szCs w:val="30"/>
        </w:rPr>
        <w:t xml:space="preserve">4.1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采购专员</w:t>
      </w:r>
    </w:p>
    <w:p w14:paraId="2B07CD8C">
      <w:pPr>
        <w:pStyle w:val="2"/>
        <w:spacing w:line="255" w:lineRule="auto"/>
      </w:pPr>
    </w:p>
    <w:p w14:paraId="79509101">
      <w:pPr>
        <w:spacing w:before="79" w:line="295" w:lineRule="auto"/>
        <w:ind w:left="929" w:right="111" w:hanging="409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严格执行采购控制流程，负责签订采购合同，对供应商进行评价、选择</w:t>
      </w:r>
      <w:r>
        <w:rPr>
          <w:rFonts w:ascii="宋体" w:hAnsi="宋体" w:eastAsia="宋体" w:cs="宋体"/>
          <w:spacing w:val="-1"/>
          <w:sz w:val="24"/>
          <w:szCs w:val="24"/>
        </w:rPr>
        <w:t>供应商，并建立和完善供应商档案。</w:t>
      </w:r>
    </w:p>
    <w:p w14:paraId="0CC236F5">
      <w:pPr>
        <w:spacing w:before="179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5"/>
          <w:sz w:val="24"/>
          <w:szCs w:val="24"/>
        </w:rPr>
        <w:t xml:space="preserve">n </w:t>
      </w:r>
      <w:r>
        <w:rPr>
          <w:rFonts w:ascii="宋体" w:hAnsi="宋体" w:eastAsia="宋体" w:cs="宋体"/>
          <w:spacing w:val="-5"/>
          <w:sz w:val="24"/>
          <w:szCs w:val="24"/>
        </w:rPr>
        <w:t>负责依据年度备件采购计划执行采购。</w:t>
      </w:r>
    </w:p>
    <w:p w14:paraId="58019CEF">
      <w:pPr>
        <w:pStyle w:val="2"/>
        <w:spacing w:line="244" w:lineRule="auto"/>
      </w:pPr>
    </w:p>
    <w:p w14:paraId="70706AE3">
      <w:pPr>
        <w:pStyle w:val="2"/>
        <w:spacing w:before="98" w:line="221" w:lineRule="auto"/>
        <w:ind w:left="25"/>
        <w:outlineLvl w:val="1"/>
        <w:rPr>
          <w:rFonts w:ascii="黑体" w:hAnsi="黑体" w:eastAsia="黑体" w:cs="黑体"/>
          <w:sz w:val="30"/>
          <w:szCs w:val="30"/>
        </w:rPr>
      </w:pPr>
      <w:bookmarkStart w:id="5" w:name="bookmark6"/>
      <w:bookmarkEnd w:id="5"/>
      <w:r>
        <w:rPr>
          <w:b/>
          <w:bCs/>
          <w:spacing w:val="-4"/>
          <w:sz w:val="30"/>
          <w:szCs w:val="30"/>
        </w:rPr>
        <w:t xml:space="preserve">4.2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仓管专员</w:t>
      </w:r>
    </w:p>
    <w:p w14:paraId="3EF5A031">
      <w:pPr>
        <w:pStyle w:val="2"/>
        <w:spacing w:line="257" w:lineRule="auto"/>
      </w:pPr>
    </w:p>
    <w:p w14:paraId="76396A1A">
      <w:pPr>
        <w:numPr>
          <w:ilvl w:val="0"/>
          <w:numId w:val="1"/>
        </w:numPr>
        <w:spacing w:before="78" w:line="239" w:lineRule="auto"/>
        <w:ind w:left="420" w:leftChars="0" w:hanging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 xml:space="preserve">负责对备件相应支持按照 </w:t>
      </w:r>
      <w:r>
        <w:rPr>
          <w:rFonts w:ascii="Calibri" w:hAnsi="Calibri" w:eastAsia="Calibri" w:cs="Calibri"/>
          <w:spacing w:val="-5"/>
          <w:sz w:val="24"/>
          <w:szCs w:val="24"/>
        </w:rPr>
        <w:t>SLA</w:t>
      </w:r>
      <w:r>
        <w:rPr>
          <w:rFonts w:ascii="Calibri" w:hAnsi="Calibri" w:eastAsia="Calibri" w:cs="Calibri"/>
          <w:spacing w:val="18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服务级别协议及分级</w:t>
      </w:r>
      <w:r>
        <w:rPr>
          <w:rFonts w:ascii="宋体" w:hAnsi="宋体" w:eastAsia="宋体" w:cs="宋体"/>
          <w:spacing w:val="-6"/>
          <w:sz w:val="24"/>
          <w:szCs w:val="24"/>
        </w:rPr>
        <w:t>管理；</w:t>
      </w:r>
    </w:p>
    <w:p w14:paraId="3A5B35A5">
      <w:pPr>
        <w:numPr>
          <w:ilvl w:val="0"/>
          <w:numId w:val="1"/>
        </w:numPr>
        <w:spacing w:before="158" w:line="239" w:lineRule="auto"/>
        <w:ind w:left="420" w:leftChars="0" w:hanging="420" w:firstLineChars="0"/>
      </w:pPr>
      <w:r>
        <w:rPr>
          <w:rFonts w:ascii="宋体" w:hAnsi="宋体" w:eastAsia="宋体" w:cs="宋体"/>
          <w:spacing w:val="-3"/>
          <w:sz w:val="24"/>
          <w:szCs w:val="24"/>
        </w:rPr>
        <w:t>负责制订年度备件的采购计划，经领导批准后，提交到采购专员采购；</w:t>
      </w:r>
    </w:p>
    <w:p w14:paraId="1D8F44A1">
      <w:pPr>
        <w:numPr>
          <w:ilvl w:val="0"/>
          <w:numId w:val="1"/>
        </w:numPr>
        <w:spacing w:before="208" w:line="295" w:lineRule="auto"/>
        <w:ind w:left="420" w:leftChars="0" w:right="50" w:hanging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负责备件管理规定的落实和督察，对备件的使用情况及库</w:t>
      </w:r>
      <w:r>
        <w:rPr>
          <w:rFonts w:ascii="宋体" w:hAnsi="宋体" w:eastAsia="宋体" w:cs="宋体"/>
          <w:spacing w:val="-2"/>
          <w:sz w:val="24"/>
          <w:szCs w:val="24"/>
        </w:rPr>
        <w:t>存进行监督、检查、考核；</w:t>
      </w:r>
    </w:p>
    <w:p w14:paraId="320631E2">
      <w:pPr>
        <w:numPr>
          <w:ilvl w:val="0"/>
          <w:numId w:val="1"/>
        </w:numPr>
        <w:spacing w:before="178" w:line="239" w:lineRule="auto"/>
        <w:ind w:left="420" w:leftChars="0" w:hanging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负责备件的验收工作，对产品质量严格把关；</w:t>
      </w:r>
    </w:p>
    <w:p w14:paraId="2DA4404D">
      <w:pPr>
        <w:numPr>
          <w:ilvl w:val="0"/>
          <w:numId w:val="1"/>
        </w:numPr>
        <w:spacing w:before="159" w:line="239" w:lineRule="auto"/>
        <w:ind w:left="420" w:leftChars="0" w:hanging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负责备件账务管理，进行系统出入库的日常账务操作和管理；</w:t>
      </w:r>
    </w:p>
    <w:p w14:paraId="329365BA">
      <w:pPr>
        <w:numPr>
          <w:ilvl w:val="0"/>
          <w:numId w:val="1"/>
        </w:numPr>
        <w:spacing w:before="162" w:line="295" w:lineRule="auto"/>
        <w:ind w:left="420" w:leftChars="0" w:right="74" w:hanging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负责备件的定位及妥善保管并根据备件服</w:t>
      </w:r>
      <w:r>
        <w:rPr>
          <w:rFonts w:ascii="宋体" w:hAnsi="宋体" w:eastAsia="宋体" w:cs="宋体"/>
          <w:spacing w:val="-4"/>
          <w:sz w:val="24"/>
          <w:szCs w:val="24"/>
        </w:rPr>
        <w:t>务响应级别安排出库，并确保</w:t>
      </w:r>
      <w:r>
        <w:rPr>
          <w:rFonts w:ascii="宋体" w:hAnsi="宋体" w:eastAsia="宋体" w:cs="宋体"/>
          <w:spacing w:val="-2"/>
          <w:sz w:val="24"/>
          <w:szCs w:val="24"/>
        </w:rPr>
        <w:t>实物流和信息流一致；</w:t>
      </w:r>
    </w:p>
    <w:p w14:paraId="66B13246">
      <w:pPr>
        <w:numPr>
          <w:ilvl w:val="0"/>
          <w:numId w:val="1"/>
        </w:numPr>
        <w:spacing w:before="178" w:line="295" w:lineRule="auto"/>
        <w:ind w:left="420" w:leftChars="0" w:right="74" w:hanging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负责定期对备件库存进行盘点和抽查，确</w:t>
      </w:r>
      <w:r>
        <w:rPr>
          <w:rFonts w:ascii="宋体" w:hAnsi="宋体" w:eastAsia="宋体" w:cs="宋体"/>
          <w:spacing w:val="-4"/>
          <w:sz w:val="24"/>
          <w:szCs w:val="24"/>
        </w:rPr>
        <w:t>保备件库存账务准确性和在库</w:t>
      </w:r>
      <w:r>
        <w:rPr>
          <w:rFonts w:ascii="宋体" w:hAnsi="宋体" w:eastAsia="宋体" w:cs="宋体"/>
          <w:spacing w:val="-2"/>
          <w:sz w:val="24"/>
          <w:szCs w:val="24"/>
        </w:rPr>
        <w:t>备件的可用性；</w:t>
      </w:r>
    </w:p>
    <w:p w14:paraId="0895F99E">
      <w:pPr>
        <w:numPr>
          <w:ilvl w:val="0"/>
          <w:numId w:val="1"/>
        </w:numPr>
        <w:spacing w:before="179" w:line="239" w:lineRule="auto"/>
        <w:ind w:left="420" w:leftChars="0" w:hanging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对备件资产安全、账务准确性负责。</w:t>
      </w:r>
    </w:p>
    <w:p w14:paraId="5BA698A0">
      <w:pPr>
        <w:pStyle w:val="2"/>
        <w:spacing w:line="350" w:lineRule="auto"/>
      </w:pPr>
    </w:p>
    <w:p w14:paraId="52B0767C">
      <w:pPr>
        <w:spacing w:before="101" w:line="225" w:lineRule="auto"/>
        <w:ind w:left="34"/>
        <w:outlineLvl w:val="0"/>
        <w:rPr>
          <w:rFonts w:ascii="黑体" w:hAnsi="黑体" w:eastAsia="黑体" w:cs="黑体"/>
          <w:sz w:val="31"/>
          <w:szCs w:val="31"/>
        </w:rPr>
      </w:pPr>
      <w:bookmarkStart w:id="6" w:name="bookmark7"/>
      <w:bookmarkEnd w:id="6"/>
      <w:r>
        <w:rPr>
          <w:rFonts w:ascii="Calibri" w:hAnsi="Calibri" w:eastAsia="Calibri" w:cs="Calibri"/>
          <w:b/>
          <w:bCs/>
          <w:spacing w:val="1"/>
          <w:sz w:val="31"/>
          <w:szCs w:val="31"/>
        </w:rPr>
        <w:t>5</w:t>
      </w:r>
      <w:r>
        <w:rPr>
          <w:rFonts w:ascii="Calibri" w:hAnsi="Calibri" w:eastAsia="Calibri" w:cs="Calibri"/>
          <w:b/>
          <w:bCs/>
          <w:spacing w:val="22"/>
          <w:w w:val="101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31"/>
          <w:szCs w:val="31"/>
        </w:rPr>
        <w:t>执行策略</w:t>
      </w:r>
    </w:p>
    <w:p w14:paraId="6DEAD0A4">
      <w:pPr>
        <w:pStyle w:val="2"/>
        <w:spacing w:line="368" w:lineRule="auto"/>
      </w:pPr>
    </w:p>
    <w:p w14:paraId="14709DF4">
      <w:pPr>
        <w:spacing w:before="79" w:line="295" w:lineRule="auto"/>
        <w:ind w:left="934" w:right="74" w:hanging="414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>n</w:t>
      </w:r>
      <w:r>
        <w:rPr>
          <w:rFonts w:ascii="Wingdings" w:hAnsi="Wingdings" w:eastAsia="Wingdings" w:cs="Wingdings"/>
          <w:spacing w:val="-4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备品备件管理应遵循“合理配置、统一管理、保证维护、降低成本</w:t>
      </w:r>
      <w:r>
        <w:rPr>
          <w:rFonts w:ascii="宋体" w:hAnsi="宋体" w:eastAsia="宋体" w:cs="宋体"/>
          <w:spacing w:val="-8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”的</w:t>
      </w:r>
      <w:r>
        <w:rPr>
          <w:rFonts w:ascii="宋体" w:hAnsi="宋体" w:eastAsia="宋体" w:cs="宋体"/>
          <w:spacing w:val="-1"/>
          <w:sz w:val="24"/>
          <w:szCs w:val="24"/>
        </w:rPr>
        <w:t>原则，及时满足生产需要，保证设备的正常运行；</w:t>
      </w:r>
    </w:p>
    <w:p w14:paraId="49487D9E">
      <w:pPr>
        <w:spacing w:before="179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1"/>
          <w:sz w:val="24"/>
          <w:szCs w:val="24"/>
        </w:rPr>
        <w:t>n</w:t>
      </w:r>
      <w:r>
        <w:rPr>
          <w:rFonts w:ascii="Wingdings" w:hAnsi="Wingdings" w:eastAsia="Wingdings" w:cs="Wingdings"/>
          <w:spacing w:val="-5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对于常用的备件，原则上按客户的设备数量</w:t>
      </w:r>
      <w:r>
        <w:rPr>
          <w:rFonts w:ascii="宋体" w:hAnsi="宋体" w:eastAsia="宋体" w:cs="宋体"/>
          <w:spacing w:val="-2"/>
          <w:sz w:val="24"/>
          <w:szCs w:val="24"/>
        </w:rPr>
        <w:t>平均配置；</w:t>
      </w:r>
    </w:p>
    <w:p w14:paraId="18F3AAA1">
      <w:pPr>
        <w:spacing w:before="160" w:line="295" w:lineRule="auto"/>
        <w:ind w:left="927" w:right="74" w:hanging="407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对于非常用的或贵备件，根据需求及资金状况等实际情况，实行逐步购</w:t>
      </w:r>
      <w:r>
        <w:rPr>
          <w:rFonts w:ascii="宋体" w:hAnsi="宋体" w:eastAsia="宋体" w:cs="宋体"/>
          <w:spacing w:val="-1"/>
          <w:sz w:val="24"/>
          <w:szCs w:val="24"/>
        </w:rPr>
        <w:t>置，优先保障重点项目、重点设备的维护，并统一调配；</w:t>
      </w:r>
    </w:p>
    <w:p w14:paraId="7A2C9A42">
      <w:pPr>
        <w:spacing w:before="179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3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备件必须登记入帐，定期清点，做到帐、物相符；</w:t>
      </w:r>
    </w:p>
    <w:p w14:paraId="5C20274A">
      <w:pPr>
        <w:spacing w:before="159" w:line="295" w:lineRule="auto"/>
        <w:ind w:left="948" w:right="74" w:hanging="428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4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备件要放置在安全可靠、干燥通风良好、温度适宜的地方，对特别要求的备品备件应放置在规定要求的范围内；</w:t>
      </w:r>
    </w:p>
    <w:p w14:paraId="61F73B64">
      <w:pPr>
        <w:spacing w:before="181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1"/>
          <w:sz w:val="24"/>
          <w:szCs w:val="24"/>
        </w:rPr>
        <w:t>n</w:t>
      </w:r>
      <w:r>
        <w:rPr>
          <w:rFonts w:ascii="Wingdings" w:hAnsi="Wingdings" w:eastAsia="Wingdings" w:cs="Wingdings"/>
          <w:spacing w:val="-4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备件应定期检测，以保证其性能良好，并做</w:t>
      </w:r>
      <w:r>
        <w:rPr>
          <w:rFonts w:ascii="宋体" w:hAnsi="宋体" w:eastAsia="宋体" w:cs="宋体"/>
          <w:spacing w:val="-2"/>
          <w:sz w:val="24"/>
          <w:szCs w:val="24"/>
        </w:rPr>
        <w:t>好相应的记录；</w:t>
      </w:r>
    </w:p>
    <w:p w14:paraId="25568906">
      <w:pPr>
        <w:spacing w:before="159" w:line="296" w:lineRule="auto"/>
        <w:ind w:left="928" w:right="74" w:hanging="408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4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备件库必须严格按照备件响应级别要求合理安排出库，保证备件使用的</w:t>
      </w:r>
      <w:r>
        <w:rPr>
          <w:rFonts w:ascii="宋体" w:hAnsi="宋体" w:eastAsia="宋体" w:cs="宋体"/>
          <w:spacing w:val="-3"/>
          <w:sz w:val="24"/>
          <w:szCs w:val="24"/>
        </w:rPr>
        <w:t>及时性；</w:t>
      </w:r>
    </w:p>
    <w:p w14:paraId="08A62107">
      <w:pPr>
        <w:spacing w:before="176" w:line="295" w:lineRule="auto"/>
        <w:ind w:left="946" w:right="74" w:hanging="426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对购买了高级别备件更换服务的重要客户，应协商客户在客户现场指定</w:t>
      </w:r>
      <w:r>
        <w:rPr>
          <w:rFonts w:ascii="宋体" w:hAnsi="宋体" w:eastAsia="宋体" w:cs="宋体"/>
          <w:spacing w:val="-1"/>
          <w:sz w:val="24"/>
          <w:szCs w:val="24"/>
        </w:rPr>
        <w:t>区域建立相应的备品备件库，提供满足服务级别要求的备件服务。</w:t>
      </w:r>
    </w:p>
    <w:p w14:paraId="05060D5E">
      <w:pPr>
        <w:pStyle w:val="2"/>
        <w:spacing w:line="368" w:lineRule="auto"/>
      </w:pPr>
    </w:p>
    <w:p w14:paraId="6C2EB162">
      <w:pPr>
        <w:spacing w:before="101" w:line="226" w:lineRule="auto"/>
        <w:ind w:left="32"/>
        <w:outlineLvl w:val="0"/>
        <w:rPr>
          <w:rFonts w:ascii="黑体" w:hAnsi="黑体" w:eastAsia="黑体" w:cs="黑体"/>
          <w:sz w:val="31"/>
          <w:szCs w:val="31"/>
        </w:rPr>
      </w:pPr>
      <w:bookmarkStart w:id="7" w:name="bookmark8"/>
      <w:bookmarkEnd w:id="7"/>
      <w:r>
        <w:rPr>
          <w:rFonts w:ascii="Calibri" w:hAnsi="Calibri" w:eastAsia="Calibri" w:cs="Calibri"/>
          <w:b/>
          <w:bCs/>
          <w:spacing w:val="-12"/>
          <w:sz w:val="31"/>
          <w:szCs w:val="31"/>
        </w:rPr>
        <w:t>6</w:t>
      </w:r>
      <w:r>
        <w:rPr>
          <w:rFonts w:ascii="Calibri" w:hAnsi="Calibri" w:eastAsia="Calibri" w:cs="Calibri"/>
          <w:b/>
          <w:bCs/>
          <w:spacing w:val="27"/>
          <w:w w:val="101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31"/>
          <w:szCs w:val="31"/>
        </w:rPr>
        <w:t>管理流程</w:t>
      </w:r>
    </w:p>
    <w:p w14:paraId="09D4AB85">
      <w:pPr>
        <w:pStyle w:val="2"/>
        <w:spacing w:line="402" w:lineRule="auto"/>
      </w:pPr>
    </w:p>
    <w:p w14:paraId="60DB5A01">
      <w:pPr>
        <w:pStyle w:val="2"/>
        <w:spacing w:before="98" w:line="223" w:lineRule="auto"/>
        <w:ind w:left="32"/>
        <w:outlineLvl w:val="1"/>
        <w:rPr>
          <w:rFonts w:ascii="黑体" w:hAnsi="黑体" w:eastAsia="黑体" w:cs="黑体"/>
          <w:sz w:val="30"/>
          <w:szCs w:val="30"/>
        </w:rPr>
      </w:pPr>
      <w:bookmarkStart w:id="8" w:name="bookmark9"/>
      <w:bookmarkEnd w:id="8"/>
      <w:r>
        <w:rPr>
          <w:b/>
          <w:bCs/>
          <w:spacing w:val="-4"/>
          <w:sz w:val="30"/>
          <w:szCs w:val="30"/>
        </w:rPr>
        <w:t xml:space="preserve">6.1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采购计划</w:t>
      </w:r>
    </w:p>
    <w:p w14:paraId="35AF0253">
      <w:pPr>
        <w:pStyle w:val="2"/>
        <w:spacing w:line="252" w:lineRule="auto"/>
      </w:pPr>
    </w:p>
    <w:p w14:paraId="144D8009">
      <w:pPr>
        <w:spacing w:before="79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7"/>
          <w:sz w:val="24"/>
          <w:szCs w:val="24"/>
        </w:rPr>
        <w:t>n</w:t>
      </w:r>
      <w:r>
        <w:rPr>
          <w:rFonts w:ascii="Wingdings" w:hAnsi="Wingdings" w:eastAsia="Wingdings" w:cs="Wingdings"/>
          <w:spacing w:val="-4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>年度采购</w:t>
      </w:r>
    </w:p>
    <w:p w14:paraId="06A3387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17" w:line="363" w:lineRule="auto"/>
        <w:ind w:left="28" w:firstLine="476" w:firstLineChars="200"/>
        <w:jc w:val="both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每年第一季度结束前，仓管专员根据公司年度经营目标、各运</w:t>
      </w:r>
      <w:r>
        <w:rPr>
          <w:rFonts w:ascii="宋体" w:hAnsi="宋体" w:eastAsia="宋体" w:cs="宋体"/>
          <w:spacing w:val="-8"/>
          <w:sz w:val="24"/>
          <w:szCs w:val="24"/>
        </w:rPr>
        <w:t>维项目备件需求，结合公司库存情况，本着节约和提</w:t>
      </w:r>
      <w:r>
        <w:rPr>
          <w:rFonts w:ascii="宋体" w:hAnsi="宋体" w:eastAsia="宋体" w:cs="宋体"/>
          <w:spacing w:val="-9"/>
          <w:sz w:val="24"/>
          <w:szCs w:val="24"/>
        </w:rPr>
        <w:t>高单位产品使用效率的原则，</w:t>
      </w:r>
      <w:r>
        <w:rPr>
          <w:rFonts w:ascii="宋体" w:hAnsi="宋体" w:eastAsia="宋体" w:cs="宋体"/>
          <w:spacing w:val="-11"/>
          <w:sz w:val="24"/>
          <w:szCs w:val="24"/>
        </w:rPr>
        <w:t>制订公司年度采购计划。报市场商务部经理审核，总经理批准后下达采购专员进行</w:t>
      </w:r>
      <w:r>
        <w:rPr>
          <w:rFonts w:ascii="宋体" w:hAnsi="宋体" w:eastAsia="宋体" w:cs="宋体"/>
          <w:spacing w:val="-2"/>
          <w:sz w:val="24"/>
          <w:szCs w:val="24"/>
        </w:rPr>
        <w:t>采购。采购专员需按照年度计划要求进行采</w:t>
      </w:r>
      <w:r>
        <w:rPr>
          <w:rFonts w:ascii="宋体" w:hAnsi="宋体" w:eastAsia="宋体" w:cs="宋体"/>
          <w:spacing w:val="-3"/>
          <w:sz w:val="24"/>
          <w:szCs w:val="24"/>
        </w:rPr>
        <w:t>购。</w:t>
      </w:r>
    </w:p>
    <w:p w14:paraId="43D318FE">
      <w:pPr>
        <w:spacing w:line="238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14"/>
          <w:sz w:val="24"/>
          <w:szCs w:val="24"/>
        </w:rPr>
        <w:t xml:space="preserve">n </w:t>
      </w:r>
      <w:r>
        <w:rPr>
          <w:rFonts w:ascii="宋体" w:hAnsi="宋体" w:eastAsia="宋体" w:cs="宋体"/>
          <w:spacing w:val="-14"/>
          <w:sz w:val="24"/>
          <w:szCs w:val="24"/>
        </w:rPr>
        <w:t>日常采购</w:t>
      </w:r>
    </w:p>
    <w:p w14:paraId="46F4574B">
      <w:pPr>
        <w:spacing w:before="170" w:line="364" w:lineRule="auto"/>
        <w:ind w:left="28" w:right="211"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8"/>
          <w:sz w:val="24"/>
          <w:szCs w:val="24"/>
        </w:rPr>
        <w:t>对于日常备件的申购，申购时由仓管专员核查库存后确认，经相关部</w:t>
      </w:r>
      <w:r>
        <w:rPr>
          <w:rFonts w:ascii="宋体" w:hAnsi="宋体" w:eastAsia="宋体" w:cs="宋体"/>
          <w:spacing w:val="-9"/>
          <w:sz w:val="24"/>
          <w:szCs w:val="24"/>
        </w:rPr>
        <w:t>门领导</w:t>
      </w:r>
      <w:r>
        <w:rPr>
          <w:rFonts w:ascii="宋体" w:hAnsi="宋体" w:eastAsia="宋体" w:cs="宋体"/>
          <w:spacing w:val="-1"/>
          <w:sz w:val="24"/>
          <w:szCs w:val="24"/>
        </w:rPr>
        <w:t>批准后由采购专员进行采购。</w:t>
      </w:r>
    </w:p>
    <w:p w14:paraId="13DEF1DE">
      <w:pPr>
        <w:pStyle w:val="2"/>
        <w:spacing w:before="167" w:line="221" w:lineRule="auto"/>
        <w:ind w:left="32"/>
        <w:outlineLvl w:val="1"/>
        <w:rPr>
          <w:rFonts w:ascii="黑体" w:hAnsi="黑体" w:eastAsia="黑体" w:cs="黑体"/>
          <w:sz w:val="30"/>
          <w:szCs w:val="30"/>
        </w:rPr>
      </w:pPr>
      <w:bookmarkStart w:id="9" w:name="bookmark10"/>
      <w:bookmarkEnd w:id="9"/>
      <w:r>
        <w:rPr>
          <w:b/>
          <w:bCs/>
          <w:spacing w:val="-4"/>
          <w:sz w:val="30"/>
          <w:szCs w:val="30"/>
        </w:rPr>
        <w:t xml:space="preserve">6.2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备件的分类</w:t>
      </w:r>
    </w:p>
    <w:p w14:paraId="0128DBBC">
      <w:pPr>
        <w:pStyle w:val="2"/>
        <w:spacing w:line="266" w:lineRule="auto"/>
      </w:pPr>
    </w:p>
    <w:p w14:paraId="10A0547E">
      <w:pPr>
        <w:spacing w:before="78" w:line="219" w:lineRule="auto"/>
        <w:ind w:left="51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 xml:space="preserve">设备及备品备件分为 </w:t>
      </w:r>
      <w:r>
        <w:rPr>
          <w:rFonts w:ascii="Calibri" w:hAnsi="Calibri" w:eastAsia="Calibri" w:cs="Calibri"/>
          <w:spacing w:val="-4"/>
          <w:sz w:val="24"/>
          <w:szCs w:val="24"/>
        </w:rPr>
        <w:t>A</w:t>
      </w:r>
      <w:r>
        <w:rPr>
          <w:rFonts w:ascii="Calibri" w:hAnsi="Calibri" w:eastAsia="Calibri" w:cs="Calibri"/>
          <w:spacing w:val="-2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、</w:t>
      </w:r>
      <w:r>
        <w:rPr>
          <w:rFonts w:ascii="Calibri" w:hAnsi="Calibri" w:eastAsia="Calibri" w:cs="Calibri"/>
          <w:spacing w:val="-4"/>
          <w:sz w:val="24"/>
          <w:szCs w:val="24"/>
        </w:rPr>
        <w:t>B</w:t>
      </w:r>
      <w:r>
        <w:rPr>
          <w:rFonts w:ascii="Calibri" w:hAnsi="Calibri" w:eastAsia="Calibri" w:cs="Calibri"/>
          <w:spacing w:val="-2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、</w:t>
      </w:r>
      <w:r>
        <w:rPr>
          <w:rFonts w:ascii="Calibri" w:hAnsi="Calibri" w:eastAsia="Calibri" w:cs="Calibri"/>
          <w:spacing w:val="-4"/>
          <w:sz w:val="24"/>
          <w:szCs w:val="24"/>
        </w:rPr>
        <w:t xml:space="preserve">C </w:t>
      </w:r>
      <w:r>
        <w:rPr>
          <w:rFonts w:ascii="宋体" w:hAnsi="宋体" w:eastAsia="宋体" w:cs="宋体"/>
          <w:spacing w:val="-4"/>
          <w:sz w:val="24"/>
          <w:szCs w:val="24"/>
        </w:rPr>
        <w:t>三类：</w:t>
      </w:r>
    </w:p>
    <w:p w14:paraId="2BB1920B">
      <w:pPr>
        <w:spacing w:before="176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>n</w:t>
      </w:r>
      <w:r>
        <w:rPr>
          <w:rFonts w:ascii="Wingdings" w:hAnsi="Wingdings" w:eastAsia="Wingdings" w:cs="Wingdings"/>
          <w:spacing w:val="-50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3"/>
          <w:sz w:val="24"/>
          <w:szCs w:val="24"/>
        </w:rPr>
        <w:t xml:space="preserve">A </w:t>
      </w:r>
      <w:r>
        <w:rPr>
          <w:rFonts w:ascii="宋体" w:hAnsi="宋体" w:eastAsia="宋体" w:cs="宋体"/>
          <w:spacing w:val="-3"/>
          <w:sz w:val="24"/>
          <w:szCs w:val="24"/>
        </w:rPr>
        <w:t>类为重要设备；</w:t>
      </w:r>
    </w:p>
    <w:p w14:paraId="7C940F02">
      <w:pPr>
        <w:spacing w:before="162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4"/>
          <w:sz w:val="24"/>
          <w:szCs w:val="24"/>
        </w:rPr>
        <w:t>n</w:t>
      </w:r>
      <w:r>
        <w:rPr>
          <w:rFonts w:ascii="Wingdings" w:hAnsi="Wingdings" w:eastAsia="Wingdings" w:cs="Wingdings"/>
          <w:spacing w:val="-29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4"/>
          <w:sz w:val="24"/>
          <w:szCs w:val="24"/>
        </w:rPr>
        <w:t xml:space="preserve">B </w:t>
      </w:r>
      <w:r>
        <w:rPr>
          <w:rFonts w:ascii="宋体" w:hAnsi="宋体" w:eastAsia="宋体" w:cs="宋体"/>
          <w:spacing w:val="-4"/>
          <w:sz w:val="24"/>
          <w:szCs w:val="24"/>
        </w:rPr>
        <w:t>类为一般设备及备件；</w:t>
      </w:r>
    </w:p>
    <w:p w14:paraId="56C67A1A">
      <w:pPr>
        <w:spacing w:before="159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41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2"/>
          <w:sz w:val="24"/>
          <w:szCs w:val="24"/>
        </w:rPr>
        <w:t xml:space="preserve">C </w:t>
      </w:r>
      <w:r>
        <w:rPr>
          <w:rFonts w:ascii="宋体" w:hAnsi="宋体" w:eastAsia="宋体" w:cs="宋体"/>
          <w:spacing w:val="-2"/>
          <w:sz w:val="24"/>
          <w:szCs w:val="24"/>
        </w:rPr>
        <w:t>类为各种标准产品、各种材料及杂品。</w:t>
      </w:r>
    </w:p>
    <w:p w14:paraId="0D036732">
      <w:pPr>
        <w:pStyle w:val="2"/>
        <w:spacing w:line="246" w:lineRule="auto"/>
      </w:pPr>
    </w:p>
    <w:p w14:paraId="2999BCB5">
      <w:pPr>
        <w:pStyle w:val="2"/>
        <w:spacing w:before="98" w:line="222" w:lineRule="auto"/>
        <w:ind w:left="32"/>
        <w:outlineLvl w:val="1"/>
        <w:rPr>
          <w:rFonts w:ascii="黑体" w:hAnsi="黑体" w:eastAsia="黑体" w:cs="黑体"/>
          <w:sz w:val="30"/>
          <w:szCs w:val="30"/>
        </w:rPr>
      </w:pPr>
      <w:bookmarkStart w:id="10" w:name="bookmark11"/>
      <w:bookmarkEnd w:id="10"/>
      <w:r>
        <w:rPr>
          <w:b/>
          <w:bCs/>
          <w:spacing w:val="-4"/>
          <w:sz w:val="30"/>
          <w:szCs w:val="30"/>
        </w:rPr>
        <w:t xml:space="preserve">6.3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供应商管理</w:t>
      </w:r>
    </w:p>
    <w:p w14:paraId="284FFA37">
      <w:pPr>
        <w:pStyle w:val="2"/>
        <w:spacing w:line="252" w:lineRule="auto"/>
      </w:pPr>
    </w:p>
    <w:p w14:paraId="5643BAFA">
      <w:pPr>
        <w:spacing w:before="78" w:line="239" w:lineRule="auto"/>
        <w:ind w:right="14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6"/>
          <w:sz w:val="24"/>
          <w:szCs w:val="24"/>
        </w:rPr>
        <w:t>n</w:t>
      </w:r>
      <w:r>
        <w:rPr>
          <w:rFonts w:ascii="Wingdings" w:hAnsi="Wingdings" w:eastAsia="Wingdings" w:cs="Wingdings"/>
          <w:spacing w:val="-5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采购专员负责收集供货商技术力量、制造能力</w:t>
      </w:r>
      <w:r>
        <w:rPr>
          <w:rFonts w:ascii="宋体" w:hAnsi="宋体" w:eastAsia="宋体" w:cs="宋体"/>
          <w:spacing w:val="-7"/>
          <w:sz w:val="24"/>
          <w:szCs w:val="24"/>
        </w:rPr>
        <w:t>、供货质量及周期等信息；</w:t>
      </w:r>
    </w:p>
    <w:p w14:paraId="4C2E528E">
      <w:pPr>
        <w:spacing w:before="163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>n</w:t>
      </w:r>
      <w:r>
        <w:rPr>
          <w:rFonts w:ascii="Wingdings" w:hAnsi="Wingdings" w:eastAsia="Wingdings" w:cs="Wingdings"/>
          <w:spacing w:val="-4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 xml:space="preserve">尽量选择已获得 </w:t>
      </w:r>
      <w:r>
        <w:rPr>
          <w:rFonts w:ascii="Calibri" w:hAnsi="Calibri" w:eastAsia="Calibri" w:cs="Calibri"/>
          <w:spacing w:val="-3"/>
          <w:sz w:val="24"/>
          <w:szCs w:val="24"/>
        </w:rPr>
        <w:t xml:space="preserve">ISO9000 </w:t>
      </w:r>
      <w:r>
        <w:rPr>
          <w:rFonts w:ascii="宋体" w:hAnsi="宋体" w:eastAsia="宋体" w:cs="宋体"/>
          <w:spacing w:val="-3"/>
          <w:sz w:val="24"/>
          <w:szCs w:val="24"/>
        </w:rPr>
        <w:t>证书以及质量业绩出色的供货商</w:t>
      </w:r>
      <w:r>
        <w:rPr>
          <w:rFonts w:ascii="宋体" w:hAnsi="宋体" w:eastAsia="宋体" w:cs="宋体"/>
          <w:spacing w:val="-4"/>
          <w:sz w:val="24"/>
          <w:szCs w:val="24"/>
        </w:rPr>
        <w:t>进行供货；</w:t>
      </w:r>
    </w:p>
    <w:p w14:paraId="5B6165AD">
      <w:pPr>
        <w:spacing w:before="159" w:line="296" w:lineRule="auto"/>
        <w:ind w:left="933" w:right="31" w:hanging="413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9"/>
          <w:sz w:val="24"/>
          <w:szCs w:val="24"/>
        </w:rPr>
        <w:t xml:space="preserve">n </w:t>
      </w:r>
      <w:r>
        <w:rPr>
          <w:rFonts w:ascii="宋体" w:hAnsi="宋体" w:eastAsia="宋体" w:cs="宋体"/>
          <w:spacing w:val="-9"/>
          <w:sz w:val="24"/>
          <w:szCs w:val="24"/>
        </w:rPr>
        <w:t xml:space="preserve">若候选的供货商已获得 </w:t>
      </w:r>
      <w:r>
        <w:rPr>
          <w:rFonts w:ascii="Calibri" w:hAnsi="Calibri" w:eastAsia="Calibri" w:cs="Calibri"/>
          <w:spacing w:val="-9"/>
          <w:sz w:val="24"/>
          <w:szCs w:val="24"/>
        </w:rPr>
        <w:t>ISO9000</w:t>
      </w:r>
      <w:r>
        <w:rPr>
          <w:rFonts w:ascii="Calibri" w:hAnsi="Calibri" w:eastAsia="Calibri" w:cs="Calibri"/>
          <w:spacing w:val="28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 xml:space="preserve">证书、可免去审核。对未获得 </w:t>
      </w:r>
      <w:r>
        <w:rPr>
          <w:rFonts w:ascii="Calibri" w:hAnsi="Calibri" w:eastAsia="Calibri" w:cs="Calibri"/>
          <w:spacing w:val="-9"/>
          <w:sz w:val="24"/>
          <w:szCs w:val="24"/>
        </w:rPr>
        <w:t>ISO9000</w:t>
      </w:r>
      <w:r>
        <w:rPr>
          <w:rFonts w:ascii="Calibri" w:hAnsi="Calibri" w:eastAsia="Calibri" w:cs="Calibri"/>
          <w:spacing w:val="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证</w:t>
      </w:r>
      <w:r>
        <w:rPr>
          <w:rFonts w:ascii="宋体" w:hAnsi="宋体" w:eastAsia="宋体" w:cs="宋体"/>
          <w:spacing w:val="-1"/>
          <w:sz w:val="24"/>
          <w:szCs w:val="24"/>
        </w:rPr>
        <w:t>书的供货商必要时进行书面审查及实地调查：</w:t>
      </w:r>
    </w:p>
    <w:p w14:paraId="6DFF654E">
      <w:pPr>
        <w:spacing w:before="177" w:line="296" w:lineRule="auto"/>
        <w:ind w:left="931" w:right="40" w:hanging="41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4"/>
          <w:sz w:val="24"/>
          <w:szCs w:val="24"/>
        </w:rPr>
        <w:drawing>
          <wp:inline distT="0" distB="0" distL="0" distR="0">
            <wp:extent cx="122555" cy="16827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4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书面审查：审阅供货商提供的资料</w:t>
      </w:r>
      <w:r>
        <w:rPr>
          <w:rFonts w:ascii="Calibri" w:hAnsi="Calibri" w:eastAsia="Calibri" w:cs="Calibri"/>
          <w:spacing w:val="-1"/>
          <w:sz w:val="24"/>
          <w:szCs w:val="24"/>
        </w:rPr>
        <w:t>,</w:t>
      </w:r>
      <w:r>
        <w:rPr>
          <w:rFonts w:ascii="宋体" w:hAnsi="宋体" w:eastAsia="宋体" w:cs="宋体"/>
          <w:spacing w:val="-1"/>
          <w:sz w:val="24"/>
          <w:szCs w:val="24"/>
        </w:rPr>
        <w:t>如产品样本、</w:t>
      </w:r>
      <w:r>
        <w:rPr>
          <w:rFonts w:ascii="宋体" w:hAnsi="宋体" w:eastAsia="宋体" w:cs="宋体"/>
          <w:spacing w:val="-2"/>
          <w:sz w:val="24"/>
          <w:szCs w:val="24"/>
        </w:rPr>
        <w:t>资质证明、单位概况及用户反馈意见等；</w:t>
      </w:r>
    </w:p>
    <w:p w14:paraId="2B75C589">
      <w:pPr>
        <w:spacing w:before="176" w:line="227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-4"/>
          <w:sz w:val="24"/>
          <w:szCs w:val="24"/>
        </w:rPr>
        <w:drawing>
          <wp:inline distT="0" distB="0" distL="0" distR="0">
            <wp:extent cx="122555" cy="16827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2986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0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实地调查：到供货商现场考察其技术力量、供货质量及周期等。</w:t>
      </w:r>
    </w:p>
    <w:p w14:paraId="595F74CC">
      <w:pPr>
        <w:spacing w:before="176" w:line="318" w:lineRule="auto"/>
        <w:ind w:left="931" w:right="33" w:hanging="411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4"/>
          <w:sz w:val="24"/>
          <w:szCs w:val="24"/>
        </w:rPr>
        <w:t xml:space="preserve">n </w:t>
      </w:r>
      <w:r>
        <w:rPr>
          <w:rFonts w:ascii="宋体" w:hAnsi="宋体" w:eastAsia="宋体" w:cs="宋体"/>
          <w:spacing w:val="-4"/>
          <w:sz w:val="24"/>
          <w:szCs w:val="24"/>
        </w:rPr>
        <w:t xml:space="preserve">对于 </w:t>
      </w:r>
      <w:r>
        <w:rPr>
          <w:rFonts w:ascii="Calibri" w:hAnsi="Calibri" w:eastAsia="Calibri" w:cs="Calibri"/>
          <w:spacing w:val="-4"/>
          <w:sz w:val="24"/>
          <w:szCs w:val="24"/>
        </w:rPr>
        <w:t>A</w:t>
      </w:r>
      <w:r>
        <w:rPr>
          <w:rFonts w:ascii="Calibri" w:hAnsi="Calibri" w:eastAsia="Calibri" w:cs="Calibri"/>
          <w:spacing w:val="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类物资的供货商，采购专员要填写《合格供应商调查评价表》，</w:t>
      </w:r>
      <w:r>
        <w:rPr>
          <w:rFonts w:ascii="宋体" w:hAnsi="宋体" w:eastAsia="宋体" w:cs="宋体"/>
          <w:spacing w:val="-1"/>
          <w:sz w:val="24"/>
          <w:szCs w:val="24"/>
        </w:rPr>
        <w:t>经领导批准后，建立合格供货商档案，档案中要有产品质量业绩证明等内容。报市场商务部经理批准后，再采购其产品；</w:t>
      </w:r>
    </w:p>
    <w:p w14:paraId="41D8DD11">
      <w:pPr>
        <w:spacing w:before="178" w:line="294" w:lineRule="auto"/>
        <w:ind w:left="935" w:right="50" w:hanging="415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5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 xml:space="preserve">对于 </w:t>
      </w:r>
      <w:r>
        <w:rPr>
          <w:rFonts w:ascii="Calibri" w:hAnsi="Calibri" w:eastAsia="Calibri" w:cs="Calibri"/>
          <w:spacing w:val="-2"/>
          <w:sz w:val="24"/>
          <w:szCs w:val="24"/>
        </w:rPr>
        <w:t xml:space="preserve">B </w:t>
      </w:r>
      <w:r>
        <w:rPr>
          <w:rFonts w:ascii="宋体" w:hAnsi="宋体" w:eastAsia="宋体" w:cs="宋体"/>
          <w:spacing w:val="-2"/>
          <w:sz w:val="24"/>
          <w:szCs w:val="24"/>
        </w:rPr>
        <w:t>类物资的供货商，由采购专员进行评定，择优选用，必要</w:t>
      </w:r>
      <w:r>
        <w:rPr>
          <w:rFonts w:ascii="宋体" w:hAnsi="宋体" w:eastAsia="宋体" w:cs="宋体"/>
          <w:spacing w:val="-3"/>
          <w:sz w:val="24"/>
          <w:szCs w:val="24"/>
        </w:rPr>
        <w:t>时填写</w:t>
      </w:r>
      <w:r>
        <w:rPr>
          <w:rFonts w:ascii="宋体" w:hAnsi="宋体" w:eastAsia="宋体" w:cs="宋体"/>
          <w:spacing w:val="-1"/>
          <w:sz w:val="24"/>
          <w:szCs w:val="24"/>
        </w:rPr>
        <w:t>《合格供应商调查评价表》报市场商务部经理批准；</w:t>
      </w:r>
    </w:p>
    <w:p w14:paraId="49B9CFC8">
      <w:pPr>
        <w:spacing w:before="180" w:line="295" w:lineRule="auto"/>
        <w:ind w:left="929" w:right="86" w:hanging="409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>n</w:t>
      </w:r>
      <w:r>
        <w:rPr>
          <w:rFonts w:ascii="Wingdings" w:hAnsi="Wingdings" w:eastAsia="Wingdings" w:cs="Wingdings"/>
          <w:spacing w:val="-5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对于</w:t>
      </w:r>
      <w:r>
        <w:rPr>
          <w:rFonts w:ascii="宋体" w:hAnsi="宋体" w:eastAsia="宋体" w:cs="宋体"/>
          <w:spacing w:val="-27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3"/>
          <w:sz w:val="24"/>
          <w:szCs w:val="24"/>
        </w:rPr>
        <w:t>C</w:t>
      </w:r>
      <w:r>
        <w:rPr>
          <w:rFonts w:ascii="Calibri" w:hAnsi="Calibri" w:eastAsia="Calibri" w:cs="Calibri"/>
          <w:spacing w:val="1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类物资的供货商，在保证产品质量的前提下，采购专员可以直接</w:t>
      </w:r>
      <w:r>
        <w:rPr>
          <w:rFonts w:ascii="宋体" w:hAnsi="宋体" w:eastAsia="宋体" w:cs="宋体"/>
          <w:spacing w:val="-1"/>
          <w:sz w:val="24"/>
          <w:szCs w:val="24"/>
        </w:rPr>
        <w:t>看样品决定是否采购；</w:t>
      </w:r>
    </w:p>
    <w:p w14:paraId="17EC40E7">
      <w:pPr>
        <w:spacing w:before="179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 xml:space="preserve">n </w:t>
      </w:r>
      <w:r>
        <w:rPr>
          <w:rFonts w:ascii="宋体" w:hAnsi="宋体" w:eastAsia="宋体" w:cs="宋体"/>
          <w:spacing w:val="-1"/>
          <w:sz w:val="24"/>
          <w:szCs w:val="24"/>
        </w:rPr>
        <w:t>以后根据检验结果、实际使用效果及使用人反馈意见，确定其是否为合格供货商；</w:t>
      </w:r>
    </w:p>
    <w:p w14:paraId="4B2DEA16">
      <w:pPr>
        <w:spacing w:before="178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7"/>
          <w:sz w:val="24"/>
          <w:szCs w:val="24"/>
        </w:rPr>
        <w:t>n</w:t>
      </w:r>
      <w:r>
        <w:rPr>
          <w:rFonts w:ascii="Wingdings" w:hAnsi="Wingdings" w:eastAsia="Wingdings" w:cs="Wingdings"/>
          <w:spacing w:val="-5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>对于出现产品质量的供货商，视情节轻重，采购</w:t>
      </w:r>
      <w:r>
        <w:rPr>
          <w:rFonts w:ascii="宋体" w:hAnsi="宋体" w:eastAsia="宋体" w:cs="宋体"/>
          <w:spacing w:val="-8"/>
          <w:sz w:val="24"/>
          <w:szCs w:val="24"/>
        </w:rPr>
        <w:t>可随时取消其供货资格。</w:t>
      </w:r>
    </w:p>
    <w:p w14:paraId="5D941288">
      <w:pPr>
        <w:pStyle w:val="2"/>
        <w:spacing w:line="242" w:lineRule="auto"/>
      </w:pPr>
    </w:p>
    <w:p w14:paraId="2AE5336E">
      <w:pPr>
        <w:pStyle w:val="2"/>
        <w:spacing w:before="97" w:line="223" w:lineRule="auto"/>
        <w:ind w:left="32"/>
        <w:outlineLvl w:val="1"/>
        <w:rPr>
          <w:rFonts w:ascii="黑体" w:hAnsi="黑体" w:eastAsia="黑体" w:cs="黑体"/>
          <w:sz w:val="30"/>
          <w:szCs w:val="30"/>
        </w:rPr>
      </w:pPr>
      <w:bookmarkStart w:id="11" w:name="bookmark12"/>
      <w:bookmarkEnd w:id="11"/>
      <w:r>
        <w:rPr>
          <w:b/>
          <w:bCs/>
          <w:spacing w:val="-4"/>
          <w:sz w:val="30"/>
          <w:szCs w:val="30"/>
        </w:rPr>
        <w:t xml:space="preserve">6.4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备件的采购</w:t>
      </w:r>
    </w:p>
    <w:p w14:paraId="74E32877">
      <w:pPr>
        <w:pStyle w:val="2"/>
        <w:spacing w:line="252" w:lineRule="auto"/>
      </w:pPr>
    </w:p>
    <w:p w14:paraId="5B0EDD8D">
      <w:pPr>
        <w:spacing w:before="78" w:line="295" w:lineRule="auto"/>
        <w:ind w:left="927" w:right="79" w:hanging="407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8"/>
          <w:sz w:val="24"/>
          <w:szCs w:val="24"/>
        </w:rPr>
        <w:t>n</w:t>
      </w:r>
      <w:r>
        <w:rPr>
          <w:rFonts w:ascii="Wingdings" w:hAnsi="Wingdings" w:eastAsia="Wingdings" w:cs="Wingdings"/>
          <w:spacing w:val="-4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8"/>
          <w:sz w:val="24"/>
          <w:szCs w:val="24"/>
        </w:rPr>
        <w:t>备件采购负责人根据项目需要或库存盘点对备件</w:t>
      </w:r>
      <w:r>
        <w:rPr>
          <w:rFonts w:ascii="宋体" w:hAnsi="宋体" w:eastAsia="宋体" w:cs="宋体"/>
          <w:spacing w:val="7"/>
          <w:sz w:val="24"/>
          <w:szCs w:val="24"/>
        </w:rPr>
        <w:t>进行及时进行补充采</w:t>
      </w:r>
      <w:r>
        <w:rPr>
          <w:rFonts w:ascii="宋体" w:hAnsi="宋体" w:eastAsia="宋体" w:cs="宋体"/>
          <w:spacing w:val="-1"/>
          <w:sz w:val="24"/>
          <w:szCs w:val="24"/>
        </w:rPr>
        <w:t>购，并填写采购计划；</w:t>
      </w:r>
    </w:p>
    <w:p w14:paraId="174C8BE4">
      <w:pPr>
        <w:spacing w:before="179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>n</w:t>
      </w:r>
      <w:r>
        <w:rPr>
          <w:rFonts w:ascii="Wingdings" w:hAnsi="Wingdings" w:eastAsia="Wingdings" w:cs="Wingdings"/>
          <w:spacing w:val="-3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采购计划批准后，方可采购；</w:t>
      </w:r>
    </w:p>
    <w:p w14:paraId="5FAC52C9">
      <w:pPr>
        <w:spacing w:before="162" w:line="295" w:lineRule="auto"/>
        <w:ind w:left="931" w:right="76" w:hanging="411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</w:rPr>
        <w:t>n</w:t>
      </w:r>
      <w:r>
        <w:rPr>
          <w:rFonts w:ascii="Wingdings" w:hAnsi="Wingdings" w:eastAsia="Wingdings" w:cs="Wingdings"/>
          <w:spacing w:val="-45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在采购过程中，采购专员要随时掌握供货进度，并检查产品质量，促其</w:t>
      </w:r>
      <w:r>
        <w:rPr>
          <w:rFonts w:ascii="宋体" w:hAnsi="宋体" w:eastAsia="宋体" w:cs="宋体"/>
          <w:spacing w:val="-2"/>
          <w:sz w:val="24"/>
          <w:szCs w:val="24"/>
        </w:rPr>
        <w:t>按期保质保量交货；</w:t>
      </w:r>
    </w:p>
    <w:p w14:paraId="7CCB1873">
      <w:pPr>
        <w:spacing w:before="180" w:line="317" w:lineRule="auto"/>
        <w:ind w:left="932" w:right="74" w:hanging="412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6"/>
          <w:sz w:val="24"/>
          <w:szCs w:val="24"/>
        </w:rPr>
        <w:t>n</w:t>
      </w:r>
      <w:r>
        <w:rPr>
          <w:rFonts w:ascii="Wingdings" w:hAnsi="Wingdings" w:eastAsia="Wingdings" w:cs="Wingdings"/>
          <w:spacing w:val="-5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6"/>
          <w:sz w:val="24"/>
          <w:szCs w:val="24"/>
        </w:rPr>
        <w:t>特殊情况下</w:t>
      </w:r>
      <w:r>
        <w:rPr>
          <w:rFonts w:ascii="Calibri" w:hAnsi="Calibri" w:eastAsia="Calibri" w:cs="Calibri"/>
          <w:spacing w:val="6"/>
          <w:sz w:val="24"/>
          <w:szCs w:val="24"/>
        </w:rPr>
        <w:t>,</w:t>
      </w:r>
      <w:r>
        <w:rPr>
          <w:rFonts w:ascii="宋体" w:hAnsi="宋体" w:eastAsia="宋体" w:cs="宋体"/>
          <w:spacing w:val="6"/>
          <w:sz w:val="24"/>
          <w:szCs w:val="24"/>
        </w:rPr>
        <w:t>若有无法按需用日期采购到的物品或遇到无法</w:t>
      </w:r>
      <w:r>
        <w:rPr>
          <w:rFonts w:ascii="宋体" w:hAnsi="宋体" w:eastAsia="宋体" w:cs="宋体"/>
          <w:spacing w:val="5"/>
          <w:sz w:val="24"/>
          <w:szCs w:val="24"/>
        </w:rPr>
        <w:t>完成的采购工作或合同执行过程中出现问题</w:t>
      </w:r>
      <w:r>
        <w:rPr>
          <w:rFonts w:ascii="Calibri" w:hAnsi="Calibri" w:eastAsia="Calibri" w:cs="Calibri"/>
          <w:spacing w:val="5"/>
          <w:sz w:val="24"/>
          <w:szCs w:val="24"/>
        </w:rPr>
        <w:t>,</w:t>
      </w:r>
      <w:r>
        <w:rPr>
          <w:rFonts w:ascii="宋体" w:hAnsi="宋体" w:eastAsia="宋体" w:cs="宋体"/>
          <w:spacing w:val="5"/>
          <w:sz w:val="24"/>
          <w:szCs w:val="24"/>
        </w:rPr>
        <w:t>采购专员应及</w:t>
      </w:r>
      <w:r>
        <w:rPr>
          <w:rFonts w:ascii="宋体" w:hAnsi="宋体" w:eastAsia="宋体" w:cs="宋体"/>
          <w:spacing w:val="4"/>
          <w:sz w:val="24"/>
          <w:szCs w:val="24"/>
        </w:rPr>
        <w:t>时通知使用部门并向主</w:t>
      </w:r>
      <w:r>
        <w:rPr>
          <w:rFonts w:ascii="宋体" w:hAnsi="宋体" w:eastAsia="宋体" w:cs="宋体"/>
          <w:spacing w:val="-1"/>
          <w:sz w:val="24"/>
          <w:szCs w:val="24"/>
        </w:rPr>
        <w:t>管领导汇报，以便做出合理安排。</w:t>
      </w:r>
    </w:p>
    <w:p w14:paraId="0105C22B">
      <w:pPr>
        <w:pStyle w:val="2"/>
        <w:spacing w:before="98" w:line="222" w:lineRule="auto"/>
        <w:ind w:left="32"/>
        <w:outlineLvl w:val="1"/>
        <w:rPr>
          <w:rFonts w:ascii="黑体" w:hAnsi="黑体" w:eastAsia="黑体" w:cs="黑体"/>
          <w:sz w:val="30"/>
          <w:szCs w:val="30"/>
        </w:rPr>
      </w:pPr>
      <w:bookmarkStart w:id="12" w:name="bookmark13"/>
      <w:bookmarkEnd w:id="12"/>
      <w:r>
        <w:rPr>
          <w:b/>
          <w:bCs/>
          <w:spacing w:val="-4"/>
          <w:sz w:val="30"/>
          <w:szCs w:val="30"/>
        </w:rPr>
        <w:t xml:space="preserve">6.5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备品备件出入库管理</w:t>
      </w:r>
    </w:p>
    <w:p w14:paraId="21089A08">
      <w:pPr>
        <w:pStyle w:val="2"/>
        <w:spacing w:line="310" w:lineRule="auto"/>
      </w:pPr>
    </w:p>
    <w:p w14:paraId="57273E5D">
      <w:pPr>
        <w:spacing w:before="92" w:line="224" w:lineRule="auto"/>
        <w:ind w:left="31"/>
        <w:rPr>
          <w:rFonts w:ascii="黑体" w:hAnsi="黑体" w:eastAsia="黑体" w:cs="黑体"/>
          <w:sz w:val="28"/>
          <w:szCs w:val="28"/>
        </w:rPr>
      </w:pPr>
      <w:r>
        <w:rPr>
          <w:rFonts w:ascii="Calibri" w:hAnsi="Calibri" w:eastAsia="Calibri" w:cs="Calibri"/>
          <w:b/>
          <w:bCs/>
          <w:spacing w:val="-4"/>
          <w:sz w:val="28"/>
          <w:szCs w:val="28"/>
        </w:rPr>
        <w:t>6.5.1</w:t>
      </w:r>
      <w:r>
        <w:rPr>
          <w:rFonts w:ascii="Calibri" w:hAnsi="Calibri" w:eastAsia="Calibri" w:cs="Calibri"/>
          <w:b/>
          <w:bCs/>
          <w:spacing w:val="19"/>
          <w:w w:val="101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8"/>
          <w:szCs w:val="28"/>
        </w:rPr>
        <w:t>备件入库</w:t>
      </w:r>
    </w:p>
    <w:p w14:paraId="3EBDF638">
      <w:pPr>
        <w:pStyle w:val="2"/>
        <w:spacing w:line="264" w:lineRule="auto"/>
      </w:pPr>
    </w:p>
    <w:p w14:paraId="3A8FE51F">
      <w:pPr>
        <w:spacing w:before="78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7"/>
          <w:sz w:val="24"/>
          <w:szCs w:val="24"/>
        </w:rPr>
        <w:t>n</w:t>
      </w:r>
      <w:r>
        <w:rPr>
          <w:rFonts w:ascii="Wingdings" w:hAnsi="Wingdings" w:eastAsia="Wingdings" w:cs="Wingdings"/>
          <w:spacing w:val="-5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>采购专员购入新备品备件后，仓管专员负责核对</w:t>
      </w:r>
      <w:r>
        <w:rPr>
          <w:rFonts w:ascii="宋体" w:hAnsi="宋体" w:eastAsia="宋体" w:cs="宋体"/>
          <w:spacing w:val="-8"/>
          <w:sz w:val="24"/>
          <w:szCs w:val="24"/>
        </w:rPr>
        <w:t>备件型号、规格、数量、</w:t>
      </w:r>
    </w:p>
    <w:p w14:paraId="5A519E2C">
      <w:pPr>
        <w:spacing w:before="171" w:line="339" w:lineRule="auto"/>
        <w:ind w:left="928" w:firstLine="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外观质量等，并在运维部技术人员协助下对于可</w:t>
      </w:r>
      <w:r>
        <w:rPr>
          <w:rFonts w:ascii="宋体" w:hAnsi="宋体" w:eastAsia="宋体" w:cs="宋体"/>
          <w:spacing w:val="-7"/>
          <w:sz w:val="24"/>
          <w:szCs w:val="24"/>
        </w:rPr>
        <w:t>以进行性能测试或加电测</w:t>
      </w:r>
      <w:r>
        <w:rPr>
          <w:rFonts w:ascii="宋体" w:hAnsi="宋体" w:eastAsia="宋体" w:cs="宋体"/>
          <w:spacing w:val="-8"/>
          <w:sz w:val="24"/>
          <w:szCs w:val="24"/>
        </w:rPr>
        <w:t>试的备品备件进行抽样性能检测，并做好明确的标识，将检验后</w:t>
      </w:r>
      <w:r>
        <w:rPr>
          <w:rFonts w:ascii="宋体" w:hAnsi="宋体" w:eastAsia="宋体" w:cs="宋体"/>
          <w:spacing w:val="-9"/>
          <w:sz w:val="24"/>
          <w:szCs w:val="24"/>
        </w:rPr>
        <w:t>的合格品</w:t>
      </w:r>
      <w:r>
        <w:rPr>
          <w:rFonts w:ascii="宋体" w:hAnsi="宋体" w:eastAsia="宋体" w:cs="宋体"/>
          <w:spacing w:val="-11"/>
          <w:sz w:val="24"/>
          <w:szCs w:val="24"/>
        </w:rPr>
        <w:t>与不合格品分别放在合格区与不合格区。检验完后的备品备件，由仓管专</w:t>
      </w:r>
      <w:r>
        <w:rPr>
          <w:rFonts w:ascii="宋体" w:hAnsi="宋体" w:eastAsia="宋体" w:cs="宋体"/>
          <w:spacing w:val="-17"/>
          <w:sz w:val="24"/>
          <w:szCs w:val="24"/>
        </w:rPr>
        <w:t>员入库并将测试结果进行记录，签录入库单，登记备品备件名称、型号、序</w:t>
      </w:r>
      <w:r>
        <w:rPr>
          <w:rFonts w:ascii="宋体" w:hAnsi="宋体" w:eastAsia="宋体" w:cs="宋体"/>
          <w:spacing w:val="-7"/>
          <w:sz w:val="24"/>
          <w:szCs w:val="24"/>
        </w:rPr>
        <w:t>列号、厂商、价格、入库时间等信息。对于检验后不合格的备品备件</w:t>
      </w:r>
      <w:r>
        <w:rPr>
          <w:rFonts w:ascii="宋体" w:hAnsi="宋体" w:eastAsia="宋体" w:cs="宋体"/>
          <w:spacing w:val="-8"/>
          <w:sz w:val="24"/>
          <w:szCs w:val="24"/>
        </w:rPr>
        <w:t>，由</w:t>
      </w:r>
      <w:r>
        <w:rPr>
          <w:rFonts w:ascii="宋体" w:hAnsi="宋体" w:eastAsia="宋体" w:cs="宋体"/>
          <w:spacing w:val="-7"/>
          <w:sz w:val="24"/>
          <w:szCs w:val="24"/>
        </w:rPr>
        <w:t>仓管专员通知采购人员，进行返厂处理；</w:t>
      </w:r>
    </w:p>
    <w:p w14:paraId="0C521985">
      <w:pPr>
        <w:spacing w:before="182" w:line="239" w:lineRule="auto"/>
        <w:ind w:left="52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3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备件验收合格办理入库手续后要及时上架、入帐；</w:t>
      </w:r>
    </w:p>
    <w:p w14:paraId="22B00F19">
      <w:pPr>
        <w:spacing w:before="162" w:line="295" w:lineRule="auto"/>
        <w:ind w:left="928" w:right="144" w:hanging="408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4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备件信息系统的数据录入、查询使用统一的备件编码，做到在全系统内</w:t>
      </w:r>
      <w:r>
        <w:rPr>
          <w:rFonts w:ascii="宋体" w:hAnsi="宋体" w:eastAsia="宋体" w:cs="宋体"/>
          <w:spacing w:val="-1"/>
          <w:sz w:val="24"/>
          <w:szCs w:val="24"/>
        </w:rPr>
        <w:t>对各类备件进行统一描述；</w:t>
      </w:r>
    </w:p>
    <w:p w14:paraId="061EC757">
      <w:pPr>
        <w:spacing w:before="179" w:line="295" w:lineRule="auto"/>
        <w:ind w:left="932" w:right="144" w:hanging="412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对录入数据要适时、真实，不得虚报、迟报、瞒报，以保证数据内容的</w:t>
      </w:r>
      <w:r>
        <w:rPr>
          <w:rFonts w:ascii="宋体" w:hAnsi="宋体" w:eastAsia="宋体" w:cs="宋体"/>
          <w:spacing w:val="-3"/>
          <w:sz w:val="24"/>
          <w:szCs w:val="24"/>
        </w:rPr>
        <w:t>详实、可靠；</w:t>
      </w:r>
    </w:p>
    <w:p w14:paraId="77D5836D">
      <w:pPr>
        <w:spacing w:before="178" w:line="295" w:lineRule="auto"/>
        <w:ind w:left="931" w:right="112" w:hanging="411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1"/>
          <w:sz w:val="24"/>
          <w:szCs w:val="24"/>
        </w:rPr>
        <w:t>n</w:t>
      </w:r>
      <w:r>
        <w:rPr>
          <w:rFonts w:ascii="Wingdings" w:hAnsi="Wingdings" w:eastAsia="Wingdings" w:cs="Wingdings"/>
          <w:spacing w:val="-4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备件仓储期间的维护保养工作，防止备件损坏、变形、老化、锈蚀</w:t>
      </w:r>
      <w:r>
        <w:rPr>
          <w:rFonts w:ascii="宋体" w:hAnsi="宋体" w:eastAsia="宋体" w:cs="宋体"/>
          <w:spacing w:val="-2"/>
          <w:sz w:val="24"/>
          <w:szCs w:val="24"/>
        </w:rPr>
        <w:t>和防</w:t>
      </w:r>
      <w:r>
        <w:rPr>
          <w:rFonts w:ascii="宋体" w:hAnsi="宋体" w:eastAsia="宋体" w:cs="宋体"/>
          <w:spacing w:val="-14"/>
          <w:sz w:val="24"/>
          <w:szCs w:val="24"/>
        </w:rPr>
        <w:t>火等工作。贵重备件的库房应正确使用空调器，保持适当的温度和湿度。</w:t>
      </w:r>
    </w:p>
    <w:p w14:paraId="0A751716">
      <w:pPr>
        <w:spacing w:before="92" w:line="224" w:lineRule="auto"/>
        <w:ind w:left="31"/>
        <w:rPr>
          <w:rFonts w:ascii="黑体" w:hAnsi="黑体" w:eastAsia="黑体" w:cs="黑体"/>
          <w:b/>
          <w:bCs/>
          <w:spacing w:val="-4"/>
          <w:sz w:val="28"/>
          <w:szCs w:val="28"/>
        </w:rPr>
      </w:pPr>
      <w:r>
        <w:rPr>
          <w:rFonts w:ascii="黑体" w:hAnsi="黑体" w:eastAsia="黑体" w:cs="黑体"/>
          <w:b/>
          <w:bCs/>
          <w:spacing w:val="-4"/>
          <w:sz w:val="28"/>
          <w:szCs w:val="28"/>
        </w:rPr>
        <w:t>6.5.2 备件出库</w:t>
      </w:r>
    </w:p>
    <w:p w14:paraId="5750ECF7">
      <w:pPr>
        <w:pStyle w:val="2"/>
        <w:spacing w:line="263" w:lineRule="auto"/>
      </w:pPr>
    </w:p>
    <w:p w14:paraId="2226B03D">
      <w:pPr>
        <w:spacing w:before="78" w:line="295" w:lineRule="auto"/>
        <w:ind w:left="931" w:right="135" w:hanging="411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4"/>
          <w:sz w:val="24"/>
          <w:szCs w:val="24"/>
        </w:rPr>
        <w:t>n</w:t>
      </w:r>
      <w:r>
        <w:rPr>
          <w:rFonts w:ascii="Wingdings" w:hAnsi="Wingdings" w:eastAsia="Wingdings" w:cs="Wingdings"/>
          <w:spacing w:val="-4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运维服务工程师领用备件时，必须凭项目经理签字的备件领用申请单，</w:t>
      </w:r>
      <w:r>
        <w:rPr>
          <w:rFonts w:ascii="宋体" w:hAnsi="宋体" w:eastAsia="宋体" w:cs="宋体"/>
          <w:spacing w:val="-1"/>
          <w:sz w:val="24"/>
          <w:szCs w:val="24"/>
        </w:rPr>
        <w:t>经仓管专员核对后签字后转交库房领取备件。</w:t>
      </w:r>
    </w:p>
    <w:p w14:paraId="61030798">
      <w:pPr>
        <w:spacing w:before="181" w:line="295" w:lineRule="auto"/>
        <w:ind w:left="927" w:right="76" w:hanging="407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仓管专员按照备件申请单要求，核对备件名称、型号、规格、数量，并</w:t>
      </w:r>
      <w:r>
        <w:rPr>
          <w:rFonts w:ascii="宋体" w:hAnsi="宋体" w:eastAsia="宋体" w:cs="宋体"/>
          <w:sz w:val="24"/>
          <w:szCs w:val="24"/>
        </w:rPr>
        <w:t>进行出库检测，检测合格后做领用出库记录，</w:t>
      </w:r>
      <w:r>
        <w:rPr>
          <w:rFonts w:ascii="宋体" w:hAnsi="宋体" w:eastAsia="宋体" w:cs="宋体"/>
          <w:spacing w:val="-1"/>
          <w:sz w:val="24"/>
          <w:szCs w:val="24"/>
        </w:rPr>
        <w:t>办理实物出库手续。</w:t>
      </w:r>
    </w:p>
    <w:p w14:paraId="7467B880">
      <w:pPr>
        <w:spacing w:before="175" w:line="300" w:lineRule="auto"/>
        <w:ind w:left="929" w:right="33" w:hanging="409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</w:rPr>
        <w:t>n</w:t>
      </w:r>
      <w:r>
        <w:rPr>
          <w:rFonts w:ascii="Wingdings" w:hAnsi="Wingdings" w:eastAsia="Wingdings" w:cs="Wingdings"/>
          <w:spacing w:val="-38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备件根据</w:t>
      </w:r>
      <w:r>
        <w:rPr>
          <w:rFonts w:ascii="Calibri" w:hAnsi="Calibri" w:eastAsia="Calibri" w:cs="Calibri"/>
          <w:sz w:val="24"/>
          <w:szCs w:val="24"/>
        </w:rPr>
        <w:t>SLA</w:t>
      </w:r>
      <w:r>
        <w:rPr>
          <w:rFonts w:ascii="Calibri" w:hAnsi="Calibri" w:eastAsia="Calibri" w:cs="Calibri"/>
          <w:spacing w:val="45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具体要求，有运维服务工程师或快递将备件送到项目所在</w:t>
      </w:r>
      <w:r>
        <w:rPr>
          <w:rFonts w:ascii="宋体" w:hAnsi="宋体" w:eastAsia="宋体" w:cs="宋体"/>
          <w:spacing w:val="-5"/>
          <w:sz w:val="24"/>
          <w:szCs w:val="24"/>
        </w:rPr>
        <w:t>地。</w:t>
      </w:r>
    </w:p>
    <w:p w14:paraId="30DB2617">
      <w:pPr>
        <w:pStyle w:val="2"/>
        <w:spacing w:line="355" w:lineRule="auto"/>
      </w:pPr>
    </w:p>
    <w:p w14:paraId="1E2C8866">
      <w:pPr>
        <w:spacing w:before="100" w:line="227" w:lineRule="auto"/>
        <w:ind w:left="32"/>
        <w:outlineLvl w:val="0"/>
        <w:rPr>
          <w:rFonts w:ascii="黑体" w:hAnsi="黑体" w:eastAsia="黑体" w:cs="黑体"/>
          <w:sz w:val="31"/>
          <w:szCs w:val="31"/>
        </w:rPr>
      </w:pPr>
      <w:bookmarkStart w:id="13" w:name="bookmark14"/>
      <w:bookmarkEnd w:id="13"/>
      <w:r>
        <w:rPr>
          <w:rFonts w:ascii="Calibri" w:hAnsi="Calibri" w:eastAsia="Calibri" w:cs="Calibri"/>
          <w:b/>
          <w:bCs/>
          <w:spacing w:val="4"/>
          <w:sz w:val="31"/>
          <w:szCs w:val="31"/>
        </w:rPr>
        <w:t>7</w:t>
      </w:r>
      <w:r>
        <w:rPr>
          <w:rFonts w:ascii="Calibri" w:hAnsi="Calibri" w:eastAsia="Calibri" w:cs="Calibri"/>
          <w:b/>
          <w:bCs/>
          <w:spacing w:val="31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4"/>
          <w:sz w:val="31"/>
          <w:szCs w:val="31"/>
        </w:rPr>
        <w:t>备件盘点和可用性检测</w:t>
      </w:r>
    </w:p>
    <w:p w14:paraId="2E823973">
      <w:pPr>
        <w:pStyle w:val="2"/>
        <w:spacing w:line="365" w:lineRule="auto"/>
      </w:pPr>
    </w:p>
    <w:p w14:paraId="23032654">
      <w:pPr>
        <w:spacing w:before="78" w:line="295" w:lineRule="auto"/>
        <w:ind w:left="932" w:right="68" w:hanging="412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3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仓管专员负责日常性盘点需做到帐、物相符，保证在库备件的可用性，</w:t>
      </w:r>
      <w:r>
        <w:rPr>
          <w:rFonts w:ascii="宋体" w:hAnsi="宋体" w:eastAsia="宋体" w:cs="宋体"/>
          <w:spacing w:val="-1"/>
          <w:sz w:val="24"/>
          <w:szCs w:val="24"/>
        </w:rPr>
        <w:t>备件的出入库记帐无差错，各类备件无超储；</w:t>
      </w:r>
    </w:p>
    <w:p w14:paraId="5C27E0DB">
      <w:pPr>
        <w:spacing w:before="180" w:line="317" w:lineRule="auto"/>
        <w:ind w:left="929" w:right="4" w:hanging="409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</w:rPr>
        <w:t>n</w:t>
      </w:r>
      <w:r>
        <w:rPr>
          <w:rFonts w:ascii="Wingdings" w:hAnsi="Wingdings" w:eastAsia="Wingdings" w:cs="Wingdings"/>
          <w:spacing w:val="-45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备品件定期盘点检查工作每年一次；备件的在库可用性检测工作，实行</w:t>
      </w:r>
      <w:r>
        <w:rPr>
          <w:rFonts w:ascii="宋体" w:hAnsi="宋体" w:eastAsia="宋体" w:cs="宋体"/>
          <w:spacing w:val="-1"/>
          <w:sz w:val="24"/>
          <w:szCs w:val="24"/>
        </w:rPr>
        <w:t>每季度抽检方式，对各品类品种库存进行分类抽检，一般要求为备件的</w:t>
      </w:r>
      <w:r>
        <w:rPr>
          <w:rFonts w:ascii="Calibri" w:hAnsi="Calibri" w:eastAsia="Calibri" w:cs="Calibri"/>
          <w:spacing w:val="-2"/>
          <w:sz w:val="24"/>
          <w:szCs w:val="24"/>
        </w:rPr>
        <w:t>10%</w:t>
      </w:r>
      <w:r>
        <w:rPr>
          <w:rFonts w:ascii="Calibri" w:hAnsi="Calibri" w:eastAsia="Calibri" w:cs="Calibri"/>
          <w:spacing w:val="4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以上抽检，同时对在库时间越长的备件优先抽检原则。</w:t>
      </w:r>
    </w:p>
    <w:p w14:paraId="53AB255E">
      <w:pPr>
        <w:spacing w:before="181" w:line="329" w:lineRule="auto"/>
        <w:ind w:left="928" w:hanging="408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1"/>
          <w:sz w:val="24"/>
          <w:szCs w:val="24"/>
        </w:rPr>
        <w:t>n</w:t>
      </w:r>
      <w:r>
        <w:rPr>
          <w:rFonts w:ascii="Wingdings" w:hAnsi="Wingdings" w:eastAsia="Wingdings" w:cs="Wingdings"/>
          <w:spacing w:val="-4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盘点主要是核对备品备件账务与仓库实物之间“账物相符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”情况，如发现盘亏或盘盈现象，应及时按照公司相关制度处理。并由运维部技术人</w:t>
      </w:r>
      <w:r>
        <w:rPr>
          <w:rFonts w:ascii="宋体" w:hAnsi="宋体" w:eastAsia="宋体" w:cs="宋体"/>
          <w:spacing w:val="7"/>
          <w:sz w:val="24"/>
          <w:szCs w:val="24"/>
        </w:rPr>
        <w:t>员协助仓管专员对于可以进行性能测试或加电测试的备品备</w:t>
      </w:r>
      <w:r>
        <w:rPr>
          <w:rFonts w:ascii="宋体" w:hAnsi="宋体" w:eastAsia="宋体" w:cs="宋体"/>
          <w:spacing w:val="6"/>
          <w:sz w:val="24"/>
          <w:szCs w:val="24"/>
        </w:rPr>
        <w:t>件进行抽</w:t>
      </w:r>
      <w:r>
        <w:rPr>
          <w:rFonts w:ascii="宋体" w:hAnsi="宋体" w:eastAsia="宋体" w:cs="宋体"/>
          <w:spacing w:val="-1"/>
          <w:sz w:val="24"/>
          <w:szCs w:val="24"/>
        </w:rPr>
        <w:t>样性能检测，并做好明确的标识。</w:t>
      </w:r>
    </w:p>
    <w:p w14:paraId="67E83518">
      <w:pPr>
        <w:spacing w:before="179" w:line="294" w:lineRule="auto"/>
        <w:ind w:left="931" w:right="9" w:hanging="411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</w:rPr>
        <w:t>n</w:t>
      </w:r>
      <w:r>
        <w:rPr>
          <w:rFonts w:ascii="Wingdings" w:hAnsi="Wingdings" w:eastAsia="Wingdings" w:cs="Wingdings"/>
          <w:spacing w:val="-45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盘点结果，经盘点人、监督人、主管部门领导等相关人员，签字确认形</w:t>
      </w:r>
      <w:r>
        <w:rPr>
          <w:rFonts w:ascii="宋体" w:hAnsi="宋体" w:eastAsia="宋体" w:cs="宋体"/>
          <w:spacing w:val="-2"/>
          <w:sz w:val="24"/>
          <w:szCs w:val="24"/>
        </w:rPr>
        <w:t>成审核报告留存。</w:t>
      </w:r>
    </w:p>
    <w:p w14:paraId="5473A4EF">
      <w:pPr>
        <w:pStyle w:val="2"/>
        <w:spacing w:line="369" w:lineRule="auto"/>
      </w:pPr>
    </w:p>
    <w:p w14:paraId="6551E19C">
      <w:pPr>
        <w:spacing w:before="101" w:line="228" w:lineRule="auto"/>
        <w:ind w:left="29"/>
        <w:outlineLvl w:val="0"/>
        <w:rPr>
          <w:rFonts w:ascii="黑体" w:hAnsi="黑体" w:eastAsia="黑体" w:cs="黑体"/>
          <w:sz w:val="31"/>
          <w:szCs w:val="31"/>
        </w:rPr>
      </w:pPr>
      <w:bookmarkStart w:id="14" w:name="bookmark15"/>
      <w:bookmarkEnd w:id="14"/>
      <w:r>
        <w:rPr>
          <w:rFonts w:ascii="Calibri" w:hAnsi="Calibri" w:eastAsia="Calibri" w:cs="Calibri"/>
          <w:b/>
          <w:bCs/>
          <w:spacing w:val="2"/>
          <w:sz w:val="31"/>
          <w:szCs w:val="31"/>
        </w:rPr>
        <w:t>8</w:t>
      </w:r>
      <w:r>
        <w:rPr>
          <w:rFonts w:ascii="Calibri" w:hAnsi="Calibri" w:eastAsia="Calibri" w:cs="Calibri"/>
          <w:b/>
          <w:bCs/>
          <w:spacing w:val="24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31"/>
          <w:szCs w:val="31"/>
        </w:rPr>
        <w:t>备件销毁</w:t>
      </w:r>
    </w:p>
    <w:p w14:paraId="390DD882">
      <w:pPr>
        <w:pStyle w:val="2"/>
        <w:spacing w:line="371" w:lineRule="auto"/>
      </w:pPr>
    </w:p>
    <w:p w14:paraId="0EA6316C">
      <w:pPr>
        <w:spacing w:before="79" w:line="366" w:lineRule="auto"/>
        <w:ind w:left="38" w:right="165" w:firstLine="46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对于超过产品线生命周期，运维项目已无需求的备</w:t>
      </w:r>
      <w:r>
        <w:rPr>
          <w:rFonts w:ascii="宋体" w:hAnsi="宋体" w:eastAsia="宋体" w:cs="宋体"/>
          <w:spacing w:val="-1"/>
          <w:sz w:val="24"/>
          <w:szCs w:val="24"/>
        </w:rPr>
        <w:t>件，经运维部确认，公司领导审批，批准后进行销售或报废处置。</w:t>
      </w:r>
    </w:p>
    <w:p w14:paraId="4B6ECC2F">
      <w:pPr>
        <w:spacing w:before="277" w:line="226" w:lineRule="auto"/>
        <w:ind w:left="30"/>
        <w:outlineLvl w:val="0"/>
        <w:rPr>
          <w:rFonts w:ascii="黑体" w:hAnsi="黑体" w:eastAsia="黑体" w:cs="黑体"/>
          <w:sz w:val="31"/>
          <w:szCs w:val="31"/>
        </w:rPr>
      </w:pPr>
      <w:bookmarkStart w:id="15" w:name="bookmark16"/>
      <w:bookmarkEnd w:id="15"/>
      <w:r>
        <w:rPr>
          <w:rFonts w:ascii="Calibri" w:hAnsi="Calibri" w:eastAsia="Calibri" w:cs="Calibri"/>
          <w:b/>
          <w:bCs/>
          <w:spacing w:val="1"/>
          <w:sz w:val="31"/>
          <w:szCs w:val="31"/>
        </w:rPr>
        <w:t>9</w:t>
      </w:r>
      <w:r>
        <w:rPr>
          <w:rFonts w:ascii="Calibri" w:hAnsi="Calibri" w:eastAsia="Calibri" w:cs="Calibri"/>
          <w:b/>
          <w:bCs/>
          <w:spacing w:val="27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31"/>
          <w:szCs w:val="31"/>
        </w:rPr>
        <w:t>绩效评价</w:t>
      </w:r>
    </w:p>
    <w:p w14:paraId="065BF4EC">
      <w:pPr>
        <w:spacing w:before="79" w:line="321" w:lineRule="exact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position w:val="1"/>
          <w:sz w:val="24"/>
          <w:szCs w:val="24"/>
        </w:rPr>
        <w:t>n</w:t>
      </w:r>
      <w:r>
        <w:rPr>
          <w:rFonts w:ascii="Wingdings" w:hAnsi="Wingdings" w:eastAsia="Wingdings" w:cs="Wingdings"/>
          <w:spacing w:val="-46"/>
          <w:position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position w:val="1"/>
          <w:sz w:val="24"/>
          <w:szCs w:val="24"/>
        </w:rPr>
        <w:t>备件可用率。计算公式：领用备件现场可用数量</w:t>
      </w:r>
      <w:r>
        <w:rPr>
          <w:rFonts w:ascii="Calibri" w:hAnsi="Calibri" w:eastAsia="Calibri" w:cs="Calibri"/>
          <w:spacing w:val="-2"/>
          <w:position w:val="1"/>
          <w:sz w:val="24"/>
          <w:szCs w:val="24"/>
        </w:rPr>
        <w:t>/</w:t>
      </w:r>
      <w:r>
        <w:rPr>
          <w:rFonts w:ascii="Calibri" w:hAnsi="Calibri" w:eastAsia="Calibri" w:cs="Calibri"/>
          <w:spacing w:val="-23"/>
          <w:position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position w:val="1"/>
          <w:sz w:val="24"/>
          <w:szCs w:val="24"/>
        </w:rPr>
        <w:t>领用备件总数</w:t>
      </w:r>
      <w:r>
        <w:rPr>
          <w:rFonts w:ascii="Calibri" w:hAnsi="Calibri" w:eastAsia="Calibri" w:cs="Calibri"/>
          <w:spacing w:val="-3"/>
          <w:position w:val="1"/>
          <w:sz w:val="24"/>
          <w:szCs w:val="24"/>
        </w:rPr>
        <w:t>*100%</w:t>
      </w:r>
      <w:r>
        <w:rPr>
          <w:rFonts w:ascii="宋体" w:hAnsi="宋体" w:eastAsia="宋体" w:cs="宋体"/>
          <w:spacing w:val="-3"/>
          <w:position w:val="1"/>
          <w:sz w:val="24"/>
          <w:szCs w:val="24"/>
        </w:rPr>
        <w:t>。</w:t>
      </w:r>
    </w:p>
    <w:sectPr>
      <w:footerReference r:id="rId8" w:type="default"/>
      <w:pgSz w:w="11910" w:h="16840"/>
      <w:pgMar w:top="907" w:right="1784" w:bottom="1110" w:left="1779" w:header="0" w:footer="876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9EA965">
    <w:pPr>
      <w:spacing w:line="230" w:lineRule="auto"/>
      <w:ind w:left="420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9A1F75">
    <w:pPr>
      <w:spacing w:line="230" w:lineRule="auto"/>
      <w:ind w:left="421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C081C3">
    <w:pPr>
      <w:spacing w:line="229" w:lineRule="auto"/>
      <w:ind w:left="4291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0A5269">
    <w:pPr>
      <w:spacing w:line="229" w:lineRule="auto"/>
      <w:ind w:left="4196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8FF7D0"/>
    <w:multiLevelType w:val="singleLevel"/>
    <w:tmpl w:val="818FF7D0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CB40333"/>
    <w:rsid w:val="2BD271E2"/>
    <w:rsid w:val="51E07237"/>
    <w:rsid w:val="52304DEC"/>
    <w:rsid w:val="53212D8C"/>
    <w:rsid w:val="68EC165F"/>
    <w:rsid w:val="6A5418B8"/>
    <w:rsid w:val="6C9C4FB4"/>
    <w:rsid w:val="6FBF3DD4"/>
    <w:rsid w:val="78F817C4"/>
    <w:rsid w:val="7AC560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after="200"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2959</Words>
  <Characters>3101</Characters>
  <Lines>0</Lines>
  <Paragraphs>0</Paragraphs>
  <TotalTime>1</TotalTime>
  <ScaleCrop>false</ScaleCrop>
  <LinksUpToDate>false</LinksUpToDate>
  <CharactersWithSpaces>3256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2022-11-30T11:19:00Z</dcterms:created>
  <dc:creator>微软用户</dc:creator>
  <cp:lastModifiedBy>郝宇</cp:lastModifiedBy>
  <dcterms:modified xsi:type="dcterms:W3CDTF">2025-10-04T22:27:33Z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2025-09-29T03:01:50Z</vt:filetime>
  </property>
  <property fmtid="{D5CDD505-2E9C-101B-9397-08002B2CF9AE}" pid="3" name="CRO">
    <vt:lpwstr>wqlLaW5nc29mdCBQREYgdG8gV1BTIDExNQ</vt:lpwstr>
  </property>
  <property fmtid="{D5CDD505-2E9C-101B-9397-08002B2CF9AE}" pid="4" name="KSOTemplateDocerSaveRecord">
    <vt:lpwstr>eyJoZGlkIjoiMDY5NmFjMmM4ZTljMGJiZDAxN2JmYTc0NGI0NmFiNDgiLCJ1c2VySWQiOiIxMDc1MzgyOSJ9</vt:lpwstr>
  </property>
  <property fmtid="{D5CDD505-2E9C-101B-9397-08002B2CF9AE}" pid="5" name="KSOProductBuildVer">
    <vt:lpwstr>2052-12.1.0.23125</vt:lpwstr>
  </property>
  <property fmtid="{D5CDD505-2E9C-101B-9397-08002B2CF9AE}" pid="6" name="ICV">
    <vt:lpwstr>1871570941054D40B048A68858574A62_12</vt:lpwstr>
  </property>
</Properties>
</file>