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695B0">
      <w:pPr>
        <w:spacing w:line="422" w:lineRule="exact"/>
        <w:ind w:firstLine="3"/>
      </w:pPr>
      <w:r>
        <w:rPr>
          <w:position w:val="-8"/>
        </w:rPr>
        <w:drawing>
          <wp:inline distT="0" distB="0" distL="0" distR="0">
            <wp:extent cx="687070" cy="267970"/>
            <wp:effectExtent l="0" t="0" r="13970" b="635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687324" cy="268223"/>
                    </a:xfrm>
                    <a:prstGeom prst="rect">
                      <a:avLst/>
                    </a:prstGeom>
                  </pic:spPr>
                </pic:pic>
              </a:graphicData>
            </a:graphic>
          </wp:inline>
        </w:drawing>
      </w:r>
    </w:p>
    <w:p w14:paraId="357EA3DE">
      <w:pPr>
        <w:pStyle w:val="20"/>
        <w:spacing w:line="264" w:lineRule="auto"/>
      </w:pPr>
    </w:p>
    <w:p w14:paraId="2A91EF4F">
      <w:pPr>
        <w:pStyle w:val="20"/>
        <w:spacing w:line="264" w:lineRule="auto"/>
      </w:pPr>
    </w:p>
    <w:p w14:paraId="7274CA4D">
      <w:pPr>
        <w:pStyle w:val="20"/>
        <w:spacing w:line="264" w:lineRule="auto"/>
      </w:pPr>
    </w:p>
    <w:p w14:paraId="0E5D2FDA">
      <w:pPr>
        <w:pStyle w:val="20"/>
        <w:spacing w:line="264" w:lineRule="auto"/>
      </w:pPr>
    </w:p>
    <w:p w14:paraId="1CFF773A">
      <w:pPr>
        <w:pStyle w:val="20"/>
        <w:spacing w:line="264" w:lineRule="auto"/>
      </w:pPr>
    </w:p>
    <w:p w14:paraId="3185595E">
      <w:pPr>
        <w:spacing w:before="140" w:line="225" w:lineRule="auto"/>
        <w:ind w:left="1092"/>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C3B554E">
      <w:pPr>
        <w:pStyle w:val="20"/>
        <w:spacing w:line="315" w:lineRule="auto"/>
      </w:pPr>
    </w:p>
    <w:p w14:paraId="0644522B">
      <w:pPr>
        <w:pStyle w:val="20"/>
        <w:spacing w:line="315" w:lineRule="auto"/>
      </w:pPr>
    </w:p>
    <w:p w14:paraId="55F98791">
      <w:pPr>
        <w:spacing w:before="140" w:line="225" w:lineRule="auto"/>
        <w:ind w:left="2637"/>
        <w:rPr>
          <w:rFonts w:hint="default" w:ascii="黑体" w:hAnsi="黑体" w:eastAsia="黑体" w:cs="黑体"/>
          <w:sz w:val="43"/>
          <w:szCs w:val="43"/>
          <w:lang w:val="en-US" w:eastAsia="zh-CN"/>
        </w:rPr>
      </w:pPr>
      <w:r>
        <w:rPr>
          <w:rFonts w:hint="eastAsia" w:ascii="黑体" w:hAnsi="黑体" w:eastAsia="黑体" w:cs="黑体"/>
          <w:b/>
          <w:bCs/>
          <w:spacing w:val="4"/>
          <w:sz w:val="43"/>
          <w:szCs w:val="43"/>
          <w:lang w:val="en-US" w:eastAsia="zh-CN"/>
        </w:rPr>
        <w:t>备品备件应用情况说明</w:t>
      </w:r>
    </w:p>
    <w:p w14:paraId="7D3B999E">
      <w:pPr>
        <w:pStyle w:val="20"/>
        <w:spacing w:line="249" w:lineRule="auto"/>
      </w:pPr>
    </w:p>
    <w:p w14:paraId="2C1DDDB9">
      <w:pPr>
        <w:pStyle w:val="20"/>
        <w:spacing w:line="249" w:lineRule="auto"/>
      </w:pPr>
    </w:p>
    <w:p w14:paraId="6172E8A0">
      <w:pPr>
        <w:pStyle w:val="20"/>
        <w:spacing w:line="249" w:lineRule="auto"/>
      </w:pPr>
    </w:p>
    <w:p w14:paraId="7ECEB9B4">
      <w:pPr>
        <w:pStyle w:val="20"/>
        <w:spacing w:line="249" w:lineRule="auto"/>
      </w:pPr>
    </w:p>
    <w:p w14:paraId="3F6CB7F4">
      <w:pPr>
        <w:pStyle w:val="20"/>
        <w:spacing w:line="249" w:lineRule="auto"/>
      </w:pPr>
    </w:p>
    <w:p w14:paraId="53400ADC">
      <w:pPr>
        <w:pStyle w:val="20"/>
        <w:spacing w:line="249" w:lineRule="auto"/>
      </w:pPr>
    </w:p>
    <w:p w14:paraId="303E5FE7">
      <w:pPr>
        <w:pStyle w:val="20"/>
        <w:spacing w:line="249" w:lineRule="auto"/>
      </w:pPr>
    </w:p>
    <w:p w14:paraId="412B8A66">
      <w:pPr>
        <w:pStyle w:val="20"/>
        <w:spacing w:line="249" w:lineRule="auto"/>
      </w:pPr>
    </w:p>
    <w:p w14:paraId="7E099BF9">
      <w:pPr>
        <w:pStyle w:val="20"/>
        <w:spacing w:line="249" w:lineRule="auto"/>
      </w:pPr>
    </w:p>
    <w:p w14:paraId="21C9ED64">
      <w:pPr>
        <w:pStyle w:val="20"/>
        <w:spacing w:line="249" w:lineRule="auto"/>
      </w:pPr>
    </w:p>
    <w:p w14:paraId="5E580623">
      <w:pPr>
        <w:pStyle w:val="20"/>
        <w:spacing w:line="249" w:lineRule="auto"/>
      </w:pPr>
    </w:p>
    <w:p w14:paraId="086FBEEE">
      <w:pPr>
        <w:pStyle w:val="20"/>
        <w:spacing w:line="249" w:lineRule="auto"/>
      </w:pPr>
    </w:p>
    <w:p w14:paraId="7C502936">
      <w:pPr>
        <w:pStyle w:val="20"/>
        <w:spacing w:line="249" w:lineRule="auto"/>
      </w:pPr>
    </w:p>
    <w:p w14:paraId="4E58440E">
      <w:pPr>
        <w:pStyle w:val="20"/>
        <w:spacing w:line="249" w:lineRule="auto"/>
      </w:pPr>
    </w:p>
    <w:p w14:paraId="1BB2B224">
      <w:pPr>
        <w:pStyle w:val="20"/>
        <w:spacing w:line="249" w:lineRule="auto"/>
      </w:pPr>
    </w:p>
    <w:p w14:paraId="6996CBE3">
      <w:pPr>
        <w:spacing w:before="98" w:line="221" w:lineRule="auto"/>
        <w:ind w:left="2881"/>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市场商务部</w:t>
      </w:r>
    </w:p>
    <w:p w14:paraId="381D38E7">
      <w:pPr>
        <w:spacing w:before="269" w:line="221" w:lineRule="auto"/>
        <w:ind w:left="2871"/>
        <w:rPr>
          <w:rFonts w:ascii="黑体" w:hAnsi="黑体" w:eastAsia="黑体" w:cs="黑体"/>
          <w:sz w:val="30"/>
          <w:szCs w:val="30"/>
        </w:rPr>
      </w:pPr>
      <w:r>
        <w:rPr>
          <w:rFonts w:ascii="黑体" w:hAnsi="黑体" w:eastAsia="黑体" w:cs="黑体"/>
          <w:b/>
          <w:bCs/>
          <w:spacing w:val="-5"/>
          <w:sz w:val="30"/>
          <w:szCs w:val="30"/>
        </w:rPr>
        <w:t>编制时间：</w:t>
      </w:r>
      <w:r>
        <w:rPr>
          <w:rFonts w:ascii="黑体" w:hAnsi="黑体" w:eastAsia="黑体" w:cs="黑体"/>
          <w:spacing w:val="-5"/>
          <w:sz w:val="30"/>
          <w:szCs w:val="30"/>
        </w:rPr>
        <w:t xml:space="preserve"> </w:t>
      </w:r>
      <w:r>
        <w:rPr>
          <w:rFonts w:ascii="Calibri" w:hAnsi="Calibri" w:eastAsia="Calibri" w:cs="Calibri"/>
          <w:b/>
          <w:bCs/>
          <w:spacing w:val="-5"/>
          <w:sz w:val="30"/>
          <w:szCs w:val="30"/>
        </w:rPr>
        <w:t>202</w:t>
      </w:r>
      <w:r>
        <w:rPr>
          <w:rFonts w:hint="eastAsia" w:ascii="Calibri" w:hAnsi="Calibri" w:eastAsia="宋体" w:cs="Calibri"/>
          <w:b/>
          <w:bCs/>
          <w:spacing w:val="-5"/>
          <w:sz w:val="30"/>
          <w:szCs w:val="30"/>
          <w:lang w:val="en-US" w:eastAsia="zh-CN"/>
        </w:rPr>
        <w:t>5</w:t>
      </w:r>
      <w:r>
        <w:rPr>
          <w:rFonts w:ascii="黑体" w:hAnsi="黑体" w:eastAsia="黑体" w:cs="黑体"/>
          <w:b/>
          <w:bCs/>
          <w:spacing w:val="-5"/>
          <w:sz w:val="30"/>
          <w:szCs w:val="30"/>
        </w:rPr>
        <w:t>年</w:t>
      </w:r>
      <w:r>
        <w:rPr>
          <w:rFonts w:hint="eastAsia" w:ascii="Calibri" w:hAnsi="Calibri" w:cs="Calibri"/>
          <w:b/>
          <w:bCs/>
          <w:spacing w:val="-5"/>
          <w:sz w:val="30"/>
          <w:szCs w:val="30"/>
          <w:u w:val="none" w:color="auto"/>
          <w:lang w:val="en-US" w:eastAsia="zh-CN"/>
        </w:rPr>
        <w:t>9</w:t>
      </w:r>
      <w:r>
        <w:rPr>
          <w:rFonts w:ascii="黑体" w:hAnsi="黑体" w:eastAsia="黑体" w:cs="黑体"/>
          <w:b/>
          <w:bCs/>
          <w:spacing w:val="-5"/>
          <w:sz w:val="30"/>
          <w:szCs w:val="30"/>
        </w:rPr>
        <w:t>月</w:t>
      </w:r>
      <w:r>
        <w:rPr>
          <w:rFonts w:hint="eastAsia" w:ascii="Calibri" w:hAnsi="Calibri" w:eastAsia="宋体" w:cs="Calibri"/>
          <w:b/>
          <w:bCs/>
          <w:spacing w:val="-2"/>
          <w:sz w:val="30"/>
          <w:szCs w:val="30"/>
          <w:lang w:val="en-US" w:eastAsia="zh-CN"/>
        </w:rPr>
        <w:t>3</w:t>
      </w:r>
      <w:r>
        <w:rPr>
          <w:rFonts w:ascii="Calibri" w:hAnsi="Calibri" w:eastAsia="Calibri" w:cs="Calibri"/>
          <w:b/>
          <w:bCs/>
          <w:spacing w:val="-2"/>
          <w:sz w:val="30"/>
          <w:szCs w:val="30"/>
        </w:rPr>
        <w:t>0</w:t>
      </w:r>
      <w:r>
        <w:rPr>
          <w:rFonts w:ascii="黑体" w:hAnsi="黑体" w:eastAsia="黑体" w:cs="黑体"/>
          <w:b/>
          <w:bCs/>
          <w:spacing w:val="-5"/>
          <w:sz w:val="30"/>
          <w:szCs w:val="30"/>
        </w:rPr>
        <w:t>日</w:t>
      </w:r>
    </w:p>
    <w:p w14:paraId="2D4DD2EC">
      <w:pPr>
        <w:spacing w:before="269" w:line="222" w:lineRule="auto"/>
        <w:ind w:left="2876"/>
        <w:rPr>
          <w:rFonts w:hint="eastAsia" w:ascii="Calibri" w:hAnsi="Calibri" w:eastAsia="宋体" w:cs="Calibri"/>
          <w:sz w:val="30"/>
          <w:szCs w:val="30"/>
          <w:lang w:eastAsia="zh-CN"/>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CYYH-ITSS-12-0</w:t>
      </w:r>
      <w:r>
        <w:rPr>
          <w:rFonts w:hint="eastAsia" w:ascii="Calibri" w:hAnsi="Calibri" w:eastAsia="宋体" w:cs="Calibri"/>
          <w:b/>
          <w:bCs/>
          <w:spacing w:val="-2"/>
          <w:sz w:val="30"/>
          <w:szCs w:val="30"/>
          <w:lang w:val="en-US" w:eastAsia="zh-CN"/>
        </w:rPr>
        <w:t>3</w:t>
      </w:r>
    </w:p>
    <w:p w14:paraId="0509A615">
      <w:pPr>
        <w:spacing w:before="272" w:line="222" w:lineRule="auto"/>
        <w:ind w:left="2877"/>
        <w:rPr>
          <w:rFonts w:ascii="黑体" w:hAnsi="黑体" w:eastAsia="黑体" w:cs="黑体"/>
          <w:sz w:val="30"/>
          <w:szCs w:val="30"/>
        </w:rPr>
      </w:pPr>
      <w:r>
        <w:rPr>
          <w:rFonts w:ascii="黑体" w:hAnsi="黑体" w:eastAsia="黑体" w:cs="黑体"/>
          <w:b/>
          <w:bCs/>
          <w:spacing w:val="-3"/>
          <w:sz w:val="30"/>
          <w:szCs w:val="30"/>
        </w:rPr>
        <w:t>文件起草人：张延山</w:t>
      </w:r>
    </w:p>
    <w:p w14:paraId="4EE2C775">
      <w:pPr>
        <w:spacing w:before="268" w:line="222" w:lineRule="auto"/>
        <w:ind w:left="2877"/>
        <w:rPr>
          <w:rFonts w:ascii="黑体" w:hAnsi="黑体" w:eastAsia="黑体" w:cs="黑体"/>
          <w:sz w:val="30"/>
          <w:szCs w:val="30"/>
        </w:rPr>
      </w:pPr>
      <w:r>
        <w:rPr>
          <w:rFonts w:ascii="黑体" w:hAnsi="黑体" w:eastAsia="黑体" w:cs="黑体"/>
          <w:b/>
          <w:bCs/>
          <w:spacing w:val="-3"/>
          <w:sz w:val="30"/>
          <w:szCs w:val="30"/>
        </w:rPr>
        <w:t>文件审核人：姜晓建</w:t>
      </w:r>
    </w:p>
    <w:p w14:paraId="79F4D02C">
      <w:pPr>
        <w:spacing w:before="269" w:line="221" w:lineRule="auto"/>
        <w:ind w:left="2877"/>
        <w:rPr>
          <w:rFonts w:ascii="黑体" w:hAnsi="黑体" w:eastAsia="黑体" w:cs="黑体"/>
          <w:sz w:val="30"/>
          <w:szCs w:val="30"/>
        </w:rPr>
      </w:pPr>
      <w:r>
        <w:rPr>
          <w:rFonts w:ascii="黑体" w:hAnsi="黑体" w:eastAsia="黑体" w:cs="黑体"/>
          <w:b/>
          <w:bCs/>
          <w:spacing w:val="-4"/>
          <w:sz w:val="30"/>
          <w:szCs w:val="30"/>
        </w:rPr>
        <w:t>文件审批人：谢晓彤</w:t>
      </w:r>
    </w:p>
    <w:p w14:paraId="39E72211">
      <w:pPr>
        <w:spacing w:before="274" w:line="221" w:lineRule="auto"/>
        <w:ind w:left="2871"/>
        <w:rPr>
          <w:rFonts w:ascii="黑体" w:hAnsi="黑体" w:eastAsia="黑体" w:cs="黑体"/>
          <w:sz w:val="30"/>
          <w:szCs w:val="30"/>
        </w:rPr>
      </w:pPr>
      <w:r>
        <w:rPr>
          <w:rFonts w:ascii="黑体" w:hAnsi="黑体" w:eastAsia="黑体" w:cs="黑体"/>
          <w:b/>
          <w:bCs/>
          <w:spacing w:val="-5"/>
          <w:sz w:val="30"/>
          <w:szCs w:val="30"/>
        </w:rPr>
        <w:t>生效时间：</w:t>
      </w:r>
      <w:r>
        <w:rPr>
          <w:rFonts w:ascii="Calibri" w:hAnsi="Calibri" w:eastAsia="Calibri" w:cs="Calibri"/>
          <w:b/>
          <w:bCs/>
          <w:spacing w:val="14"/>
          <w:sz w:val="30"/>
          <w:szCs w:val="30"/>
          <w:u w:val="single" w:color="auto"/>
        </w:rPr>
        <w:t xml:space="preserve">  </w:t>
      </w:r>
      <w:r>
        <w:rPr>
          <w:rFonts w:ascii="Calibri" w:hAnsi="Calibri" w:eastAsia="Calibri" w:cs="Calibri"/>
          <w:b/>
          <w:bCs/>
          <w:spacing w:val="-5"/>
          <w:sz w:val="30"/>
          <w:szCs w:val="30"/>
          <w:u w:val="single" w:color="auto"/>
        </w:rPr>
        <w:t>202</w:t>
      </w:r>
      <w:r>
        <w:rPr>
          <w:rFonts w:hint="eastAsia" w:ascii="Calibri" w:hAnsi="Calibri" w:eastAsia="宋体" w:cs="Calibri"/>
          <w:b/>
          <w:bCs/>
          <w:spacing w:val="-5"/>
          <w:sz w:val="30"/>
          <w:szCs w:val="30"/>
          <w:u w:val="single" w:color="auto"/>
          <w:lang w:val="en-US" w:eastAsia="zh-CN"/>
        </w:rPr>
        <w:t>5</w:t>
      </w:r>
      <w:r>
        <w:rPr>
          <w:rFonts w:ascii="Calibri" w:hAnsi="Calibri" w:eastAsia="Calibri" w:cs="Calibri"/>
          <w:b/>
          <w:bCs/>
          <w:spacing w:val="-5"/>
          <w:sz w:val="30"/>
          <w:szCs w:val="30"/>
          <w:u w:val="single" w:color="auto"/>
        </w:rPr>
        <w:t xml:space="preserve"> </w:t>
      </w:r>
      <w:r>
        <w:rPr>
          <w:rFonts w:ascii="黑体" w:hAnsi="黑体" w:eastAsia="黑体" w:cs="黑体"/>
          <w:b/>
          <w:bCs/>
          <w:spacing w:val="-5"/>
          <w:sz w:val="30"/>
          <w:szCs w:val="30"/>
        </w:rPr>
        <w:t>年</w:t>
      </w:r>
      <w:r>
        <w:rPr>
          <w:rFonts w:ascii="Calibri" w:hAnsi="Calibri" w:eastAsia="Calibri" w:cs="Calibri"/>
          <w:b/>
          <w:bCs/>
          <w:spacing w:val="19"/>
          <w:w w:val="101"/>
          <w:sz w:val="30"/>
          <w:szCs w:val="30"/>
          <w:u w:val="single" w:color="auto"/>
        </w:rPr>
        <w:t xml:space="preserve">  </w:t>
      </w:r>
      <w:r>
        <w:rPr>
          <w:rFonts w:hint="eastAsia" w:ascii="Calibri" w:hAnsi="Calibri" w:eastAsia="宋体" w:cs="Calibri"/>
          <w:b/>
          <w:bCs/>
          <w:spacing w:val="-5"/>
          <w:sz w:val="30"/>
          <w:szCs w:val="30"/>
          <w:u w:val="single" w:color="auto"/>
          <w:lang w:val="en-US" w:eastAsia="zh-CN"/>
        </w:rPr>
        <w:t>9</w:t>
      </w:r>
      <w:r>
        <w:rPr>
          <w:rFonts w:ascii="黑体" w:hAnsi="黑体" w:eastAsia="黑体" w:cs="黑体"/>
          <w:b/>
          <w:bCs/>
          <w:spacing w:val="-5"/>
          <w:sz w:val="30"/>
          <w:szCs w:val="30"/>
        </w:rPr>
        <w:t>月</w:t>
      </w:r>
      <w:r>
        <w:rPr>
          <w:rFonts w:ascii="Calibri" w:hAnsi="Calibri" w:eastAsia="Calibri" w:cs="Calibri"/>
          <w:b/>
          <w:bCs/>
          <w:spacing w:val="12"/>
          <w:sz w:val="30"/>
          <w:szCs w:val="30"/>
          <w:u w:val="single" w:color="auto"/>
        </w:rPr>
        <w:t xml:space="preserve">  </w:t>
      </w:r>
      <w:r>
        <w:rPr>
          <w:rFonts w:hint="eastAsia" w:ascii="Calibri" w:hAnsi="Calibri" w:eastAsia="宋体" w:cs="Calibri"/>
          <w:b/>
          <w:bCs/>
          <w:spacing w:val="-5"/>
          <w:sz w:val="30"/>
          <w:szCs w:val="30"/>
          <w:u w:val="single" w:color="auto"/>
          <w:lang w:val="en-US" w:eastAsia="zh-CN"/>
        </w:rPr>
        <w:t>30</w:t>
      </w:r>
      <w:r>
        <w:rPr>
          <w:rFonts w:ascii="Calibri" w:hAnsi="Calibri" w:eastAsia="Calibri" w:cs="Calibri"/>
          <w:b/>
          <w:bCs/>
          <w:spacing w:val="-5"/>
          <w:sz w:val="30"/>
          <w:szCs w:val="30"/>
          <w:u w:val="single" w:color="auto"/>
        </w:rPr>
        <w:t xml:space="preserve"> </w:t>
      </w:r>
      <w:r>
        <w:rPr>
          <w:rFonts w:ascii="Calibri" w:hAnsi="Calibri" w:eastAsia="Calibri" w:cs="Calibri"/>
          <w:b/>
          <w:bCs/>
          <w:spacing w:val="-5"/>
          <w:sz w:val="30"/>
          <w:szCs w:val="30"/>
        </w:rPr>
        <w:t xml:space="preserve"> </w:t>
      </w:r>
      <w:r>
        <w:rPr>
          <w:rFonts w:ascii="黑体" w:hAnsi="黑体" w:eastAsia="黑体" w:cs="黑体"/>
          <w:b/>
          <w:bCs/>
          <w:spacing w:val="-5"/>
          <w:sz w:val="30"/>
          <w:szCs w:val="30"/>
        </w:rPr>
        <w:t>日</w:t>
      </w:r>
    </w:p>
    <w:p w14:paraId="0EA914BC">
      <w:pPr>
        <w:spacing w:line="221" w:lineRule="auto"/>
        <w:rPr>
          <w:rFonts w:ascii="黑体" w:hAnsi="黑体" w:eastAsia="黑体" w:cs="黑体"/>
          <w:sz w:val="30"/>
          <w:szCs w:val="30"/>
        </w:rPr>
        <w:sectPr>
          <w:footerReference r:id="rId5" w:type="default"/>
          <w:pgSz w:w="11910" w:h="16840"/>
          <w:pgMar w:top="888" w:right="1786" w:bottom="1081" w:left="1786" w:header="0" w:footer="846" w:gutter="0"/>
          <w:cols w:space="720" w:num="1"/>
        </w:sectPr>
      </w:pPr>
    </w:p>
    <w:p w14:paraId="33F4E675">
      <w:pPr>
        <w:spacing w:line="422" w:lineRule="exact"/>
        <w:ind w:firstLine="32"/>
      </w:pPr>
      <w:r>
        <w:rPr>
          <w:position w:val="-8"/>
        </w:rPr>
        <w:drawing>
          <wp:inline distT="0" distB="0" distL="0" distR="0">
            <wp:extent cx="687070" cy="267970"/>
            <wp:effectExtent l="0" t="0" r="13970" b="635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687324" cy="268223"/>
                    </a:xfrm>
                    <a:prstGeom prst="rect">
                      <a:avLst/>
                    </a:prstGeom>
                  </pic:spPr>
                </pic:pic>
              </a:graphicData>
            </a:graphic>
          </wp:inline>
        </w:drawing>
      </w:r>
    </w:p>
    <w:p w14:paraId="3CDC01D8">
      <w:pPr>
        <w:spacing w:before="287" w:line="222" w:lineRule="auto"/>
        <w:ind w:left="3369"/>
        <w:rPr>
          <w:rFonts w:ascii="黑体" w:hAnsi="黑体" w:eastAsia="黑体" w:cs="黑体"/>
          <w:sz w:val="30"/>
          <w:szCs w:val="30"/>
        </w:rPr>
      </w:pPr>
      <w:r>
        <w:rPr>
          <w:rFonts w:ascii="黑体" w:hAnsi="黑体" w:eastAsia="黑体" w:cs="黑体"/>
          <w:b/>
          <w:bCs/>
          <w:spacing w:val="-5"/>
          <w:sz w:val="30"/>
          <w:szCs w:val="30"/>
        </w:rPr>
        <w:t>文件修改记录</w:t>
      </w:r>
    </w:p>
    <w:p w14:paraId="65A5602F">
      <w:pPr>
        <w:spacing w:before="18"/>
      </w:pPr>
    </w:p>
    <w:tbl>
      <w:tblPr>
        <w:tblStyle w:val="83"/>
        <w:tblW w:w="850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5640D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8FB2FBD">
            <w:pPr>
              <w:spacing w:before="178" w:line="222" w:lineRule="auto"/>
              <w:ind w:left="228"/>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7BD00AD6">
            <w:pPr>
              <w:spacing w:before="178" w:line="222" w:lineRule="auto"/>
              <w:ind w:left="367"/>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2F318449">
            <w:pPr>
              <w:spacing w:before="178" w:line="222" w:lineRule="auto"/>
              <w:ind w:left="432"/>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4F5839BF">
            <w:pPr>
              <w:spacing w:before="177" w:line="223" w:lineRule="auto"/>
              <w:ind w:left="442"/>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796BD5B2">
            <w:pPr>
              <w:spacing w:before="177" w:line="222" w:lineRule="auto"/>
              <w:ind w:left="331"/>
              <w:rPr>
                <w:rFonts w:ascii="黑体" w:hAnsi="黑体" w:eastAsia="黑体" w:cs="黑体"/>
                <w:sz w:val="28"/>
                <w:szCs w:val="28"/>
              </w:rPr>
            </w:pPr>
            <w:r>
              <w:rPr>
                <w:rFonts w:ascii="黑体" w:hAnsi="黑体" w:eastAsia="黑体" w:cs="黑体"/>
                <w:spacing w:val="-2"/>
                <w:sz w:val="28"/>
                <w:szCs w:val="28"/>
              </w:rPr>
              <w:t>生效日期</w:t>
            </w:r>
          </w:p>
        </w:tc>
      </w:tr>
      <w:tr w14:paraId="1AE8B1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23A78D1F">
            <w:pPr>
              <w:spacing w:before="176" w:line="241" w:lineRule="auto"/>
              <w:ind w:left="310"/>
              <w:rPr>
                <w:rFonts w:ascii="黑体" w:hAnsi="黑体" w:eastAsia="黑体" w:cs="黑体"/>
                <w:sz w:val="28"/>
                <w:szCs w:val="28"/>
              </w:rPr>
            </w:pPr>
            <w:r>
              <w:rPr>
                <w:rFonts w:ascii="黑体" w:hAnsi="黑体" w:eastAsia="黑体" w:cs="黑体"/>
                <w:spacing w:val="-1"/>
                <w:sz w:val="28"/>
                <w:szCs w:val="28"/>
              </w:rPr>
              <w:t>V1.0</w:t>
            </w:r>
          </w:p>
        </w:tc>
        <w:tc>
          <w:tcPr>
            <w:tcW w:w="1843" w:type="dxa"/>
          </w:tcPr>
          <w:p w14:paraId="0AFE4720">
            <w:pPr>
              <w:spacing w:before="175" w:line="224" w:lineRule="auto"/>
              <w:ind w:left="469" w:right="11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788C0DC5">
            <w:pPr>
              <w:spacing w:before="176" w:line="223" w:lineRule="auto"/>
              <w:ind w:left="244"/>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6050870C">
            <w:pPr>
              <w:spacing w:before="177" w:line="222" w:lineRule="auto"/>
              <w:ind w:left="241"/>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185C9DD8">
            <w:pPr>
              <w:spacing w:before="176" w:line="241" w:lineRule="auto"/>
              <w:ind w:left="93"/>
              <w:rPr>
                <w:rFonts w:hint="default" w:ascii="黑体" w:hAnsi="黑体" w:eastAsia="黑体" w:cs="黑体"/>
                <w:sz w:val="28"/>
                <w:szCs w:val="28"/>
                <w:lang w:val="en-US" w:eastAsia="zh-CN"/>
              </w:rPr>
            </w:pPr>
            <w:r>
              <w:rPr>
                <w:rFonts w:ascii="黑体" w:hAnsi="黑体" w:eastAsia="黑体" w:cs="黑体"/>
                <w:spacing w:val="-1"/>
                <w:sz w:val="28"/>
                <w:szCs w:val="28"/>
              </w:rPr>
              <w:t>202</w:t>
            </w:r>
            <w:r>
              <w:rPr>
                <w:rFonts w:hint="eastAsia" w:ascii="黑体" w:hAnsi="黑体" w:eastAsia="黑体" w:cs="黑体"/>
                <w:spacing w:val="-1"/>
                <w:sz w:val="28"/>
                <w:szCs w:val="28"/>
                <w:lang w:val="en-US" w:eastAsia="zh-CN"/>
              </w:rPr>
              <w:t>5</w:t>
            </w:r>
            <w:r>
              <w:rPr>
                <w:rFonts w:ascii="黑体" w:hAnsi="黑体" w:eastAsia="黑体" w:cs="黑体"/>
                <w:spacing w:val="-1"/>
                <w:sz w:val="28"/>
                <w:szCs w:val="28"/>
              </w:rPr>
              <w:t>.</w:t>
            </w:r>
            <w:r>
              <w:rPr>
                <w:rFonts w:hint="eastAsia" w:ascii="黑体" w:hAnsi="黑体" w:eastAsia="黑体" w:cs="黑体"/>
                <w:spacing w:val="-1"/>
                <w:sz w:val="28"/>
                <w:szCs w:val="28"/>
                <w:lang w:val="en-US" w:eastAsia="zh-CN"/>
              </w:rPr>
              <w:t>9</w:t>
            </w:r>
            <w:r>
              <w:rPr>
                <w:rFonts w:ascii="黑体" w:hAnsi="黑体" w:eastAsia="黑体" w:cs="黑体"/>
                <w:spacing w:val="-1"/>
                <w:sz w:val="28"/>
                <w:szCs w:val="28"/>
              </w:rPr>
              <w:t>.</w:t>
            </w:r>
            <w:r>
              <w:rPr>
                <w:rFonts w:hint="eastAsia" w:ascii="黑体" w:hAnsi="黑体" w:eastAsia="黑体" w:cs="黑体"/>
                <w:spacing w:val="-1"/>
                <w:sz w:val="28"/>
                <w:szCs w:val="28"/>
                <w:lang w:val="en-US" w:eastAsia="zh-CN"/>
              </w:rPr>
              <w:t>30</w:t>
            </w:r>
          </w:p>
        </w:tc>
      </w:tr>
      <w:tr w14:paraId="1A949E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FF016FC">
            <w:pPr>
              <w:pStyle w:val="76"/>
            </w:pPr>
          </w:p>
        </w:tc>
        <w:tc>
          <w:tcPr>
            <w:tcW w:w="1843" w:type="dxa"/>
          </w:tcPr>
          <w:p w14:paraId="0DE29CC2">
            <w:pPr>
              <w:pStyle w:val="76"/>
            </w:pPr>
          </w:p>
        </w:tc>
        <w:tc>
          <w:tcPr>
            <w:tcW w:w="1693" w:type="dxa"/>
          </w:tcPr>
          <w:p w14:paraId="51C0F057">
            <w:pPr>
              <w:pStyle w:val="76"/>
            </w:pPr>
          </w:p>
        </w:tc>
        <w:tc>
          <w:tcPr>
            <w:tcW w:w="1693" w:type="dxa"/>
          </w:tcPr>
          <w:p w14:paraId="5C55CA23">
            <w:pPr>
              <w:pStyle w:val="76"/>
            </w:pPr>
          </w:p>
        </w:tc>
        <w:tc>
          <w:tcPr>
            <w:tcW w:w="1697" w:type="dxa"/>
          </w:tcPr>
          <w:p w14:paraId="47B2AE1B">
            <w:pPr>
              <w:pStyle w:val="76"/>
            </w:pPr>
          </w:p>
        </w:tc>
      </w:tr>
      <w:tr w14:paraId="0291A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77D25C8B">
            <w:pPr>
              <w:pStyle w:val="76"/>
            </w:pPr>
          </w:p>
        </w:tc>
        <w:tc>
          <w:tcPr>
            <w:tcW w:w="1843" w:type="dxa"/>
          </w:tcPr>
          <w:p w14:paraId="24E97C10">
            <w:pPr>
              <w:pStyle w:val="76"/>
            </w:pPr>
          </w:p>
        </w:tc>
        <w:tc>
          <w:tcPr>
            <w:tcW w:w="1693" w:type="dxa"/>
          </w:tcPr>
          <w:p w14:paraId="370B96B0">
            <w:pPr>
              <w:pStyle w:val="76"/>
            </w:pPr>
          </w:p>
        </w:tc>
        <w:tc>
          <w:tcPr>
            <w:tcW w:w="1693" w:type="dxa"/>
          </w:tcPr>
          <w:p w14:paraId="002990AA">
            <w:pPr>
              <w:pStyle w:val="76"/>
            </w:pPr>
          </w:p>
        </w:tc>
        <w:tc>
          <w:tcPr>
            <w:tcW w:w="1697" w:type="dxa"/>
          </w:tcPr>
          <w:p w14:paraId="41801BBC">
            <w:pPr>
              <w:pStyle w:val="76"/>
            </w:pPr>
          </w:p>
        </w:tc>
      </w:tr>
      <w:tr w14:paraId="6368F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426A34D9">
            <w:pPr>
              <w:pStyle w:val="76"/>
            </w:pPr>
          </w:p>
        </w:tc>
        <w:tc>
          <w:tcPr>
            <w:tcW w:w="1843" w:type="dxa"/>
          </w:tcPr>
          <w:p w14:paraId="55D0B690">
            <w:pPr>
              <w:pStyle w:val="76"/>
            </w:pPr>
          </w:p>
        </w:tc>
        <w:tc>
          <w:tcPr>
            <w:tcW w:w="1693" w:type="dxa"/>
          </w:tcPr>
          <w:p w14:paraId="7A89D11A">
            <w:pPr>
              <w:pStyle w:val="76"/>
            </w:pPr>
          </w:p>
        </w:tc>
        <w:tc>
          <w:tcPr>
            <w:tcW w:w="1693" w:type="dxa"/>
          </w:tcPr>
          <w:p w14:paraId="7F86A840">
            <w:pPr>
              <w:pStyle w:val="76"/>
            </w:pPr>
          </w:p>
        </w:tc>
        <w:tc>
          <w:tcPr>
            <w:tcW w:w="1697" w:type="dxa"/>
          </w:tcPr>
          <w:p w14:paraId="58480A38">
            <w:pPr>
              <w:pStyle w:val="76"/>
            </w:pPr>
          </w:p>
        </w:tc>
      </w:tr>
      <w:tr w14:paraId="64345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A277C78">
            <w:pPr>
              <w:pStyle w:val="76"/>
            </w:pPr>
          </w:p>
        </w:tc>
        <w:tc>
          <w:tcPr>
            <w:tcW w:w="1843" w:type="dxa"/>
          </w:tcPr>
          <w:p w14:paraId="755BFB2C">
            <w:pPr>
              <w:pStyle w:val="76"/>
            </w:pPr>
          </w:p>
        </w:tc>
        <w:tc>
          <w:tcPr>
            <w:tcW w:w="1693" w:type="dxa"/>
          </w:tcPr>
          <w:p w14:paraId="474412D9">
            <w:pPr>
              <w:pStyle w:val="76"/>
            </w:pPr>
          </w:p>
        </w:tc>
        <w:tc>
          <w:tcPr>
            <w:tcW w:w="1693" w:type="dxa"/>
          </w:tcPr>
          <w:p w14:paraId="27AE01E6">
            <w:pPr>
              <w:pStyle w:val="76"/>
            </w:pPr>
          </w:p>
        </w:tc>
        <w:tc>
          <w:tcPr>
            <w:tcW w:w="1697" w:type="dxa"/>
          </w:tcPr>
          <w:p w14:paraId="09B02B3A">
            <w:pPr>
              <w:pStyle w:val="76"/>
            </w:pPr>
          </w:p>
        </w:tc>
      </w:tr>
      <w:tr w14:paraId="1A26F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B95BDEE">
            <w:pPr>
              <w:pStyle w:val="76"/>
            </w:pPr>
          </w:p>
        </w:tc>
        <w:tc>
          <w:tcPr>
            <w:tcW w:w="1843" w:type="dxa"/>
          </w:tcPr>
          <w:p w14:paraId="5609B36A">
            <w:pPr>
              <w:pStyle w:val="76"/>
            </w:pPr>
          </w:p>
        </w:tc>
        <w:tc>
          <w:tcPr>
            <w:tcW w:w="1693" w:type="dxa"/>
          </w:tcPr>
          <w:p w14:paraId="0A2A9DC4">
            <w:pPr>
              <w:pStyle w:val="76"/>
            </w:pPr>
          </w:p>
        </w:tc>
        <w:tc>
          <w:tcPr>
            <w:tcW w:w="1693" w:type="dxa"/>
          </w:tcPr>
          <w:p w14:paraId="2C809BD7">
            <w:pPr>
              <w:pStyle w:val="76"/>
            </w:pPr>
          </w:p>
        </w:tc>
        <w:tc>
          <w:tcPr>
            <w:tcW w:w="1697" w:type="dxa"/>
          </w:tcPr>
          <w:p w14:paraId="4FC03569">
            <w:pPr>
              <w:pStyle w:val="76"/>
            </w:pPr>
          </w:p>
        </w:tc>
      </w:tr>
      <w:tr w14:paraId="4F7F3E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49F6A12B">
            <w:pPr>
              <w:pStyle w:val="76"/>
            </w:pPr>
          </w:p>
        </w:tc>
        <w:tc>
          <w:tcPr>
            <w:tcW w:w="1843" w:type="dxa"/>
          </w:tcPr>
          <w:p w14:paraId="1E56939F">
            <w:pPr>
              <w:pStyle w:val="76"/>
            </w:pPr>
          </w:p>
        </w:tc>
        <w:tc>
          <w:tcPr>
            <w:tcW w:w="1693" w:type="dxa"/>
          </w:tcPr>
          <w:p w14:paraId="11E82812">
            <w:pPr>
              <w:pStyle w:val="76"/>
            </w:pPr>
          </w:p>
        </w:tc>
        <w:tc>
          <w:tcPr>
            <w:tcW w:w="1693" w:type="dxa"/>
          </w:tcPr>
          <w:p w14:paraId="030DB016">
            <w:pPr>
              <w:pStyle w:val="76"/>
            </w:pPr>
          </w:p>
        </w:tc>
        <w:tc>
          <w:tcPr>
            <w:tcW w:w="1697" w:type="dxa"/>
          </w:tcPr>
          <w:p w14:paraId="3F34BF66">
            <w:pPr>
              <w:pStyle w:val="76"/>
            </w:pPr>
          </w:p>
        </w:tc>
      </w:tr>
      <w:tr w14:paraId="0E90FA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4522C667">
            <w:pPr>
              <w:pStyle w:val="76"/>
            </w:pPr>
          </w:p>
        </w:tc>
        <w:tc>
          <w:tcPr>
            <w:tcW w:w="1843" w:type="dxa"/>
          </w:tcPr>
          <w:p w14:paraId="5727E414">
            <w:pPr>
              <w:pStyle w:val="76"/>
            </w:pPr>
          </w:p>
        </w:tc>
        <w:tc>
          <w:tcPr>
            <w:tcW w:w="1693" w:type="dxa"/>
          </w:tcPr>
          <w:p w14:paraId="5ABC64A2">
            <w:pPr>
              <w:pStyle w:val="76"/>
            </w:pPr>
          </w:p>
        </w:tc>
        <w:tc>
          <w:tcPr>
            <w:tcW w:w="1693" w:type="dxa"/>
          </w:tcPr>
          <w:p w14:paraId="2D176296">
            <w:pPr>
              <w:pStyle w:val="76"/>
            </w:pPr>
          </w:p>
        </w:tc>
        <w:tc>
          <w:tcPr>
            <w:tcW w:w="1697" w:type="dxa"/>
          </w:tcPr>
          <w:p w14:paraId="236578DD">
            <w:pPr>
              <w:pStyle w:val="76"/>
            </w:pPr>
          </w:p>
        </w:tc>
      </w:tr>
      <w:tr w14:paraId="070258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5B80174E">
            <w:pPr>
              <w:pStyle w:val="76"/>
            </w:pPr>
          </w:p>
        </w:tc>
        <w:tc>
          <w:tcPr>
            <w:tcW w:w="1843" w:type="dxa"/>
          </w:tcPr>
          <w:p w14:paraId="5EBE40E8">
            <w:pPr>
              <w:pStyle w:val="76"/>
            </w:pPr>
          </w:p>
        </w:tc>
        <w:tc>
          <w:tcPr>
            <w:tcW w:w="1693" w:type="dxa"/>
          </w:tcPr>
          <w:p w14:paraId="7DEA7A43">
            <w:pPr>
              <w:pStyle w:val="76"/>
            </w:pPr>
          </w:p>
        </w:tc>
        <w:tc>
          <w:tcPr>
            <w:tcW w:w="1693" w:type="dxa"/>
          </w:tcPr>
          <w:p w14:paraId="031101C4">
            <w:pPr>
              <w:pStyle w:val="76"/>
            </w:pPr>
          </w:p>
        </w:tc>
        <w:tc>
          <w:tcPr>
            <w:tcW w:w="1697" w:type="dxa"/>
          </w:tcPr>
          <w:p w14:paraId="5B98EA30">
            <w:pPr>
              <w:pStyle w:val="76"/>
            </w:pPr>
          </w:p>
        </w:tc>
      </w:tr>
    </w:tbl>
    <w:p w14:paraId="78A6EE36">
      <w:pPr>
        <w:rPr>
          <w:rFonts w:hint="eastAsia" w:ascii="Calibri" w:hAnsi="Calibri" w:eastAsia="宋体" w:cs="Times New Roman"/>
          <w:b/>
          <w:bCs w:val="0"/>
          <w:caps/>
          <w:kern w:val="2"/>
          <w:sz w:val="36"/>
          <w:szCs w:val="36"/>
          <w:lang w:val="en-US" w:eastAsia="zh-CN" w:bidi="ar-SA"/>
        </w:rPr>
      </w:pPr>
      <w:r>
        <w:rPr>
          <w:rFonts w:hint="eastAsia" w:ascii="Calibri" w:hAnsi="Calibri" w:eastAsia="宋体" w:cs="Times New Roman"/>
          <w:b/>
          <w:bCs w:val="0"/>
          <w:caps/>
          <w:kern w:val="2"/>
          <w:sz w:val="36"/>
          <w:szCs w:val="36"/>
          <w:lang w:val="en-US" w:eastAsia="zh-CN" w:bidi="ar-SA"/>
        </w:rPr>
        <w:br w:type="page"/>
      </w:r>
    </w:p>
    <w:p w14:paraId="6E328C8D">
      <w:pPr>
        <w:widowControl w:val="0"/>
        <w:spacing w:before="156" w:beforeLines="50" w:after="156" w:afterLines="50"/>
        <w:jc w:val="center"/>
        <w:rPr>
          <w:rFonts w:ascii="Calibri" w:hAnsi="Calibri" w:eastAsia="宋体" w:cs="Times New Roman"/>
          <w:b/>
          <w:bCs/>
          <w:caps/>
          <w:kern w:val="2"/>
          <w:sz w:val="28"/>
          <w:szCs w:val="24"/>
          <w:lang w:val="en-US" w:eastAsia="zh-CN" w:bidi="ar-SA"/>
        </w:rPr>
      </w:pPr>
      <w:r>
        <w:rPr>
          <w:rFonts w:hint="eastAsia" w:ascii="Calibri" w:hAnsi="Calibri" w:eastAsia="宋体" w:cs="Times New Roman"/>
          <w:b/>
          <w:bCs w:val="0"/>
          <w:caps/>
          <w:kern w:val="2"/>
          <w:sz w:val="36"/>
          <w:szCs w:val="36"/>
          <w:lang w:val="en-US" w:eastAsia="zh-CN" w:bidi="ar-SA"/>
        </w:rPr>
        <w:t>目  录</w:t>
      </w:r>
    </w:p>
    <w:p w14:paraId="3CE570B6">
      <w:pPr>
        <w:pStyle w:val="31"/>
        <w:tabs>
          <w:tab w:val="right" w:leader="dot" w:pos="8306"/>
        </w:tabs>
      </w:pPr>
      <w:r>
        <w:rPr>
          <w:rFonts w:hint="eastAsia" w:ascii="宋体" w:hAnsi="宋体" w:eastAsia="宋体" w:cs="宋体"/>
          <w:b w:val="0"/>
          <w:bCs/>
          <w:caps w:val="0"/>
          <w:kern w:val="2"/>
          <w:sz w:val="24"/>
          <w:szCs w:val="24"/>
          <w:lang w:val="en-US" w:eastAsia="zh-CN" w:bidi="ar-SA"/>
        </w:rPr>
        <w:fldChar w:fldCharType="begin"/>
      </w:r>
      <w:r>
        <w:rPr>
          <w:rFonts w:hint="eastAsia" w:ascii="宋体" w:hAnsi="宋体" w:eastAsia="宋体" w:cs="宋体"/>
          <w:b w:val="0"/>
          <w:bCs/>
          <w:caps w:val="0"/>
          <w:kern w:val="2"/>
          <w:sz w:val="24"/>
          <w:szCs w:val="24"/>
          <w:lang w:val="en-US" w:eastAsia="zh-CN" w:bidi="ar-SA"/>
        </w:rPr>
        <w:instrText xml:space="preserve"> TOC \o "1-3" \h \z \u </w:instrText>
      </w:r>
      <w:r>
        <w:rPr>
          <w:rFonts w:hint="eastAsia" w:ascii="宋体" w:hAnsi="宋体" w:eastAsia="宋体" w:cs="宋体"/>
          <w:b w:val="0"/>
          <w:bCs/>
          <w:caps w:val="0"/>
          <w:kern w:val="2"/>
          <w:sz w:val="24"/>
          <w:szCs w:val="24"/>
          <w:lang w:val="en-US" w:eastAsia="zh-CN" w:bidi="ar-SA"/>
        </w:rPr>
        <w:fldChar w:fldCharType="separate"/>
      </w:r>
      <w:r>
        <w:rPr>
          <w:rFonts w:hint="eastAsia" w:ascii="宋体" w:hAnsi="宋体" w:eastAsia="宋体" w:cs="宋体"/>
          <w:bCs/>
          <w:caps w:val="0"/>
          <w:kern w:val="2"/>
          <w:szCs w:val="24"/>
          <w:lang w:val="en-US" w:eastAsia="zh-CN" w:bidi="ar-SA"/>
        </w:rPr>
        <w:fldChar w:fldCharType="begin"/>
      </w:r>
      <w:r>
        <w:rPr>
          <w:rFonts w:hint="eastAsia" w:ascii="宋体" w:hAnsi="宋体" w:eastAsia="宋体" w:cs="宋体"/>
          <w:bCs/>
          <w:caps w:val="0"/>
          <w:kern w:val="2"/>
          <w:szCs w:val="24"/>
          <w:lang w:val="en-US" w:eastAsia="zh-CN" w:bidi="ar-SA"/>
        </w:rPr>
        <w:instrText xml:space="preserve"> HYPERLINK \l _Toc2296 </w:instrText>
      </w:r>
      <w:r>
        <w:rPr>
          <w:rFonts w:hint="eastAsia" w:ascii="宋体" w:hAnsi="宋体" w:eastAsia="宋体" w:cs="宋体"/>
          <w:bCs/>
          <w:caps w:val="0"/>
          <w:kern w:val="2"/>
          <w:szCs w:val="24"/>
          <w:lang w:val="en-US" w:eastAsia="zh-CN" w:bidi="ar-SA"/>
        </w:rPr>
        <w:fldChar w:fldCharType="separate"/>
      </w:r>
      <w:r>
        <w:rPr>
          <w:rFonts w:hint="eastAsia" w:ascii="宋体" w:hAnsi="宋体" w:cs="Times New Roman"/>
          <w:kern w:val="28"/>
          <w:szCs w:val="32"/>
          <w:lang w:val="en-US" w:eastAsia="zh-CN" w:bidi="ar-SA"/>
        </w:rPr>
        <w:t>1</w:t>
      </w:r>
      <w:r>
        <w:rPr>
          <w:rFonts w:hint="eastAsia" w:ascii="宋体" w:hAnsi="宋体" w:eastAsia="宋体" w:cs="Times New Roman"/>
          <w:kern w:val="28"/>
          <w:szCs w:val="32"/>
          <w:lang w:val="en-US" w:eastAsia="zh-CN" w:bidi="ar-SA"/>
        </w:rPr>
        <w:t>.</w:t>
      </w:r>
      <w:r>
        <w:rPr>
          <w:rFonts w:hint="eastAsia" w:ascii="宋体" w:hAnsi="宋体" w:cs="Times New Roman"/>
          <w:kern w:val="28"/>
          <w:szCs w:val="32"/>
          <w:lang w:val="en-US" w:eastAsia="zh-CN" w:bidi="ar-SA"/>
        </w:rPr>
        <w:t>概述</w:t>
      </w:r>
      <w:r>
        <w:tab/>
      </w:r>
      <w:r>
        <w:fldChar w:fldCharType="begin"/>
      </w:r>
      <w:r>
        <w:instrText xml:space="preserve"> PAGEREF _Toc2296 \h </w:instrText>
      </w:r>
      <w:r>
        <w:fldChar w:fldCharType="separate"/>
      </w:r>
      <w:r>
        <w:t>4</w:t>
      </w:r>
      <w:r>
        <w:fldChar w:fldCharType="end"/>
      </w:r>
      <w:r>
        <w:rPr>
          <w:rFonts w:hint="eastAsia" w:ascii="宋体" w:hAnsi="宋体" w:eastAsia="宋体" w:cs="宋体"/>
          <w:bCs/>
          <w:caps w:val="0"/>
          <w:kern w:val="2"/>
          <w:szCs w:val="24"/>
          <w:lang w:val="en-US" w:eastAsia="zh-CN" w:bidi="ar-SA"/>
        </w:rPr>
        <w:fldChar w:fldCharType="end"/>
      </w:r>
    </w:p>
    <w:p w14:paraId="3D079BE7">
      <w:pPr>
        <w:pStyle w:val="31"/>
        <w:tabs>
          <w:tab w:val="right" w:leader="dot" w:pos="8306"/>
        </w:tabs>
      </w:pPr>
      <w:r>
        <w:rPr>
          <w:rFonts w:hint="eastAsia" w:ascii="宋体" w:hAnsi="宋体" w:eastAsia="宋体" w:cs="宋体"/>
          <w:caps/>
          <w:szCs w:val="24"/>
        </w:rPr>
        <w:fldChar w:fldCharType="begin"/>
      </w:r>
      <w:r>
        <w:rPr>
          <w:rFonts w:hint="eastAsia" w:ascii="宋体" w:hAnsi="宋体" w:eastAsia="宋体" w:cs="宋体"/>
          <w:caps/>
          <w:szCs w:val="24"/>
        </w:rPr>
        <w:instrText xml:space="preserve"> HYPERLINK \l _Toc3397 </w:instrText>
      </w:r>
      <w:r>
        <w:rPr>
          <w:rFonts w:hint="eastAsia" w:ascii="宋体" w:hAnsi="宋体" w:eastAsia="宋体" w:cs="宋体"/>
          <w:caps/>
          <w:szCs w:val="24"/>
        </w:rPr>
        <w:fldChar w:fldCharType="separate"/>
      </w:r>
      <w:r>
        <w:rPr>
          <w:rFonts w:hint="eastAsia" w:ascii="宋体" w:hAnsi="宋体" w:eastAsia="宋体" w:cs="Times New Roman"/>
          <w:kern w:val="28"/>
          <w:szCs w:val="32"/>
          <w:lang w:val="en-US" w:eastAsia="zh-CN" w:bidi="ar-SA"/>
        </w:rPr>
        <w:t>2.备品备件的衡量指标</w:t>
      </w:r>
      <w:r>
        <w:tab/>
      </w:r>
      <w:r>
        <w:fldChar w:fldCharType="begin"/>
      </w:r>
      <w:r>
        <w:instrText xml:space="preserve"> PAGEREF _Toc3397 \h </w:instrText>
      </w:r>
      <w:r>
        <w:fldChar w:fldCharType="separate"/>
      </w:r>
      <w:r>
        <w:t>4</w:t>
      </w:r>
      <w:r>
        <w:fldChar w:fldCharType="end"/>
      </w:r>
      <w:r>
        <w:rPr>
          <w:rFonts w:hint="eastAsia" w:ascii="宋体" w:hAnsi="宋体" w:eastAsia="宋体" w:cs="宋体"/>
          <w:caps/>
          <w:szCs w:val="24"/>
        </w:rPr>
        <w:fldChar w:fldCharType="end"/>
      </w:r>
    </w:p>
    <w:p w14:paraId="18EF4E90">
      <w:pPr>
        <w:pStyle w:val="31"/>
        <w:tabs>
          <w:tab w:val="right" w:leader="dot" w:pos="8306"/>
        </w:tabs>
      </w:pPr>
      <w:r>
        <w:rPr>
          <w:rFonts w:hint="eastAsia" w:ascii="宋体" w:hAnsi="宋体" w:eastAsia="宋体" w:cs="宋体"/>
          <w:caps/>
          <w:szCs w:val="24"/>
        </w:rPr>
        <w:fldChar w:fldCharType="begin"/>
      </w:r>
      <w:r>
        <w:rPr>
          <w:rFonts w:hint="eastAsia" w:ascii="宋体" w:hAnsi="宋体" w:eastAsia="宋体" w:cs="宋体"/>
          <w:caps/>
          <w:szCs w:val="24"/>
        </w:rPr>
        <w:instrText xml:space="preserve"> HYPERLINK \l _Toc7213 </w:instrText>
      </w:r>
      <w:r>
        <w:rPr>
          <w:rFonts w:hint="eastAsia" w:ascii="宋体" w:hAnsi="宋体" w:eastAsia="宋体" w:cs="宋体"/>
          <w:caps/>
          <w:szCs w:val="24"/>
        </w:rPr>
        <w:fldChar w:fldCharType="separate"/>
      </w:r>
      <w:r>
        <w:rPr>
          <w:rFonts w:hint="eastAsia" w:ascii="宋体" w:hAnsi="宋体" w:eastAsia="宋体" w:cs="宋体"/>
          <w:kern w:val="28"/>
          <w:szCs w:val="32"/>
          <w:lang w:val="en-US" w:eastAsia="zh-CN" w:bidi="ar-SA"/>
        </w:rPr>
        <w:t>3.备品备件管理的下阶段工作计划</w:t>
      </w:r>
      <w:r>
        <w:tab/>
      </w:r>
      <w:r>
        <w:fldChar w:fldCharType="begin"/>
      </w:r>
      <w:r>
        <w:instrText xml:space="preserve"> PAGEREF _Toc7213 \h </w:instrText>
      </w:r>
      <w:r>
        <w:fldChar w:fldCharType="separate"/>
      </w:r>
      <w:r>
        <w:t>4</w:t>
      </w:r>
      <w:r>
        <w:fldChar w:fldCharType="end"/>
      </w:r>
      <w:r>
        <w:rPr>
          <w:rFonts w:hint="eastAsia" w:ascii="宋体" w:hAnsi="宋体" w:eastAsia="宋体" w:cs="宋体"/>
          <w:caps/>
          <w:szCs w:val="24"/>
        </w:rPr>
        <w:fldChar w:fldCharType="end"/>
      </w:r>
    </w:p>
    <w:p w14:paraId="050189A5">
      <w:pPr>
        <w:pStyle w:val="31"/>
        <w:tabs>
          <w:tab w:val="right" w:leader="dot" w:pos="8306"/>
        </w:tabs>
      </w:pPr>
      <w:r>
        <w:rPr>
          <w:rFonts w:hint="eastAsia" w:ascii="宋体" w:hAnsi="宋体" w:eastAsia="宋体" w:cs="宋体"/>
          <w:caps/>
          <w:szCs w:val="24"/>
        </w:rPr>
        <w:fldChar w:fldCharType="begin"/>
      </w:r>
      <w:r>
        <w:rPr>
          <w:rFonts w:hint="eastAsia" w:ascii="宋体" w:hAnsi="宋体" w:eastAsia="宋体" w:cs="宋体"/>
          <w:caps/>
          <w:szCs w:val="24"/>
        </w:rPr>
        <w:instrText xml:space="preserve"> HYPERLINK \l _Toc4152 </w:instrText>
      </w:r>
      <w:r>
        <w:rPr>
          <w:rFonts w:hint="eastAsia" w:ascii="宋体" w:hAnsi="宋体" w:eastAsia="宋体" w:cs="宋体"/>
          <w:caps/>
          <w:szCs w:val="24"/>
        </w:rPr>
        <w:fldChar w:fldCharType="separate"/>
      </w:r>
      <w:r>
        <w:rPr>
          <w:rFonts w:hint="eastAsia" w:ascii="宋体" w:hAnsi="宋体" w:eastAsia="宋体" w:cs="Times New Roman"/>
          <w:kern w:val="28"/>
          <w:szCs w:val="32"/>
          <w:lang w:val="en-US" w:eastAsia="zh-CN" w:bidi="ar-SA"/>
        </w:rPr>
        <w:t>4.备品备件管理的工作总结</w:t>
      </w:r>
      <w:r>
        <w:tab/>
      </w:r>
      <w:r>
        <w:fldChar w:fldCharType="begin"/>
      </w:r>
      <w:r>
        <w:instrText xml:space="preserve"> PAGEREF _Toc4152 \h </w:instrText>
      </w:r>
      <w:r>
        <w:fldChar w:fldCharType="separate"/>
      </w:r>
      <w:r>
        <w:t>5</w:t>
      </w:r>
      <w:r>
        <w:fldChar w:fldCharType="end"/>
      </w:r>
      <w:r>
        <w:rPr>
          <w:rFonts w:hint="eastAsia" w:ascii="宋体" w:hAnsi="宋体" w:eastAsia="宋体" w:cs="宋体"/>
          <w:caps/>
          <w:szCs w:val="24"/>
        </w:rPr>
        <w:fldChar w:fldCharType="end"/>
      </w:r>
    </w:p>
    <w:p w14:paraId="6F43BB3D">
      <w:pPr>
        <w:pStyle w:val="31"/>
        <w:tabs>
          <w:tab w:val="right" w:leader="dot" w:pos="8306"/>
        </w:tabs>
      </w:pPr>
      <w:r>
        <w:rPr>
          <w:rFonts w:hint="eastAsia" w:ascii="宋体" w:hAnsi="宋体" w:eastAsia="宋体" w:cs="宋体"/>
          <w:caps/>
          <w:szCs w:val="24"/>
        </w:rPr>
        <w:fldChar w:fldCharType="begin"/>
      </w:r>
      <w:r>
        <w:rPr>
          <w:rFonts w:hint="eastAsia" w:ascii="宋体" w:hAnsi="宋体" w:eastAsia="宋体" w:cs="宋体"/>
          <w:caps/>
          <w:szCs w:val="24"/>
        </w:rPr>
        <w:instrText xml:space="preserve"> HYPERLINK \l _Toc13633 </w:instrText>
      </w:r>
      <w:r>
        <w:rPr>
          <w:rFonts w:hint="eastAsia" w:ascii="宋体" w:hAnsi="宋体" w:eastAsia="宋体" w:cs="宋体"/>
          <w:caps/>
          <w:szCs w:val="24"/>
        </w:rPr>
        <w:fldChar w:fldCharType="separate"/>
      </w:r>
      <w:r>
        <w:rPr>
          <w:rFonts w:hint="default" w:ascii="宋体" w:hAnsi="宋体" w:cs="Times New Roman"/>
          <w:kern w:val="28"/>
          <w:szCs w:val="32"/>
          <w:lang w:val="en-US" w:eastAsia="zh-CN" w:bidi="ar-SA"/>
        </w:rPr>
        <w:t xml:space="preserve">5. </w:t>
      </w:r>
      <w:r>
        <w:rPr>
          <w:rFonts w:hint="eastAsia" w:ascii="宋体" w:hAnsi="宋体" w:eastAsia="宋体" w:cs="Times New Roman"/>
          <w:kern w:val="28"/>
          <w:szCs w:val="32"/>
          <w:lang w:val="en-US" w:eastAsia="zh-CN" w:bidi="ar-SA"/>
        </w:rPr>
        <w:t>备品备件规范管理给公司带来的好处</w:t>
      </w:r>
      <w:r>
        <w:tab/>
      </w:r>
      <w:r>
        <w:fldChar w:fldCharType="begin"/>
      </w:r>
      <w:r>
        <w:instrText xml:space="preserve"> PAGEREF _Toc13633 \h </w:instrText>
      </w:r>
      <w:r>
        <w:fldChar w:fldCharType="separate"/>
      </w:r>
      <w:r>
        <w:t>7</w:t>
      </w:r>
      <w:r>
        <w:fldChar w:fldCharType="end"/>
      </w:r>
      <w:r>
        <w:rPr>
          <w:rFonts w:hint="eastAsia" w:ascii="宋体" w:hAnsi="宋体" w:eastAsia="宋体" w:cs="宋体"/>
          <w:caps/>
          <w:szCs w:val="24"/>
        </w:rPr>
        <w:fldChar w:fldCharType="end"/>
      </w:r>
    </w:p>
    <w:p w14:paraId="5A549F29">
      <w:pPr>
        <w:tabs>
          <w:tab w:val="right" w:leader="dot" w:pos="8931"/>
        </w:tabs>
        <w:adjustRightInd w:val="0"/>
        <w:snapToGrid w:val="0"/>
        <w:spacing w:after="0" w:line="360" w:lineRule="auto"/>
        <w:rPr>
          <w:rFonts w:ascii="宋体" w:hAnsi="宋体" w:eastAsia="宋体" w:cs="Times New Roman"/>
          <w:caps/>
          <w:sz w:val="24"/>
          <w:szCs w:val="24"/>
        </w:rPr>
      </w:pPr>
      <w:r>
        <w:rPr>
          <w:rFonts w:hint="eastAsia" w:ascii="宋体" w:hAnsi="宋体" w:eastAsia="宋体" w:cs="宋体"/>
          <w:caps/>
          <w:szCs w:val="24"/>
        </w:rPr>
        <w:fldChar w:fldCharType="end"/>
      </w:r>
      <w:r>
        <w:rPr>
          <w:rFonts w:ascii="宋体" w:hAnsi="宋体" w:eastAsia="宋体" w:cs="Times New Roman"/>
          <w:caps/>
          <w:sz w:val="24"/>
          <w:szCs w:val="24"/>
        </w:rPr>
        <w:br w:type="page"/>
      </w:r>
    </w:p>
    <w:p w14:paraId="1EE56775">
      <w:pPr>
        <w:keepNext/>
        <w:keepLines/>
        <w:widowControl w:val="0"/>
        <w:numPr>
          <w:ilvl w:val="0"/>
          <w:numId w:val="0"/>
        </w:numPr>
        <w:spacing w:before="60" w:after="60" w:line="578" w:lineRule="auto"/>
        <w:jc w:val="both"/>
        <w:outlineLvl w:val="0"/>
        <w:rPr>
          <w:rFonts w:hint="default" w:ascii="宋体" w:hAnsi="宋体" w:eastAsia="宋体" w:cs="Times New Roman"/>
          <w:b/>
          <w:kern w:val="28"/>
          <w:sz w:val="32"/>
          <w:szCs w:val="32"/>
          <w:lang w:val="en-US" w:eastAsia="zh-CN" w:bidi="ar-SA"/>
        </w:rPr>
      </w:pPr>
      <w:bookmarkStart w:id="0" w:name="_Toc2296"/>
      <w:bookmarkStart w:id="1" w:name="_Toc17171"/>
      <w:bookmarkStart w:id="2" w:name="_Toc19715793"/>
      <w:r>
        <w:rPr>
          <w:rFonts w:hint="eastAsia" w:ascii="宋体" w:hAnsi="宋体" w:cs="Times New Roman"/>
          <w:b/>
          <w:kern w:val="28"/>
          <w:sz w:val="32"/>
          <w:szCs w:val="32"/>
          <w:lang w:val="en-US" w:eastAsia="zh-CN" w:bidi="ar-SA"/>
        </w:rPr>
        <w:t>1</w:t>
      </w:r>
      <w:r>
        <w:rPr>
          <w:rFonts w:hint="eastAsia" w:ascii="宋体" w:hAnsi="宋体" w:eastAsia="宋体" w:cs="Times New Roman"/>
          <w:b/>
          <w:kern w:val="28"/>
          <w:sz w:val="32"/>
          <w:szCs w:val="32"/>
          <w:lang w:val="en-US" w:eastAsia="zh-CN" w:bidi="ar-SA"/>
        </w:rPr>
        <w:t>.</w:t>
      </w:r>
      <w:r>
        <w:rPr>
          <w:rFonts w:hint="eastAsia" w:ascii="宋体" w:hAnsi="宋体" w:cs="Times New Roman"/>
          <w:b/>
          <w:kern w:val="28"/>
          <w:sz w:val="32"/>
          <w:szCs w:val="32"/>
          <w:lang w:val="en-US" w:eastAsia="zh-CN" w:bidi="ar-SA"/>
        </w:rPr>
        <w:t>概述</w:t>
      </w:r>
      <w:bookmarkEnd w:id="0"/>
      <w:bookmarkEnd w:id="1"/>
    </w:p>
    <w:p w14:paraId="32C0B112">
      <w:pPr>
        <w:spacing w:after="0" w:line="360" w:lineRule="auto"/>
        <w:ind w:firstLine="480" w:firstLineChars="200"/>
        <w:rPr>
          <w:rFonts w:hint="eastAsia" w:ascii="宋体" w:hAnsi="宋体" w:cs="宋体"/>
          <w:sz w:val="24"/>
          <w:szCs w:val="24"/>
          <w:lang w:eastAsia="zh-CN"/>
        </w:rPr>
      </w:pPr>
      <w:r>
        <w:rPr>
          <w:rFonts w:hint="eastAsia" w:ascii="宋体" w:hAnsi="宋体" w:cs="宋体"/>
          <w:sz w:val="24"/>
          <w:szCs w:val="24"/>
        </w:rPr>
        <w:t>开展运维服务业务</w:t>
      </w:r>
      <w:r>
        <w:rPr>
          <w:rFonts w:hint="eastAsia" w:ascii="宋体" w:hAnsi="宋体" w:cs="宋体"/>
          <w:sz w:val="24"/>
          <w:szCs w:val="24"/>
          <w:lang w:val="en-US" w:eastAsia="zh-CN"/>
        </w:rPr>
        <w:t>以来，</w:t>
      </w:r>
      <w:r>
        <w:rPr>
          <w:rFonts w:hint="eastAsia" w:ascii="宋体" w:hAnsi="宋体" w:cs="宋体"/>
          <w:sz w:val="24"/>
          <w:szCs w:val="24"/>
        </w:rPr>
        <w:t>根据ITSS标准指导规范建立了适用于公司的备品备件库。公司成功通过ITSS符合性评估，运维服务工作开展严格按照ITSS标准相关要求执行，设置了专门的运维服务备品备件库，为项目运维服务工作提供物资保障</w:t>
      </w:r>
      <w:r>
        <w:rPr>
          <w:rFonts w:hint="eastAsia" w:ascii="宋体" w:hAnsi="宋体" w:cs="宋体"/>
          <w:sz w:val="24"/>
          <w:szCs w:val="24"/>
          <w:lang w:eastAsia="zh-CN"/>
        </w:rPr>
        <w:t>。</w:t>
      </w:r>
    </w:p>
    <w:p w14:paraId="29801BCF">
      <w:pPr>
        <w:spacing w:after="0" w:line="360" w:lineRule="auto"/>
        <w:ind w:firstLine="480" w:firstLineChars="200"/>
        <w:rPr>
          <w:rFonts w:hint="eastAsia" w:ascii="宋体" w:hAnsi="宋体" w:cs="Arial"/>
          <w:sz w:val="24"/>
          <w:szCs w:val="20"/>
          <w:lang w:val="en-US" w:eastAsia="zh-CN"/>
        </w:rPr>
      </w:pPr>
      <w:r>
        <w:rPr>
          <w:rFonts w:hint="eastAsia" w:ascii="宋体" w:hAnsi="宋体" w:cs="Arial"/>
          <w:sz w:val="24"/>
          <w:szCs w:val="20"/>
          <w:lang w:val="en-US" w:eastAsia="zh-CN"/>
        </w:rPr>
        <w:t>备件管理，跟资产管理一样，实现了统一精细化管理，所有设施在我们系统中都通过信息化手段记录跟踪它的整个生命周期，什么时间入库的、属于哪一个维保合同的、使用状态的变更等等信息都记录在案，便于日后统计和问题追溯。出库自动生成备件台账，便于统计。</w:t>
      </w:r>
    </w:p>
    <w:bookmarkEnd w:id="2"/>
    <w:p w14:paraId="3DB1A9E5">
      <w:pPr>
        <w:spacing w:after="0" w:line="360" w:lineRule="auto"/>
        <w:ind w:firstLine="480" w:firstLineChars="200"/>
        <w:rPr>
          <w:rFonts w:ascii="宋体" w:hAnsi="宋体" w:eastAsia="宋体" w:cs="Arial"/>
          <w:sz w:val="24"/>
          <w:szCs w:val="20"/>
        </w:rPr>
      </w:pPr>
      <w:r>
        <w:rPr>
          <w:rFonts w:hint="eastAsia" w:ascii="宋体" w:hAnsi="宋体" w:eastAsia="宋体" w:cs="Arial"/>
          <w:sz w:val="24"/>
          <w:szCs w:val="20"/>
          <w:lang w:val="en-US" w:eastAsia="zh-CN"/>
        </w:rPr>
        <w:t>公司的备品备件由</w:t>
      </w:r>
      <w:r>
        <w:rPr>
          <w:rFonts w:hint="eastAsia" w:ascii="宋体" w:hAnsi="宋体" w:cs="Arial"/>
          <w:sz w:val="24"/>
          <w:szCs w:val="20"/>
          <w:lang w:val="en-US" w:eastAsia="zh-CN"/>
        </w:rPr>
        <w:t>运维部</w:t>
      </w:r>
      <w:r>
        <w:rPr>
          <w:rFonts w:hint="eastAsia" w:ascii="宋体" w:hAnsi="宋体" w:eastAsia="宋体" w:cs="Arial"/>
          <w:sz w:val="24"/>
          <w:szCs w:val="20"/>
          <w:lang w:val="en-US" w:eastAsia="zh-CN"/>
        </w:rPr>
        <w:t>下辖的备品备件组进行管理。</w:t>
      </w:r>
      <w:r>
        <w:rPr>
          <w:rFonts w:hint="eastAsia" w:ascii="宋体" w:hAnsi="宋体" w:eastAsia="宋体" w:cs="Arial"/>
          <w:sz w:val="24"/>
          <w:szCs w:val="20"/>
          <w:lang w:eastAsia="zh-CN"/>
        </w:rPr>
        <w:t>备品备件组</w:t>
      </w:r>
      <w:r>
        <w:rPr>
          <w:rFonts w:hint="eastAsia" w:ascii="宋体" w:hAnsi="宋体" w:eastAsia="宋体" w:cs="Arial"/>
          <w:sz w:val="24"/>
          <w:szCs w:val="20"/>
        </w:rPr>
        <w:t>负责7x24小时的备品支持工作,组建</w:t>
      </w:r>
      <w:r>
        <w:rPr>
          <w:rFonts w:hint="eastAsia" w:ascii="宋体" w:hAnsi="宋体" w:eastAsia="宋体" w:cs="Arial"/>
          <w:sz w:val="24"/>
          <w:szCs w:val="20"/>
          <w:lang w:val="en-US" w:eastAsia="zh-CN"/>
        </w:rPr>
        <w:t>2</w:t>
      </w:r>
      <w:r>
        <w:rPr>
          <w:rFonts w:hint="eastAsia" w:ascii="宋体" w:hAnsi="宋体" w:eastAsia="宋体" w:cs="Arial"/>
          <w:sz w:val="24"/>
          <w:szCs w:val="20"/>
        </w:rPr>
        <w:t>人备品备件小组</w:t>
      </w:r>
      <w:r>
        <w:rPr>
          <w:rFonts w:hint="eastAsia" w:ascii="Times New Roman" w:hAnsi="Times New Roman" w:eastAsia="宋体" w:cs="Times New Roman"/>
          <w:szCs w:val="20"/>
        </w:rPr>
        <w:t>。</w:t>
      </w:r>
      <w:r>
        <w:rPr>
          <w:rFonts w:hint="eastAsia" w:ascii="宋体" w:hAnsi="宋体" w:eastAsia="宋体" w:cs="Arial"/>
          <w:sz w:val="24"/>
          <w:szCs w:val="20"/>
        </w:rPr>
        <w:t>遵循“合理配置、统一管理、保证维护、降低成本”的原则，保证备品备件的可用性，维护备品备件的状态，负责对日常及节假日的设备进出管理，及时满足运维服务</w:t>
      </w:r>
      <w:r>
        <w:rPr>
          <w:rFonts w:ascii="宋体" w:hAnsi="宋体" w:eastAsia="宋体" w:cs="Arial"/>
          <w:sz w:val="24"/>
          <w:szCs w:val="20"/>
        </w:rPr>
        <w:t>的</w:t>
      </w:r>
      <w:r>
        <w:rPr>
          <w:rFonts w:hint="eastAsia" w:ascii="宋体" w:hAnsi="宋体" w:eastAsia="宋体" w:cs="Arial"/>
          <w:sz w:val="24"/>
          <w:szCs w:val="20"/>
        </w:rPr>
        <w:t>需要，保证设备的正常运行。</w:t>
      </w:r>
    </w:p>
    <w:p w14:paraId="0EEF64E1">
      <w:pPr>
        <w:spacing w:after="0" w:line="360" w:lineRule="auto"/>
        <w:ind w:firstLine="480" w:firstLineChars="200"/>
        <w:rPr>
          <w:rFonts w:ascii="宋体" w:hAnsi="宋体" w:eastAsia="宋体" w:cs="Arial"/>
          <w:sz w:val="24"/>
          <w:szCs w:val="20"/>
        </w:rPr>
      </w:pPr>
      <w:r>
        <w:rPr>
          <w:rFonts w:hint="eastAsia" w:ascii="宋体" w:hAnsi="宋体" w:eastAsia="宋体" w:cs="宋体"/>
          <w:kern w:val="0"/>
          <w:sz w:val="24"/>
          <w:szCs w:val="24"/>
          <w:lang w:val="en-US" w:eastAsia="zh-CN" w:bidi="ar-SA"/>
        </w:rPr>
        <w:t>公司每年都依照ITSS体系管理要求，</w:t>
      </w:r>
      <w:r>
        <w:rPr>
          <w:rFonts w:hint="eastAsia" w:ascii="宋体" w:hAnsi="宋体" w:eastAsia="宋体" w:cs="Arial"/>
          <w:sz w:val="24"/>
          <w:szCs w:val="20"/>
        </w:rPr>
        <w:t>对</w:t>
      </w:r>
      <w:r>
        <w:rPr>
          <w:rFonts w:ascii="宋体" w:hAnsi="宋体" w:eastAsia="宋体" w:cs="Arial"/>
          <w:sz w:val="24"/>
          <w:szCs w:val="20"/>
        </w:rPr>
        <w:t>备件库</w:t>
      </w:r>
      <w:r>
        <w:rPr>
          <w:rFonts w:hint="eastAsia" w:ascii="宋体" w:hAnsi="宋体" w:eastAsia="宋体" w:cs="Arial"/>
          <w:sz w:val="24"/>
          <w:szCs w:val="20"/>
        </w:rPr>
        <w:t>的</w:t>
      </w:r>
      <w:r>
        <w:rPr>
          <w:rFonts w:ascii="宋体" w:hAnsi="宋体" w:eastAsia="宋体" w:cs="Arial"/>
          <w:sz w:val="24"/>
          <w:szCs w:val="20"/>
        </w:rPr>
        <w:t>管理</w:t>
      </w:r>
      <w:r>
        <w:rPr>
          <w:rFonts w:hint="eastAsia" w:ascii="宋体" w:hAnsi="宋体" w:eastAsia="宋体" w:cs="Arial"/>
          <w:sz w:val="24"/>
          <w:szCs w:val="20"/>
          <w:lang w:val="en-US" w:eastAsia="zh-CN"/>
        </w:rPr>
        <w:t>进行</w:t>
      </w:r>
      <w:r>
        <w:rPr>
          <w:rFonts w:ascii="宋体" w:hAnsi="宋体" w:eastAsia="宋体" w:cs="Arial"/>
          <w:sz w:val="24"/>
          <w:szCs w:val="20"/>
        </w:rPr>
        <w:t>不断</w:t>
      </w:r>
      <w:r>
        <w:rPr>
          <w:rFonts w:hint="eastAsia" w:ascii="宋体" w:hAnsi="宋体" w:eastAsia="宋体" w:cs="Arial"/>
          <w:sz w:val="24"/>
          <w:szCs w:val="20"/>
          <w:lang w:val="en-US" w:eastAsia="zh-CN"/>
        </w:rPr>
        <w:t>的</w:t>
      </w:r>
      <w:r>
        <w:rPr>
          <w:rFonts w:ascii="宋体" w:hAnsi="宋体" w:eastAsia="宋体" w:cs="Arial"/>
          <w:sz w:val="24"/>
          <w:szCs w:val="20"/>
        </w:rPr>
        <w:t>升级，</w:t>
      </w:r>
      <w:r>
        <w:rPr>
          <w:rFonts w:hint="eastAsia" w:ascii="宋体" w:hAnsi="宋体" w:eastAsia="宋体" w:cs="Arial"/>
          <w:sz w:val="24"/>
          <w:szCs w:val="20"/>
        </w:rPr>
        <w:t>用最少的备件资金，合理的库存储备，保证设备维修的需要，不断提高设备的可靠性、维修性和经济性。保证修理质量和修理周期，提高设备的可靠性，更加</w:t>
      </w:r>
      <w:r>
        <w:rPr>
          <w:rFonts w:ascii="宋体" w:hAnsi="宋体" w:eastAsia="宋体" w:cs="Arial"/>
          <w:sz w:val="24"/>
          <w:szCs w:val="20"/>
        </w:rPr>
        <w:t>效率</w:t>
      </w:r>
      <w:r>
        <w:rPr>
          <w:rFonts w:hint="eastAsia" w:ascii="宋体" w:hAnsi="宋体" w:eastAsia="宋体" w:cs="Arial"/>
          <w:sz w:val="24"/>
          <w:szCs w:val="20"/>
        </w:rPr>
        <w:t>。</w:t>
      </w:r>
    </w:p>
    <w:p w14:paraId="20F20841">
      <w:pPr>
        <w:spacing w:after="0" w:line="240" w:lineRule="auto"/>
        <w:rPr>
          <w:rFonts w:ascii="Times New Roman" w:hAnsi="Times New Roman" w:eastAsia="宋体" w:cs="Times New Roman"/>
          <w:szCs w:val="20"/>
        </w:rPr>
      </w:pPr>
    </w:p>
    <w:p w14:paraId="38E18235">
      <w:pPr>
        <w:keepNext/>
        <w:keepLines/>
        <w:widowControl w:val="0"/>
        <w:numPr>
          <w:ilvl w:val="0"/>
          <w:numId w:val="0"/>
        </w:numPr>
        <w:spacing w:before="60" w:after="60" w:line="578" w:lineRule="auto"/>
        <w:jc w:val="both"/>
        <w:outlineLvl w:val="0"/>
        <w:rPr>
          <w:rFonts w:ascii="宋体" w:hAnsi="宋体" w:eastAsia="宋体" w:cs="Times New Roman"/>
          <w:b/>
          <w:kern w:val="28"/>
          <w:sz w:val="32"/>
          <w:szCs w:val="32"/>
          <w:lang w:val="en-US" w:eastAsia="zh-CN" w:bidi="ar-SA"/>
        </w:rPr>
      </w:pPr>
      <w:bookmarkStart w:id="3" w:name="_Toc17189502"/>
      <w:bookmarkEnd w:id="3"/>
      <w:bookmarkStart w:id="4" w:name="_Toc469063447"/>
      <w:bookmarkEnd w:id="4"/>
      <w:bookmarkStart w:id="5" w:name="_Toc469400039"/>
      <w:bookmarkEnd w:id="5"/>
      <w:bookmarkStart w:id="6" w:name="_Toc17189466"/>
      <w:bookmarkEnd w:id="6"/>
      <w:bookmarkStart w:id="7" w:name="_Toc3397"/>
      <w:bookmarkStart w:id="8" w:name="_Toc28505"/>
      <w:bookmarkStart w:id="9" w:name="_Toc19715795"/>
      <w:r>
        <w:rPr>
          <w:rFonts w:hint="eastAsia" w:ascii="宋体" w:hAnsi="宋体" w:eastAsia="宋体" w:cs="Times New Roman"/>
          <w:b/>
          <w:kern w:val="28"/>
          <w:sz w:val="32"/>
          <w:szCs w:val="32"/>
          <w:lang w:val="en-US" w:eastAsia="zh-CN" w:bidi="ar-SA"/>
        </w:rPr>
        <w:t>2.</w:t>
      </w:r>
      <w:bookmarkStart w:id="10" w:name="_Toc349558120"/>
      <w:r>
        <w:rPr>
          <w:rFonts w:hint="eastAsia" w:ascii="宋体" w:hAnsi="宋体" w:eastAsia="宋体" w:cs="Times New Roman"/>
          <w:b/>
          <w:kern w:val="28"/>
          <w:sz w:val="32"/>
          <w:szCs w:val="32"/>
          <w:lang w:val="en-US" w:eastAsia="zh-CN" w:bidi="ar-SA"/>
        </w:rPr>
        <w:t>备品备件的衡量指标</w:t>
      </w:r>
      <w:bookmarkEnd w:id="7"/>
      <w:bookmarkEnd w:id="8"/>
      <w:bookmarkEnd w:id="9"/>
    </w:p>
    <w:p w14:paraId="041885D6">
      <w:pPr>
        <w:spacing w:after="0" w:line="360" w:lineRule="auto"/>
        <w:ind w:firstLine="480" w:firstLineChars="200"/>
        <w:rPr>
          <w:rFonts w:hint="eastAsia" w:ascii="宋体" w:hAnsi="宋体" w:eastAsia="宋体" w:cs="Arial"/>
          <w:sz w:val="24"/>
          <w:szCs w:val="20"/>
        </w:rPr>
      </w:pPr>
      <w:r>
        <w:rPr>
          <w:rFonts w:hint="eastAsia" w:ascii="宋体" w:hAnsi="宋体" w:eastAsia="宋体" w:cs="Arial"/>
          <w:sz w:val="24"/>
          <w:szCs w:val="20"/>
        </w:rPr>
        <w:t>备件可用率，计算公式：（领用备件完好数量/领用备件总数）*100%。</w:t>
      </w:r>
    </w:p>
    <w:p w14:paraId="08CD1127">
      <w:pPr>
        <w:spacing w:after="0" w:line="360" w:lineRule="auto"/>
        <w:ind w:firstLine="480" w:firstLineChars="200"/>
        <w:rPr>
          <w:rFonts w:ascii="宋体" w:hAnsi="宋体" w:eastAsia="宋体" w:cs="Arial"/>
          <w:sz w:val="24"/>
          <w:szCs w:val="20"/>
        </w:rPr>
      </w:pPr>
      <w:r>
        <w:rPr>
          <w:rFonts w:hint="eastAsia" w:ascii="宋体" w:hAnsi="宋体" w:cs="Arial"/>
          <w:sz w:val="24"/>
          <w:szCs w:val="20"/>
          <w:lang w:val="en-US" w:eastAsia="zh-CN"/>
        </w:rPr>
        <w:t>年</w:t>
      </w:r>
      <w:r>
        <w:rPr>
          <w:rFonts w:hint="eastAsia" w:ascii="宋体" w:hAnsi="宋体" w:eastAsia="宋体" w:cs="Arial"/>
          <w:sz w:val="24"/>
          <w:szCs w:val="20"/>
          <w:lang w:val="en-US" w:eastAsia="zh-CN"/>
        </w:rPr>
        <w:t>度</w:t>
      </w:r>
      <w:r>
        <w:rPr>
          <w:rFonts w:hint="eastAsia" w:ascii="宋体" w:hAnsi="宋体" w:eastAsia="宋体" w:cs="Arial"/>
          <w:sz w:val="24"/>
          <w:szCs w:val="20"/>
        </w:rPr>
        <w:t>目标值为≥99% 。</w:t>
      </w:r>
    </w:p>
    <w:bookmarkEnd w:id="10"/>
    <w:p w14:paraId="532CD340">
      <w:pPr>
        <w:keepNext/>
        <w:widowControl/>
        <w:bidi w:val="0"/>
        <w:spacing w:before="240" w:after="60"/>
        <w:jc w:val="left"/>
        <w:outlineLvl w:val="0"/>
        <w:rPr>
          <w:rFonts w:hint="eastAsia" w:ascii="宋体" w:hAnsi="宋体" w:eastAsia="宋体" w:cs="宋体"/>
          <w:b/>
          <w:kern w:val="28"/>
          <w:sz w:val="32"/>
          <w:szCs w:val="32"/>
          <w:lang w:val="en-US" w:eastAsia="zh-CN" w:bidi="ar-SA"/>
        </w:rPr>
      </w:pPr>
      <w:bookmarkStart w:id="11" w:name="_Toc468277832"/>
      <w:bookmarkEnd w:id="11"/>
      <w:bookmarkStart w:id="12" w:name="_Toc468192800"/>
      <w:bookmarkEnd w:id="12"/>
      <w:bookmarkStart w:id="13" w:name="_Toc17292158"/>
      <w:bookmarkEnd w:id="13"/>
      <w:bookmarkStart w:id="14" w:name="_Toc17292792"/>
      <w:bookmarkEnd w:id="14"/>
      <w:bookmarkStart w:id="15" w:name="_Toc468541978"/>
      <w:bookmarkEnd w:id="15"/>
      <w:bookmarkStart w:id="16" w:name="_Toc469063452"/>
      <w:bookmarkEnd w:id="16"/>
      <w:bookmarkStart w:id="17" w:name="_Toc469400044"/>
      <w:bookmarkEnd w:id="17"/>
      <w:bookmarkStart w:id="18" w:name="_Toc19715796"/>
      <w:bookmarkEnd w:id="18"/>
      <w:bookmarkStart w:id="19" w:name="_Toc17189507"/>
      <w:bookmarkEnd w:id="19"/>
      <w:bookmarkStart w:id="20" w:name="_Toc19715797"/>
      <w:bookmarkEnd w:id="20"/>
      <w:bookmarkStart w:id="21" w:name="_Toc17292793"/>
      <w:bookmarkEnd w:id="21"/>
      <w:bookmarkStart w:id="22" w:name="_Toc468277502"/>
      <w:bookmarkEnd w:id="22"/>
      <w:bookmarkStart w:id="23" w:name="_Toc17292159"/>
      <w:bookmarkEnd w:id="23"/>
      <w:bookmarkStart w:id="24" w:name="_Toc17189471"/>
      <w:bookmarkEnd w:id="24"/>
      <w:bookmarkStart w:id="25" w:name="_Toc7213"/>
      <w:bookmarkStart w:id="26" w:name="_Toc23718"/>
      <w:bookmarkStart w:id="27" w:name="_Toc19715798"/>
      <w:r>
        <w:rPr>
          <w:rFonts w:hint="eastAsia" w:ascii="宋体" w:hAnsi="宋体" w:eastAsia="宋体" w:cs="宋体"/>
          <w:b/>
          <w:kern w:val="28"/>
          <w:sz w:val="32"/>
          <w:szCs w:val="32"/>
          <w:lang w:val="en-US" w:eastAsia="zh-CN" w:bidi="ar-SA"/>
        </w:rPr>
        <w:t>3.备品备件管理的下阶段工作计划</w:t>
      </w:r>
      <w:bookmarkEnd w:id="25"/>
      <w:bookmarkEnd w:id="26"/>
      <w:bookmarkEnd w:id="27"/>
    </w:p>
    <w:p w14:paraId="306C67A5">
      <w:pPr>
        <w:spacing w:after="0" w:line="360" w:lineRule="auto"/>
        <w:ind w:firstLine="480" w:firstLineChars="200"/>
        <w:rPr>
          <w:rFonts w:hint="eastAsia" w:ascii="宋体" w:hAnsi="宋体" w:eastAsia="宋体" w:cs="Arial"/>
          <w:sz w:val="24"/>
          <w:szCs w:val="20"/>
        </w:rPr>
      </w:pPr>
      <w:r>
        <w:rPr>
          <w:rFonts w:hint="eastAsia" w:ascii="宋体" w:hAnsi="宋体" w:eastAsia="宋体" w:cs="Arial"/>
          <w:sz w:val="24"/>
          <w:szCs w:val="20"/>
        </w:rPr>
        <w:t>设备备品备件的管理是一项复杂而细致的工作，库存管理是备品备件管理工作的重要组成部分。根据企业设备状况，结合日常备品备件消耗情况等数据来确定。通过对库存备品备件的发放、使用动态信息的统计、分析，可以掌握备品备件使用期间的消耗规律，逐步修正储备定额，合理储备备件。</w:t>
      </w:r>
    </w:p>
    <w:p w14:paraId="58E80930">
      <w:pPr>
        <w:numPr>
          <w:ilvl w:val="0"/>
          <w:numId w:val="6"/>
        </w:numPr>
        <w:spacing w:after="0" w:line="360" w:lineRule="auto"/>
        <w:ind w:left="420" w:leftChars="0" w:hanging="420" w:firstLineChars="0"/>
        <w:rPr>
          <w:rFonts w:hint="eastAsia" w:ascii="宋体" w:hAnsi="宋体" w:eastAsia="宋体" w:cs="Arial"/>
          <w:sz w:val="24"/>
          <w:szCs w:val="20"/>
        </w:rPr>
      </w:pPr>
      <w:r>
        <w:rPr>
          <w:rFonts w:hint="eastAsia" w:ascii="宋体" w:hAnsi="宋体" w:eastAsia="宋体" w:cs="Arial"/>
          <w:sz w:val="24"/>
          <w:szCs w:val="20"/>
        </w:rPr>
        <w:t>加强备件计划管理，在满足生产设备长周期、安全、稳定运行的基础上，降低备件储备、减少流动资金占用的。在项目管理方法中公司备件计划分年、季和临时计划。杜绝盲目性和大而全，应坚持比质比价的原则。</w:t>
      </w:r>
    </w:p>
    <w:p w14:paraId="1ACB494C">
      <w:pPr>
        <w:numPr>
          <w:ilvl w:val="0"/>
          <w:numId w:val="6"/>
        </w:numPr>
        <w:spacing w:after="0" w:line="360" w:lineRule="auto"/>
        <w:ind w:left="420" w:leftChars="0" w:hanging="420" w:firstLineChars="0"/>
        <w:rPr>
          <w:rFonts w:hint="eastAsia" w:ascii="宋体" w:hAnsi="宋体" w:eastAsia="宋体" w:cs="Times New Roman"/>
          <w:sz w:val="32"/>
          <w:szCs w:val="32"/>
        </w:rPr>
      </w:pPr>
      <w:r>
        <w:rPr>
          <w:rFonts w:ascii="宋体" w:hAnsi="宋体" w:eastAsia="宋体" w:cs="宋体"/>
          <w:color w:val="000000"/>
          <w:sz w:val="24"/>
          <w:szCs w:val="24"/>
        </w:rPr>
        <w:t>开展质量小组活动，分析和研究备件损坏的原因，加强备件使用周期考核，对不能满足生产长周期运行的备件从技术上认真分析，提出改进办法是项目管理方法。备件入库前，</w:t>
      </w:r>
      <w:r>
        <w:rPr>
          <w:rFonts w:hint="eastAsia" w:ascii="宋体" w:hAnsi="宋体" w:eastAsia="宋体" w:cs="宋体"/>
          <w:color w:val="000000"/>
          <w:sz w:val="24"/>
          <w:szCs w:val="24"/>
          <w:lang w:val="en-US" w:eastAsia="zh-CN"/>
        </w:rPr>
        <w:t>对供应商</w:t>
      </w:r>
      <w:r>
        <w:rPr>
          <w:rFonts w:ascii="宋体" w:hAnsi="宋体" w:eastAsia="宋体" w:cs="宋体"/>
          <w:color w:val="000000"/>
          <w:sz w:val="24"/>
          <w:szCs w:val="24"/>
        </w:rPr>
        <w:t>提供的有关检测数据进行检测或验证并填写检验报告存档备查。备件入库验收单据上必须盖有质量检验合格章方可办理入库手续，以此杜绝不合格品进入库存的可能。连续两次出现不合格品的</w:t>
      </w:r>
      <w:r>
        <w:rPr>
          <w:rFonts w:hint="eastAsia" w:ascii="宋体" w:hAnsi="宋体" w:eastAsia="宋体" w:cs="宋体"/>
          <w:color w:val="000000"/>
          <w:sz w:val="24"/>
          <w:szCs w:val="24"/>
          <w:lang w:val="en-US" w:eastAsia="zh-CN"/>
        </w:rPr>
        <w:t>供应商</w:t>
      </w:r>
      <w:r>
        <w:rPr>
          <w:rFonts w:ascii="宋体" w:hAnsi="宋体" w:eastAsia="宋体" w:cs="宋体"/>
          <w:color w:val="000000"/>
          <w:sz w:val="24"/>
          <w:szCs w:val="24"/>
        </w:rPr>
        <w:t>，将被取消供货资格。</w:t>
      </w:r>
      <w:bookmarkStart w:id="28" w:name="_Toc19715799"/>
    </w:p>
    <w:p w14:paraId="4BACEF20">
      <w:pPr>
        <w:keepNext/>
        <w:keepLines/>
        <w:widowControl w:val="0"/>
        <w:numPr>
          <w:ilvl w:val="0"/>
          <w:numId w:val="0"/>
        </w:numPr>
        <w:spacing w:before="60" w:after="60" w:line="578" w:lineRule="auto"/>
        <w:jc w:val="both"/>
        <w:outlineLvl w:val="0"/>
        <w:rPr>
          <w:rFonts w:ascii="宋体" w:hAnsi="宋体" w:eastAsia="宋体" w:cs="Times New Roman"/>
          <w:b/>
          <w:kern w:val="28"/>
          <w:sz w:val="32"/>
          <w:szCs w:val="32"/>
          <w:lang w:val="en-US" w:eastAsia="zh-CN" w:bidi="ar-SA"/>
        </w:rPr>
      </w:pPr>
      <w:bookmarkStart w:id="29" w:name="_Toc21269"/>
      <w:bookmarkStart w:id="30" w:name="_Toc4152"/>
      <w:r>
        <w:rPr>
          <w:rFonts w:hint="eastAsia" w:ascii="宋体" w:hAnsi="宋体" w:eastAsia="宋体" w:cs="Times New Roman"/>
          <w:b/>
          <w:kern w:val="28"/>
          <w:sz w:val="32"/>
          <w:szCs w:val="32"/>
          <w:lang w:val="en-US" w:eastAsia="zh-CN" w:bidi="ar-SA"/>
        </w:rPr>
        <w:t>4.备品备件管理的工作总结</w:t>
      </w:r>
      <w:bookmarkEnd w:id="28"/>
      <w:bookmarkEnd w:id="29"/>
      <w:bookmarkEnd w:id="30"/>
    </w:p>
    <w:p w14:paraId="4AF0D243">
      <w:pPr>
        <w:spacing w:after="0" w:line="360" w:lineRule="auto"/>
        <w:ind w:left="0" w:leftChars="0" w:firstLine="480" w:firstLineChars="200"/>
        <w:rPr>
          <w:rFonts w:ascii="宋体" w:hAnsi="宋体" w:eastAsia="宋体" w:cs="宋体"/>
          <w:kern w:val="0"/>
          <w:sz w:val="24"/>
          <w:szCs w:val="20"/>
        </w:rPr>
      </w:pPr>
      <w:r>
        <w:rPr>
          <w:rFonts w:hint="eastAsia" w:ascii="宋体" w:hAnsi="宋体" w:eastAsia="宋体" w:cs="Arial"/>
          <w:sz w:val="24"/>
          <w:szCs w:val="20"/>
          <w:lang w:val="en-GB"/>
        </w:rPr>
        <w:t>近</w:t>
      </w:r>
      <w:r>
        <w:rPr>
          <w:rFonts w:hint="eastAsia" w:ascii="宋体" w:hAnsi="宋体" w:eastAsia="宋体" w:cs="Arial"/>
          <w:sz w:val="24"/>
          <w:szCs w:val="20"/>
          <w:lang w:val="en-US" w:eastAsia="zh-CN"/>
        </w:rPr>
        <w:t>三</w:t>
      </w:r>
      <w:r>
        <w:rPr>
          <w:rFonts w:hint="eastAsia" w:ascii="宋体" w:hAnsi="宋体" w:eastAsia="宋体" w:cs="Arial"/>
          <w:sz w:val="24"/>
          <w:szCs w:val="20"/>
          <w:lang w:val="en-GB"/>
        </w:rPr>
        <w:t>年来</w:t>
      </w:r>
      <w:r>
        <w:rPr>
          <w:rFonts w:ascii="宋体" w:hAnsi="宋体" w:eastAsia="宋体" w:cs="Arial"/>
          <w:sz w:val="24"/>
          <w:szCs w:val="20"/>
          <w:lang w:val="en-GB"/>
        </w:rPr>
        <w:t>，</w:t>
      </w:r>
      <w:r>
        <w:rPr>
          <w:rFonts w:hint="eastAsia" w:ascii="宋体" w:hAnsi="宋体" w:eastAsia="宋体" w:cs="Arial"/>
          <w:sz w:val="24"/>
          <w:szCs w:val="20"/>
          <w:lang w:val="en-US" w:eastAsia="zh-CN"/>
        </w:rPr>
        <w:t>公</w:t>
      </w:r>
      <w:r>
        <w:rPr>
          <w:rFonts w:hint="eastAsia" w:ascii="宋体" w:hAnsi="宋体" w:eastAsia="宋体" w:cs="Arial"/>
          <w:sz w:val="24"/>
          <w:szCs w:val="20"/>
          <w:lang w:val="en-GB"/>
        </w:rPr>
        <w:t>司根据备件</w:t>
      </w:r>
      <w:r>
        <w:rPr>
          <w:rFonts w:ascii="宋体" w:hAnsi="宋体" w:eastAsia="宋体" w:cs="Arial"/>
          <w:sz w:val="24"/>
          <w:szCs w:val="20"/>
          <w:lang w:val="en-GB"/>
        </w:rPr>
        <w:t>管理制度，严格遵循</w:t>
      </w:r>
      <w:r>
        <w:rPr>
          <w:rFonts w:ascii="宋体" w:hAnsi="宋体" w:eastAsia="宋体" w:cs="宋体"/>
          <w:kern w:val="0"/>
          <w:sz w:val="24"/>
          <w:szCs w:val="20"/>
        </w:rPr>
        <w:t>“</w:t>
      </w:r>
      <w:r>
        <w:rPr>
          <w:rFonts w:hint="eastAsia" w:ascii="宋体" w:hAnsi="宋体" w:eastAsia="宋体" w:cs="宋体"/>
          <w:kern w:val="0"/>
          <w:sz w:val="24"/>
          <w:szCs w:val="20"/>
        </w:rPr>
        <w:t>统一管理、分级负责、授权零采、统一结算、责任考核”</w:t>
      </w:r>
      <w:r>
        <w:rPr>
          <w:rFonts w:ascii="宋体" w:hAnsi="宋体" w:eastAsia="宋体" w:cs="宋体"/>
          <w:kern w:val="0"/>
          <w:sz w:val="24"/>
          <w:szCs w:val="20"/>
        </w:rPr>
        <w:t>的原则</w:t>
      </w:r>
      <w:r>
        <w:rPr>
          <w:rFonts w:hint="eastAsia" w:ascii="宋体" w:hAnsi="宋体" w:eastAsia="宋体" w:cs="宋体"/>
          <w:kern w:val="0"/>
          <w:sz w:val="24"/>
          <w:szCs w:val="20"/>
        </w:rPr>
        <w:t>管理</w:t>
      </w:r>
      <w:r>
        <w:rPr>
          <w:rFonts w:ascii="宋体" w:hAnsi="宋体" w:eastAsia="宋体" w:cs="宋体"/>
          <w:kern w:val="0"/>
          <w:sz w:val="24"/>
          <w:szCs w:val="20"/>
        </w:rPr>
        <w:t>备件库</w:t>
      </w:r>
      <w:r>
        <w:rPr>
          <w:rFonts w:hint="eastAsia" w:ascii="宋体" w:hAnsi="宋体" w:eastAsia="宋体" w:cs="宋体"/>
          <w:kern w:val="0"/>
          <w:sz w:val="24"/>
          <w:szCs w:val="20"/>
        </w:rPr>
        <w:t>，极大</w:t>
      </w:r>
      <w:r>
        <w:rPr>
          <w:rFonts w:ascii="宋体" w:hAnsi="宋体" w:eastAsia="宋体" w:cs="宋体"/>
          <w:kern w:val="0"/>
          <w:sz w:val="24"/>
          <w:szCs w:val="20"/>
        </w:rPr>
        <w:t>的提高了</w:t>
      </w:r>
      <w:r>
        <w:rPr>
          <w:rFonts w:hint="eastAsia" w:ascii="宋体" w:hAnsi="宋体" w:eastAsia="宋体" w:cs="宋体"/>
          <w:kern w:val="0"/>
          <w:sz w:val="24"/>
          <w:szCs w:val="20"/>
        </w:rPr>
        <w:t>工作</w:t>
      </w:r>
      <w:r>
        <w:rPr>
          <w:rFonts w:ascii="宋体" w:hAnsi="宋体" w:eastAsia="宋体" w:cs="宋体"/>
          <w:kern w:val="0"/>
          <w:sz w:val="24"/>
          <w:szCs w:val="20"/>
        </w:rPr>
        <w:t>质量，</w:t>
      </w:r>
      <w:r>
        <w:rPr>
          <w:rFonts w:hint="eastAsia" w:ascii="宋体" w:hAnsi="宋体" w:eastAsia="宋体" w:cs="宋体"/>
          <w:kern w:val="0"/>
          <w:sz w:val="24"/>
          <w:szCs w:val="20"/>
        </w:rPr>
        <w:t>提升</w:t>
      </w:r>
      <w:r>
        <w:rPr>
          <w:rFonts w:ascii="宋体" w:hAnsi="宋体" w:eastAsia="宋体" w:cs="宋体"/>
          <w:kern w:val="0"/>
          <w:sz w:val="24"/>
          <w:szCs w:val="20"/>
        </w:rPr>
        <w:t>了客户满意度。</w:t>
      </w:r>
    </w:p>
    <w:p w14:paraId="2114B372">
      <w:pPr>
        <w:spacing w:after="0" w:line="360" w:lineRule="auto"/>
        <w:ind w:left="0" w:leftChars="0" w:firstLine="480" w:firstLineChars="200"/>
        <w:rPr>
          <w:rFonts w:hint="eastAsia" w:ascii="宋体" w:hAnsi="宋体" w:eastAsia="宋体" w:cs="宋体"/>
          <w:kern w:val="0"/>
          <w:sz w:val="24"/>
          <w:szCs w:val="20"/>
        </w:rPr>
      </w:pPr>
      <w:r>
        <w:rPr>
          <w:rFonts w:hint="eastAsia" w:ascii="宋体" w:hAnsi="宋体" w:eastAsia="宋体" w:cs="宋体"/>
          <w:kern w:val="0"/>
          <w:sz w:val="24"/>
          <w:szCs w:val="20"/>
        </w:rPr>
        <w:t>备品备件计划管理是备品备件的一项全面、综合性的管理工作，根据</w:t>
      </w:r>
      <w:r>
        <w:rPr>
          <w:rFonts w:hint="eastAsia" w:ascii="宋体" w:hAnsi="宋体" w:eastAsia="宋体" w:cs="宋体"/>
          <w:kern w:val="0"/>
          <w:sz w:val="24"/>
          <w:szCs w:val="20"/>
          <w:lang w:val="en-US" w:eastAsia="zh-CN"/>
        </w:rPr>
        <w:t>公司</w:t>
      </w:r>
      <w:r>
        <w:rPr>
          <w:rFonts w:hint="eastAsia" w:ascii="宋体" w:hAnsi="宋体" w:eastAsia="宋体" w:cs="宋体"/>
          <w:kern w:val="0"/>
          <w:sz w:val="24"/>
          <w:szCs w:val="20"/>
        </w:rPr>
        <w:t>检修计划、技术措施、设备改造、维修需求等情况对备品备件计划进行需求计划申报、审核、采购计划编制、执行到备品备件消耗情况的信息跟踪、统计分析、改进的过程。</w:t>
      </w:r>
    </w:p>
    <w:p w14:paraId="43A17AB8">
      <w:pPr>
        <w:spacing w:after="0" w:line="360" w:lineRule="auto"/>
        <w:ind w:left="0" w:leftChars="0" w:firstLine="480" w:firstLineChars="200"/>
        <w:rPr>
          <w:rFonts w:hint="default" w:ascii="宋体" w:hAnsi="宋体" w:eastAsia="宋体" w:cs="宋体"/>
          <w:kern w:val="0"/>
          <w:sz w:val="24"/>
          <w:szCs w:val="20"/>
          <w:lang w:val="en-US" w:eastAsia="zh-CN"/>
        </w:rPr>
      </w:pPr>
      <w:r>
        <w:rPr>
          <w:rFonts w:hint="eastAsia" w:ascii="宋体" w:hAnsi="宋体" w:eastAsia="宋体" w:cs="宋体"/>
          <w:kern w:val="0"/>
          <w:sz w:val="24"/>
          <w:szCs w:val="20"/>
          <w:lang w:val="en-US" w:eastAsia="zh-CN"/>
        </w:rPr>
        <w:t>202</w:t>
      </w:r>
      <w:r>
        <w:rPr>
          <w:rFonts w:hint="eastAsia" w:ascii="宋体" w:hAnsi="宋体" w:cs="宋体"/>
          <w:kern w:val="0"/>
          <w:sz w:val="24"/>
          <w:szCs w:val="20"/>
          <w:lang w:val="en-US" w:eastAsia="zh-CN"/>
        </w:rPr>
        <w:t>5</w:t>
      </w:r>
      <w:r>
        <w:rPr>
          <w:rFonts w:hint="eastAsia" w:ascii="宋体" w:hAnsi="宋体" w:eastAsia="宋体" w:cs="宋体"/>
          <w:kern w:val="0"/>
          <w:sz w:val="24"/>
          <w:szCs w:val="20"/>
          <w:lang w:val="en-US" w:eastAsia="zh-CN"/>
        </w:rPr>
        <w:t>年</w:t>
      </w:r>
      <w:r>
        <w:rPr>
          <w:rFonts w:hint="eastAsia" w:ascii="宋体" w:hAnsi="宋体" w:cs="宋体"/>
          <w:kern w:val="0"/>
          <w:sz w:val="24"/>
          <w:szCs w:val="20"/>
          <w:lang w:val="en-US" w:eastAsia="zh-CN"/>
        </w:rPr>
        <w:t>1月-9月，</w:t>
      </w:r>
      <w:r>
        <w:rPr>
          <w:rFonts w:hint="eastAsia" w:ascii="宋体" w:hAnsi="宋体" w:eastAsia="宋体" w:cs="宋体"/>
          <w:kern w:val="0"/>
          <w:sz w:val="24"/>
          <w:szCs w:val="20"/>
          <w:lang w:val="en-US" w:eastAsia="zh-CN"/>
        </w:rPr>
        <w:t>我公司备品备件工作做到了</w:t>
      </w:r>
    </w:p>
    <w:p w14:paraId="27E9DFD2">
      <w:pPr>
        <w:spacing w:after="0" w:line="360" w:lineRule="auto"/>
        <w:ind w:left="0" w:leftChars="0" w:firstLine="480" w:firstLineChars="200"/>
        <w:rPr>
          <w:rFonts w:hint="eastAsia" w:ascii="宋体" w:hAnsi="宋体" w:eastAsia="宋体" w:cs="Arial"/>
          <w:sz w:val="24"/>
          <w:szCs w:val="20"/>
        </w:rPr>
      </w:pPr>
      <w:r>
        <w:rPr>
          <w:rFonts w:hint="eastAsia" w:ascii="宋体" w:hAnsi="宋体" w:eastAsia="宋体" w:cs="Arial"/>
          <w:sz w:val="24"/>
          <w:szCs w:val="20"/>
        </w:rPr>
        <w:t>一是根据设备完好率、现有库存等情况认真编制备件需求预算（包括资金预算），并及时送</w:t>
      </w:r>
      <w:r>
        <w:rPr>
          <w:rFonts w:hint="eastAsia" w:ascii="宋体" w:hAnsi="宋体" w:cs="Arial"/>
          <w:sz w:val="24"/>
          <w:szCs w:val="20"/>
          <w:lang w:val="en-US" w:eastAsia="zh-CN"/>
        </w:rPr>
        <w:t>运维部</w:t>
      </w:r>
      <w:r>
        <w:rPr>
          <w:rFonts w:hint="eastAsia" w:ascii="宋体" w:hAnsi="宋体" w:eastAsia="宋体" w:cs="Arial"/>
          <w:sz w:val="24"/>
          <w:szCs w:val="20"/>
        </w:rPr>
        <w:t>审批。</w:t>
      </w:r>
    </w:p>
    <w:p w14:paraId="518725A1">
      <w:pPr>
        <w:spacing w:after="0" w:line="360" w:lineRule="auto"/>
        <w:ind w:left="0" w:leftChars="0" w:firstLine="480" w:firstLineChars="200"/>
        <w:rPr>
          <w:rFonts w:hint="eastAsia" w:ascii="宋体" w:hAnsi="宋体" w:eastAsia="宋体" w:cs="Arial"/>
          <w:sz w:val="24"/>
          <w:szCs w:val="20"/>
        </w:rPr>
      </w:pPr>
      <w:r>
        <w:rPr>
          <w:rFonts w:hint="eastAsia" w:ascii="宋体" w:hAnsi="宋体" w:eastAsia="宋体" w:cs="Arial"/>
          <w:sz w:val="24"/>
          <w:szCs w:val="20"/>
        </w:rPr>
        <w:t>二是按照“比质比价、规范运作、有效控制”的原则，在公司确定的合格供应商范围内进行备品备件采购。</w:t>
      </w:r>
    </w:p>
    <w:p w14:paraId="4C4AA7A1">
      <w:pPr>
        <w:spacing w:after="0" w:line="360" w:lineRule="auto"/>
        <w:ind w:left="0" w:leftChars="0" w:firstLine="480" w:firstLineChars="200"/>
        <w:rPr>
          <w:rFonts w:hint="eastAsia" w:ascii="宋体" w:hAnsi="宋体" w:eastAsia="宋体" w:cs="Arial"/>
          <w:sz w:val="24"/>
          <w:szCs w:val="20"/>
        </w:rPr>
      </w:pPr>
      <w:r>
        <w:rPr>
          <w:rFonts w:hint="eastAsia" w:ascii="宋体" w:hAnsi="宋体" w:eastAsia="宋体" w:cs="Arial"/>
          <w:sz w:val="24"/>
          <w:szCs w:val="20"/>
        </w:rPr>
        <w:t>三是根据编制的备件采购计划，做好采购资金预算申报；备件采购回来后及时办理入库。</w:t>
      </w:r>
    </w:p>
    <w:p w14:paraId="0E912F66">
      <w:pPr>
        <w:spacing w:after="0" w:line="360" w:lineRule="auto"/>
        <w:ind w:left="0" w:leftChars="0" w:firstLine="480" w:firstLineChars="200"/>
        <w:rPr>
          <w:rFonts w:hint="eastAsia" w:ascii="宋体" w:hAnsi="宋体" w:eastAsia="宋体" w:cs="Arial"/>
          <w:sz w:val="24"/>
          <w:szCs w:val="20"/>
        </w:rPr>
      </w:pPr>
      <w:r>
        <w:rPr>
          <w:rFonts w:hint="eastAsia" w:ascii="宋体" w:hAnsi="宋体" w:eastAsia="宋体" w:cs="Arial"/>
          <w:sz w:val="24"/>
          <w:szCs w:val="20"/>
        </w:rPr>
        <w:t>四是完善相关实施细则，做好备件入出库、退库管理、备件调拨、备件盘点、健全备件管理制度等工作。</w:t>
      </w:r>
    </w:p>
    <w:p w14:paraId="3030DE46">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随着近</w:t>
      </w:r>
      <w:r>
        <w:rPr>
          <w:rFonts w:hint="eastAsia" w:ascii="Calibri" w:hAnsi="Calibri" w:eastAsia="宋体" w:cs="Times New Roman"/>
          <w:sz w:val="24"/>
          <w:szCs w:val="24"/>
          <w:lang w:val="en-US" w:eastAsia="zh-CN"/>
        </w:rPr>
        <w:t>三</w:t>
      </w:r>
      <w:r>
        <w:rPr>
          <w:rFonts w:hint="eastAsia" w:ascii="Calibri" w:hAnsi="Calibri" w:eastAsia="宋体" w:cs="Times New Roman"/>
          <w:sz w:val="24"/>
          <w:szCs w:val="24"/>
        </w:rPr>
        <w:t xml:space="preserve">年应用ITSS标准成熟度的不断完善和提升，备品备件库管理和应用方面得到了显著的提升，主要表现在以下几个方面： </w:t>
      </w:r>
    </w:p>
    <w:p w14:paraId="49D7A630">
      <w:pPr>
        <w:spacing w:after="0" w:line="360" w:lineRule="auto"/>
        <w:ind w:firstLine="482" w:firstLineChars="200"/>
        <w:rPr>
          <w:rFonts w:hint="eastAsia" w:ascii="宋体" w:hAnsi="宋体" w:eastAsia="宋体" w:cs="Arial"/>
          <w:b/>
          <w:bCs/>
          <w:sz w:val="24"/>
          <w:szCs w:val="20"/>
          <w:lang w:val="en-US" w:eastAsia="zh-CN"/>
        </w:rPr>
      </w:pPr>
      <w:bookmarkStart w:id="31" w:name="_Toc111319340"/>
      <w:r>
        <w:rPr>
          <w:rFonts w:hint="eastAsia" w:ascii="宋体" w:hAnsi="宋体" w:cs="Arial"/>
          <w:b/>
          <w:bCs/>
          <w:sz w:val="24"/>
          <w:szCs w:val="20"/>
          <w:lang w:val="en-US" w:eastAsia="zh-CN"/>
        </w:rPr>
        <w:t>4</w:t>
      </w:r>
      <w:r>
        <w:rPr>
          <w:rFonts w:hint="eastAsia" w:ascii="宋体" w:hAnsi="宋体" w:eastAsia="宋体" w:cs="Arial"/>
          <w:b/>
          <w:bCs/>
          <w:sz w:val="24"/>
          <w:szCs w:val="20"/>
          <w:lang w:val="en-US" w:eastAsia="zh-CN"/>
        </w:rPr>
        <w:t>.1备品备件库管理</w:t>
      </w:r>
      <w:bookmarkEnd w:id="31"/>
    </w:p>
    <w:p w14:paraId="45F3DC32">
      <w:pPr>
        <w:spacing w:after="0" w:line="360" w:lineRule="auto"/>
        <w:ind w:firstLine="480" w:firstLineChars="200"/>
        <w:rPr>
          <w:rFonts w:hint="eastAsia" w:ascii="Calibri" w:hAnsi="Calibri" w:eastAsia="宋体" w:cs="Times New Roman"/>
          <w:sz w:val="24"/>
          <w:szCs w:val="24"/>
        </w:rPr>
      </w:pPr>
      <w:r>
        <w:rPr>
          <w:rFonts w:hint="eastAsia" w:ascii="Calibri" w:hAnsi="Calibri" w:eastAsia="宋体" w:cs="Times New Roman"/>
          <w:sz w:val="24"/>
          <w:szCs w:val="24"/>
        </w:rPr>
        <w:t>运行ITSS后，</w:t>
      </w:r>
      <w:r>
        <w:rPr>
          <w:rFonts w:hint="eastAsia" w:ascii="Calibri" w:hAnsi="Calibri" w:cs="Times New Roman"/>
          <w:sz w:val="24"/>
          <w:szCs w:val="24"/>
          <w:lang w:val="en-US" w:eastAsia="zh-CN"/>
        </w:rPr>
        <w:t>青岛山海智城信息科技有限公司</w:t>
      </w:r>
      <w:r>
        <w:rPr>
          <w:rFonts w:hint="eastAsia" w:ascii="Calibri" w:hAnsi="Calibri" w:eastAsia="宋体" w:cs="Times New Roman"/>
          <w:sz w:val="24"/>
          <w:szCs w:val="24"/>
        </w:rPr>
        <w:t>不断加强和完善备品备件库管理和应用，严格杜绝备件计划的盲目性和不合理性，编制了备品备件管理制度</w:t>
      </w:r>
      <w:r>
        <w:rPr>
          <w:rFonts w:hint="eastAsia" w:ascii="Calibri" w:hAnsi="Calibri" w:cs="Times New Roman"/>
          <w:sz w:val="24"/>
          <w:szCs w:val="24"/>
          <w:lang w:val="en-US" w:eastAsia="zh-CN"/>
        </w:rPr>
        <w:t>和</w:t>
      </w:r>
      <w:r>
        <w:rPr>
          <w:rFonts w:hint="eastAsia" w:ascii="Calibri" w:hAnsi="Calibri" w:eastAsia="宋体" w:cs="Times New Roman"/>
          <w:sz w:val="24"/>
          <w:szCs w:val="24"/>
          <w:lang w:eastAsia="zh-CN"/>
        </w:rPr>
        <w:t>采购及供应商管理制度</w:t>
      </w:r>
      <w:r>
        <w:rPr>
          <w:rFonts w:hint="eastAsia" w:ascii="Calibri" w:hAnsi="Calibri" w:eastAsia="宋体" w:cs="Times New Roman"/>
          <w:sz w:val="24"/>
          <w:szCs w:val="24"/>
        </w:rPr>
        <w:t>，</w:t>
      </w:r>
      <w:r>
        <w:rPr>
          <w:rFonts w:hint="eastAsia" w:ascii="Calibri" w:hAnsi="Calibri" w:cs="Times New Roman"/>
          <w:sz w:val="24"/>
          <w:szCs w:val="24"/>
          <w:lang w:eastAsia="zh-CN"/>
        </w:rPr>
        <w:t>综合管理部</w:t>
      </w:r>
      <w:r>
        <w:rPr>
          <w:rFonts w:hint="eastAsia" w:ascii="Calibri" w:hAnsi="Calibri" w:cs="Times New Roman"/>
          <w:sz w:val="24"/>
          <w:szCs w:val="24"/>
          <w:lang w:val="en-US" w:eastAsia="zh-CN"/>
        </w:rPr>
        <w:t>采购专员</w:t>
      </w:r>
      <w:r>
        <w:rPr>
          <w:rFonts w:hint="eastAsia" w:ascii="Calibri" w:hAnsi="Calibri" w:eastAsia="宋体" w:cs="Times New Roman"/>
          <w:sz w:val="24"/>
          <w:szCs w:val="24"/>
        </w:rPr>
        <w:t>根据</w:t>
      </w:r>
      <w:r>
        <w:rPr>
          <w:rFonts w:hint="eastAsia" w:ascii="Calibri" w:hAnsi="Calibri" w:cs="Times New Roman"/>
          <w:sz w:val="24"/>
          <w:szCs w:val="24"/>
          <w:lang w:eastAsia="zh-CN"/>
        </w:rPr>
        <w:t>运维部</w:t>
      </w:r>
      <w:r>
        <w:rPr>
          <w:rFonts w:hint="eastAsia" w:ascii="Calibri" w:hAnsi="Calibri" w:eastAsia="宋体" w:cs="Times New Roman"/>
          <w:sz w:val="24"/>
          <w:szCs w:val="24"/>
        </w:rPr>
        <w:t>需求申请情况、备件库存量以及备件重要性，决定是否采购备品备件，有效防止了因备件采购问题给企业造成损失，同时加强了对备件供应的预测性研究，形成了一套科学、合理的备品备件储备策略。</w:t>
      </w:r>
    </w:p>
    <w:p w14:paraId="1D20F653">
      <w:pPr>
        <w:spacing w:after="0" w:line="360" w:lineRule="auto"/>
        <w:ind w:firstLine="480" w:firstLineChars="200"/>
        <w:rPr>
          <w:rFonts w:hint="eastAsia" w:ascii="Calibri" w:hAnsi="Calibri" w:eastAsia="宋体" w:cs="Times New Roman"/>
          <w:sz w:val="24"/>
          <w:szCs w:val="24"/>
          <w:lang w:eastAsia="zh-CN"/>
        </w:rPr>
      </w:pPr>
      <w:r>
        <w:rPr>
          <w:rFonts w:hint="eastAsia" w:ascii="Calibri" w:hAnsi="Calibri" w:eastAsia="宋体" w:cs="Times New Roman"/>
          <w:sz w:val="24"/>
          <w:szCs w:val="24"/>
          <w:lang w:val="en-US" w:eastAsia="zh-CN"/>
        </w:rPr>
        <w:t>自</w:t>
      </w:r>
      <w:r>
        <w:rPr>
          <w:rFonts w:hint="eastAsia" w:ascii="Calibri" w:hAnsi="Calibri" w:eastAsia="宋体" w:cs="Times New Roman"/>
          <w:sz w:val="24"/>
          <w:szCs w:val="24"/>
        </w:rPr>
        <w:t>运行ITSS后</w:t>
      </w:r>
      <w:r>
        <w:rPr>
          <w:rFonts w:hint="eastAsia" w:ascii="Calibri" w:hAnsi="Calibri" w:eastAsia="宋体" w:cs="Times New Roman"/>
          <w:sz w:val="24"/>
          <w:szCs w:val="24"/>
          <w:lang w:eastAsia="zh-CN"/>
        </w:rPr>
        <w:t>，</w:t>
      </w:r>
      <w:r>
        <w:rPr>
          <w:rFonts w:hint="eastAsia" w:ascii="Calibri" w:hAnsi="Calibri" w:cs="Times New Roman"/>
          <w:sz w:val="24"/>
          <w:szCs w:val="24"/>
          <w:lang w:val="en-US" w:eastAsia="zh-CN"/>
        </w:rPr>
        <w:t>青岛山海智城信息科技有限公司备件可用率</w:t>
      </w:r>
      <w:r>
        <w:rPr>
          <w:rFonts w:hint="eastAsia" w:ascii="Calibri" w:hAnsi="Calibri" w:eastAsia="宋体" w:cs="Times New Roman"/>
          <w:sz w:val="24"/>
          <w:szCs w:val="24"/>
        </w:rPr>
        <w:t>全部为1</w:t>
      </w:r>
      <w:r>
        <w:rPr>
          <w:rFonts w:ascii="Calibri" w:hAnsi="Calibri" w:eastAsia="宋体" w:cs="Times New Roman"/>
          <w:sz w:val="24"/>
          <w:szCs w:val="24"/>
        </w:rPr>
        <w:t>00</w:t>
      </w:r>
      <w:r>
        <w:rPr>
          <w:rFonts w:hint="eastAsia" w:ascii="Calibri" w:hAnsi="Calibri" w:eastAsia="宋体" w:cs="Times New Roman"/>
          <w:sz w:val="24"/>
          <w:szCs w:val="24"/>
        </w:rPr>
        <w:t>%，完成</w:t>
      </w:r>
      <w:r>
        <w:rPr>
          <w:rFonts w:hint="eastAsia" w:ascii="Calibri" w:hAnsi="Calibri" w:cs="Times New Roman"/>
          <w:sz w:val="24"/>
          <w:szCs w:val="24"/>
          <w:lang w:val="en-US" w:eastAsia="zh-CN"/>
        </w:rPr>
        <w:t>备件可用率</w:t>
      </w:r>
      <w:r>
        <w:rPr>
          <w:rFonts w:hint="eastAsia" w:ascii="Calibri" w:hAnsi="Calibri" w:eastAsia="宋体" w:cs="Times New Roman"/>
          <w:sz w:val="24"/>
          <w:szCs w:val="24"/>
          <w:lang w:val="en-US" w:eastAsia="zh-CN"/>
        </w:rPr>
        <w:t>≥9</w:t>
      </w:r>
      <w:r>
        <w:rPr>
          <w:rFonts w:hint="eastAsia" w:ascii="Calibri" w:hAnsi="Calibri" w:cs="Times New Roman"/>
          <w:sz w:val="24"/>
          <w:szCs w:val="24"/>
          <w:lang w:val="en-US" w:eastAsia="zh-CN"/>
        </w:rPr>
        <w:t>9</w:t>
      </w:r>
      <w:r>
        <w:rPr>
          <w:rFonts w:hint="eastAsia" w:ascii="Calibri" w:hAnsi="Calibri" w:eastAsia="宋体" w:cs="Times New Roman"/>
          <w:sz w:val="24"/>
          <w:szCs w:val="24"/>
          <w:lang w:val="en-US" w:eastAsia="zh-CN"/>
        </w:rPr>
        <w:t>%</w:t>
      </w:r>
      <w:r>
        <w:rPr>
          <w:rFonts w:hint="eastAsia" w:ascii="Calibri" w:hAnsi="Calibri" w:eastAsia="宋体" w:cs="Times New Roman"/>
          <w:sz w:val="24"/>
          <w:szCs w:val="24"/>
        </w:rPr>
        <w:t>的计划目标</w:t>
      </w:r>
      <w:r>
        <w:rPr>
          <w:rFonts w:hint="eastAsia" w:ascii="Calibri" w:hAnsi="Calibri" w:eastAsia="宋体" w:cs="Times New Roman"/>
          <w:sz w:val="24"/>
          <w:szCs w:val="24"/>
          <w:lang w:eastAsia="zh-CN"/>
        </w:rPr>
        <w:t>。</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1176"/>
        <w:gridCol w:w="1003"/>
        <w:gridCol w:w="1003"/>
        <w:gridCol w:w="2865"/>
      </w:tblGrid>
      <w:tr w14:paraId="268E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9ABB1">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目标</w:t>
            </w:r>
          </w:p>
        </w:tc>
        <w:tc>
          <w:tcPr>
            <w:tcW w:w="0" w:type="auto"/>
          </w:tcPr>
          <w:p w14:paraId="2F420D2D">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考核频次</w:t>
            </w:r>
          </w:p>
        </w:tc>
        <w:tc>
          <w:tcPr>
            <w:tcW w:w="0" w:type="auto"/>
          </w:tcPr>
          <w:p w14:paraId="2A689A92">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202</w:t>
            </w:r>
            <w:r>
              <w:rPr>
                <w:rFonts w:hint="eastAsia" w:ascii="Calibri" w:hAnsi="Calibri" w:cs="Times New Roman"/>
                <w:sz w:val="24"/>
                <w:szCs w:val="24"/>
                <w:vertAlign w:val="baseline"/>
                <w:lang w:val="en-US" w:eastAsia="zh-CN"/>
              </w:rPr>
              <w:t>3</w:t>
            </w:r>
            <w:r>
              <w:rPr>
                <w:rFonts w:hint="eastAsia" w:ascii="Calibri" w:hAnsi="Calibri" w:eastAsia="宋体" w:cs="Times New Roman"/>
                <w:sz w:val="24"/>
                <w:szCs w:val="24"/>
                <w:vertAlign w:val="baseline"/>
                <w:lang w:val="en-US" w:eastAsia="zh-CN"/>
              </w:rPr>
              <w:t>年</w:t>
            </w:r>
          </w:p>
        </w:tc>
        <w:tc>
          <w:tcPr>
            <w:tcW w:w="0" w:type="auto"/>
          </w:tcPr>
          <w:p w14:paraId="2716D5D1">
            <w:pPr>
              <w:spacing w:after="0" w:line="360" w:lineRule="auto"/>
              <w:jc w:val="center"/>
              <w:rPr>
                <w:rFonts w:hint="eastAsia"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202</w:t>
            </w:r>
            <w:r>
              <w:rPr>
                <w:rFonts w:hint="eastAsia" w:ascii="Calibri" w:hAnsi="Calibri" w:cs="Times New Roman"/>
                <w:sz w:val="24"/>
                <w:szCs w:val="24"/>
                <w:vertAlign w:val="baseline"/>
                <w:lang w:val="en-US" w:eastAsia="zh-CN"/>
              </w:rPr>
              <w:t>4</w:t>
            </w:r>
            <w:r>
              <w:rPr>
                <w:rFonts w:hint="eastAsia" w:ascii="Calibri" w:hAnsi="Calibri" w:eastAsia="宋体" w:cs="Times New Roman"/>
                <w:sz w:val="24"/>
                <w:szCs w:val="24"/>
                <w:vertAlign w:val="baseline"/>
                <w:lang w:val="en-US" w:eastAsia="zh-CN"/>
              </w:rPr>
              <w:t>年</w:t>
            </w:r>
          </w:p>
        </w:tc>
        <w:tc>
          <w:tcPr>
            <w:tcW w:w="2865" w:type="dxa"/>
          </w:tcPr>
          <w:p w14:paraId="3EC7BD14">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202</w:t>
            </w:r>
            <w:r>
              <w:rPr>
                <w:rFonts w:hint="eastAsia" w:ascii="Calibri" w:hAnsi="Calibri" w:cs="Times New Roman"/>
                <w:sz w:val="24"/>
                <w:szCs w:val="24"/>
                <w:vertAlign w:val="baseline"/>
                <w:lang w:val="en-US" w:eastAsia="zh-CN"/>
              </w:rPr>
              <w:t>5</w:t>
            </w:r>
            <w:r>
              <w:rPr>
                <w:rFonts w:hint="eastAsia" w:ascii="Calibri" w:hAnsi="Calibri" w:eastAsia="宋体" w:cs="Times New Roman"/>
                <w:sz w:val="24"/>
                <w:szCs w:val="24"/>
                <w:vertAlign w:val="baseline"/>
                <w:lang w:val="en-US" w:eastAsia="zh-CN"/>
              </w:rPr>
              <w:t>年</w:t>
            </w:r>
            <w:r>
              <w:rPr>
                <w:rFonts w:hint="eastAsia" w:ascii="Calibri" w:hAnsi="Calibri" w:cs="Times New Roman"/>
                <w:sz w:val="24"/>
                <w:szCs w:val="24"/>
                <w:vertAlign w:val="baseline"/>
                <w:lang w:val="en-US" w:eastAsia="zh-CN"/>
              </w:rPr>
              <w:t>（截至9月）</w:t>
            </w:r>
          </w:p>
        </w:tc>
      </w:tr>
      <w:tr w14:paraId="6ED4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7C7365">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cs="Times New Roman"/>
                <w:sz w:val="24"/>
                <w:szCs w:val="24"/>
                <w:lang w:val="en-US" w:eastAsia="zh-CN"/>
              </w:rPr>
              <w:t>备件可用率</w:t>
            </w:r>
            <w:r>
              <w:rPr>
                <w:rFonts w:hint="eastAsia" w:ascii="宋体" w:hAnsi="宋体" w:eastAsia="宋体" w:cs="宋体"/>
                <w:color w:val="000000"/>
                <w:kern w:val="0"/>
                <w:szCs w:val="21"/>
              </w:rPr>
              <w:t>≥9</w:t>
            </w:r>
            <w:r>
              <w:rPr>
                <w:rFonts w:hint="eastAsia" w:ascii="宋体" w:hAnsi="宋体" w:cs="宋体"/>
                <w:color w:val="000000"/>
                <w:kern w:val="0"/>
                <w:szCs w:val="21"/>
                <w:lang w:val="en-US" w:eastAsia="zh-CN"/>
              </w:rPr>
              <w:t>9</w:t>
            </w:r>
            <w:r>
              <w:rPr>
                <w:rFonts w:hint="eastAsia" w:ascii="宋体" w:hAnsi="宋体" w:eastAsia="宋体" w:cs="宋体"/>
                <w:color w:val="000000"/>
                <w:kern w:val="0"/>
                <w:szCs w:val="21"/>
              </w:rPr>
              <w:t>%</w:t>
            </w:r>
          </w:p>
        </w:tc>
        <w:tc>
          <w:tcPr>
            <w:tcW w:w="0" w:type="auto"/>
          </w:tcPr>
          <w:p w14:paraId="2DAA0AC0">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cs="Times New Roman"/>
                <w:sz w:val="24"/>
                <w:szCs w:val="24"/>
                <w:vertAlign w:val="baseline"/>
                <w:lang w:val="en-US" w:eastAsia="zh-CN"/>
              </w:rPr>
              <w:t>年</w:t>
            </w:r>
            <w:r>
              <w:rPr>
                <w:rFonts w:hint="eastAsia" w:ascii="Calibri" w:hAnsi="Calibri" w:eastAsia="宋体" w:cs="Times New Roman"/>
                <w:sz w:val="24"/>
                <w:szCs w:val="24"/>
                <w:vertAlign w:val="baseline"/>
                <w:lang w:val="en-US" w:eastAsia="zh-CN"/>
              </w:rPr>
              <w:t>度</w:t>
            </w:r>
          </w:p>
        </w:tc>
        <w:tc>
          <w:tcPr>
            <w:tcW w:w="0" w:type="auto"/>
          </w:tcPr>
          <w:p w14:paraId="69A0FD8A">
            <w:pPr>
              <w:spacing w:after="0" w:line="360" w:lineRule="auto"/>
              <w:jc w:val="center"/>
              <w:rPr>
                <w:rFonts w:hint="default"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100%</w:t>
            </w:r>
          </w:p>
        </w:tc>
        <w:tc>
          <w:tcPr>
            <w:tcW w:w="0" w:type="auto"/>
          </w:tcPr>
          <w:p w14:paraId="51903358">
            <w:pPr>
              <w:spacing w:after="0" w:line="360" w:lineRule="auto"/>
              <w:jc w:val="center"/>
              <w:rPr>
                <w:rFonts w:hint="eastAsia"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100%</w:t>
            </w:r>
          </w:p>
        </w:tc>
        <w:tc>
          <w:tcPr>
            <w:tcW w:w="2865" w:type="dxa"/>
          </w:tcPr>
          <w:p w14:paraId="454FBC62">
            <w:pPr>
              <w:spacing w:after="0" w:line="360" w:lineRule="auto"/>
              <w:jc w:val="center"/>
              <w:rPr>
                <w:rFonts w:hint="eastAsia" w:ascii="Calibri" w:hAnsi="Calibri" w:eastAsia="宋体" w:cs="Times New Roman"/>
                <w:sz w:val="24"/>
                <w:szCs w:val="24"/>
                <w:vertAlign w:val="baseline"/>
                <w:lang w:val="en-US" w:eastAsia="zh-CN"/>
              </w:rPr>
            </w:pPr>
            <w:r>
              <w:rPr>
                <w:rFonts w:hint="eastAsia" w:ascii="Calibri" w:hAnsi="Calibri" w:eastAsia="宋体" w:cs="Times New Roman"/>
                <w:sz w:val="24"/>
                <w:szCs w:val="24"/>
                <w:vertAlign w:val="baseline"/>
                <w:lang w:val="en-US" w:eastAsia="zh-CN"/>
              </w:rPr>
              <w:t>100%</w:t>
            </w:r>
          </w:p>
        </w:tc>
      </w:tr>
    </w:tbl>
    <w:p w14:paraId="4A937475">
      <w:pPr>
        <w:spacing w:after="0" w:line="360" w:lineRule="auto"/>
        <w:rPr>
          <w:rFonts w:hint="default" w:ascii="Calibri" w:hAnsi="Calibri" w:eastAsia="宋体" w:cs="Times New Roman"/>
          <w:sz w:val="24"/>
          <w:szCs w:val="24"/>
          <w:lang w:val="en-US" w:eastAsia="zh-CN"/>
        </w:rPr>
      </w:pPr>
    </w:p>
    <w:p w14:paraId="37D9D34F">
      <w:pPr>
        <w:spacing w:after="0" w:line="360" w:lineRule="auto"/>
        <w:ind w:firstLine="482" w:firstLineChars="200"/>
        <w:rPr>
          <w:rFonts w:hint="eastAsia" w:ascii="宋体" w:hAnsi="宋体" w:eastAsia="宋体" w:cs="Arial"/>
          <w:b/>
          <w:bCs/>
          <w:sz w:val="24"/>
          <w:szCs w:val="20"/>
          <w:lang w:val="en-US" w:eastAsia="zh-CN"/>
        </w:rPr>
      </w:pPr>
      <w:bookmarkStart w:id="32" w:name="_Toc111319341"/>
      <w:r>
        <w:rPr>
          <w:rFonts w:hint="eastAsia" w:ascii="宋体" w:hAnsi="宋体" w:cs="Arial"/>
          <w:b/>
          <w:bCs/>
          <w:sz w:val="24"/>
          <w:szCs w:val="20"/>
          <w:lang w:val="en-US" w:eastAsia="zh-CN"/>
        </w:rPr>
        <w:t>4.</w:t>
      </w:r>
      <w:r>
        <w:rPr>
          <w:rFonts w:hint="eastAsia" w:ascii="宋体" w:hAnsi="宋体" w:eastAsia="宋体" w:cs="Arial"/>
          <w:b/>
          <w:bCs/>
          <w:sz w:val="24"/>
          <w:szCs w:val="20"/>
          <w:lang w:val="en-US" w:eastAsia="zh-CN"/>
        </w:rPr>
        <w:t>2备品备件出入库管理</w:t>
      </w:r>
      <w:bookmarkEnd w:id="32"/>
    </w:p>
    <w:p w14:paraId="402EBC2B">
      <w:pPr>
        <w:spacing w:after="0" w:line="360" w:lineRule="auto"/>
        <w:ind w:firstLine="480" w:firstLineChars="200"/>
        <w:rPr>
          <w:rFonts w:hint="eastAsia" w:ascii="Calibri" w:hAnsi="Calibri" w:eastAsia="宋体" w:cs="Times New Roman"/>
          <w:kern w:val="2"/>
          <w:sz w:val="24"/>
          <w:szCs w:val="24"/>
          <w:lang w:val="en-US" w:eastAsia="zh-CN" w:bidi="ar-SA"/>
        </w:rPr>
      </w:pPr>
      <w:r>
        <w:rPr>
          <w:rFonts w:hint="eastAsia" w:ascii="Calibri" w:hAnsi="Calibri" w:eastAsia="宋体" w:cs="Times New Roman"/>
          <w:sz w:val="24"/>
          <w:szCs w:val="24"/>
        </w:rPr>
        <w:t>备品备件库建立之初缺少相关的备品备件管理制度，运维服务人员可随意领用备品备件，使得备品备件出入库记录混乱，造成备品备件的过度损失。随着ITSS标准的引入运行，公司制定了备品备件管理制度，规定了备品备件库的管理职责分工及出入库要求，重新制定备品备件库出入库流程：</w:t>
      </w:r>
    </w:p>
    <w:p w14:paraId="29D2D83F">
      <w:pPr>
        <w:widowControl w:val="0"/>
        <w:numPr>
          <w:ilvl w:val="0"/>
          <w:numId w:val="7"/>
        </w:numPr>
        <w:autoSpaceDE/>
        <w:autoSpaceDN/>
        <w:spacing w:after="0" w:line="360" w:lineRule="auto"/>
        <w:ind w:left="900" w:hanging="420"/>
        <w:jc w:val="both"/>
        <w:rPr>
          <w:rFonts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备品备件由</w:t>
      </w:r>
      <w:r>
        <w:rPr>
          <w:rFonts w:hint="eastAsia" w:ascii="Calibri" w:hAnsi="Calibri" w:cs="Times New Roman"/>
          <w:kern w:val="2"/>
          <w:sz w:val="24"/>
          <w:szCs w:val="24"/>
          <w:lang w:val="en-US" w:eastAsia="zh-CN" w:bidi="ar-SA"/>
        </w:rPr>
        <w:t>采购专员</w:t>
      </w:r>
      <w:r>
        <w:rPr>
          <w:rFonts w:hint="eastAsia" w:ascii="Calibri" w:hAnsi="Calibri" w:eastAsia="宋体" w:cs="Times New Roman"/>
          <w:kern w:val="2"/>
          <w:sz w:val="24"/>
          <w:szCs w:val="24"/>
          <w:lang w:val="en-US" w:eastAsia="zh-CN" w:bidi="ar-SA"/>
        </w:rPr>
        <w:t>依据</w:t>
      </w:r>
      <w:r>
        <w:rPr>
          <w:rFonts w:hint="eastAsia" w:ascii="Calibri" w:hAnsi="Calibri" w:cs="Times New Roman"/>
          <w:kern w:val="2"/>
          <w:sz w:val="24"/>
          <w:szCs w:val="24"/>
          <w:lang w:val="en-US" w:eastAsia="zh-CN" w:bidi="ar-SA"/>
        </w:rPr>
        <w:t>运维部</w:t>
      </w:r>
      <w:r>
        <w:rPr>
          <w:rFonts w:hint="eastAsia" w:ascii="Calibri" w:hAnsi="Calibri" w:eastAsia="宋体" w:cs="Times New Roman"/>
          <w:kern w:val="2"/>
          <w:sz w:val="24"/>
          <w:szCs w:val="24"/>
          <w:lang w:val="en-US" w:eastAsia="zh-CN" w:bidi="ar-SA"/>
        </w:rPr>
        <w:t>经理批准的运维备件采购需求单进行采购，备品备件组负责人根据</w:t>
      </w:r>
      <w:r>
        <w:rPr>
          <w:rFonts w:hint="eastAsia" w:ascii="Calibri" w:hAnsi="Calibri" w:cs="Times New Roman"/>
          <w:kern w:val="2"/>
          <w:sz w:val="24"/>
          <w:szCs w:val="24"/>
          <w:lang w:val="en-US" w:eastAsia="zh-CN" w:bidi="ar-SA"/>
        </w:rPr>
        <w:t>运维部</w:t>
      </w:r>
      <w:r>
        <w:rPr>
          <w:rFonts w:hint="eastAsia" w:ascii="Calibri" w:hAnsi="Calibri" w:eastAsia="宋体" w:cs="Times New Roman"/>
          <w:kern w:val="2"/>
          <w:sz w:val="24"/>
          <w:szCs w:val="24"/>
          <w:lang w:val="en-US" w:eastAsia="zh-CN" w:bidi="ar-SA"/>
        </w:rPr>
        <w:t>下达的运维项目备件需求表直接联系第三方备品备件库配送货品。</w:t>
      </w:r>
      <w:r>
        <w:rPr>
          <w:rFonts w:hint="eastAsia" w:ascii="Calibri" w:hAnsi="Calibri" w:cs="Times New Roman"/>
          <w:kern w:val="2"/>
          <w:sz w:val="24"/>
          <w:szCs w:val="24"/>
          <w:lang w:val="en-US" w:eastAsia="zh-CN" w:bidi="ar-SA"/>
        </w:rPr>
        <w:t>库存管理专员</w:t>
      </w:r>
      <w:r>
        <w:rPr>
          <w:rFonts w:hint="eastAsia" w:ascii="Calibri" w:hAnsi="Calibri" w:eastAsia="宋体" w:cs="Times New Roman"/>
          <w:kern w:val="2"/>
          <w:sz w:val="24"/>
          <w:szCs w:val="24"/>
          <w:lang w:val="en-US" w:eastAsia="zh-CN" w:bidi="ar-SA"/>
        </w:rPr>
        <w:t>要根据响应级别和备件要求到达时间与运维备件供应商沟通确定是否能在响应时间内及时供货，确保按时按量满足运维备件使用需求，备件入备件库。</w:t>
      </w:r>
    </w:p>
    <w:p w14:paraId="40A59EE2">
      <w:pPr>
        <w:widowControl w:val="0"/>
        <w:numPr>
          <w:ilvl w:val="0"/>
          <w:numId w:val="7"/>
        </w:numPr>
        <w:autoSpaceDE/>
        <w:autoSpaceDN/>
        <w:spacing w:after="0" w:line="360" w:lineRule="auto"/>
        <w:ind w:left="900" w:hanging="420"/>
        <w:jc w:val="both"/>
        <w:rPr>
          <w:rFonts w:ascii="Calibri" w:hAnsi="Calibri" w:eastAsia="宋体" w:cs="Times New Roman"/>
          <w:kern w:val="2"/>
          <w:sz w:val="24"/>
          <w:szCs w:val="24"/>
          <w:lang w:val="en-US" w:eastAsia="zh-CN" w:bidi="ar-SA"/>
        </w:rPr>
      </w:pPr>
      <w:r>
        <w:rPr>
          <w:rFonts w:hint="eastAsia" w:ascii="Calibri" w:hAnsi="Calibri" w:eastAsia="宋体" w:cs="Times New Roman"/>
          <w:kern w:val="2"/>
          <w:sz w:val="24"/>
          <w:szCs w:val="24"/>
          <w:lang w:val="en-US" w:eastAsia="zh-CN" w:bidi="ar-SA"/>
        </w:rPr>
        <w:t>针对已经签订合同的第三方备品备件库，由</w:t>
      </w:r>
      <w:r>
        <w:rPr>
          <w:rFonts w:hint="eastAsia" w:ascii="Calibri" w:hAnsi="Calibri" w:cs="Times New Roman"/>
          <w:kern w:val="2"/>
          <w:sz w:val="24"/>
          <w:szCs w:val="24"/>
          <w:lang w:val="en-US" w:eastAsia="zh-CN" w:bidi="ar-SA"/>
        </w:rPr>
        <w:t>运维部</w:t>
      </w:r>
      <w:r>
        <w:rPr>
          <w:rFonts w:hint="eastAsia" w:ascii="Calibri" w:hAnsi="Calibri" w:eastAsia="宋体" w:cs="Times New Roman"/>
          <w:kern w:val="2"/>
          <w:sz w:val="24"/>
          <w:szCs w:val="24"/>
          <w:lang w:val="en-US" w:eastAsia="zh-CN" w:bidi="ar-SA"/>
        </w:rPr>
        <w:t>提出故障件更换需求，第三方备件库根据合同SLA现场响应，完成备件库出件。</w:t>
      </w:r>
    </w:p>
    <w:p w14:paraId="1D357850">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通过定期梳理备品备件出入库记录，并加强对备品备件库的盘点，不断减少人为及非合理性领用等因素造成的库存损失。</w:t>
      </w:r>
    </w:p>
    <w:p w14:paraId="5051046B">
      <w:pPr>
        <w:spacing w:after="0" w:line="360" w:lineRule="auto"/>
        <w:ind w:firstLine="482" w:firstLineChars="200"/>
        <w:rPr>
          <w:rFonts w:hint="eastAsia" w:ascii="宋体" w:hAnsi="宋体" w:eastAsia="宋体" w:cs="Arial"/>
          <w:b/>
          <w:bCs/>
          <w:sz w:val="24"/>
          <w:szCs w:val="20"/>
          <w:lang w:val="en-US" w:eastAsia="zh-CN"/>
        </w:rPr>
      </w:pPr>
      <w:bookmarkStart w:id="33" w:name="_Toc111319342"/>
    </w:p>
    <w:p w14:paraId="429665C2">
      <w:pPr>
        <w:spacing w:after="0" w:line="360" w:lineRule="auto"/>
        <w:ind w:firstLine="482" w:firstLineChars="200"/>
        <w:rPr>
          <w:rFonts w:hint="eastAsia" w:ascii="宋体" w:hAnsi="宋体" w:eastAsia="宋体" w:cs="Arial"/>
          <w:b/>
          <w:bCs/>
          <w:sz w:val="24"/>
          <w:szCs w:val="20"/>
          <w:lang w:val="en-US" w:eastAsia="zh-CN"/>
        </w:rPr>
      </w:pPr>
      <w:r>
        <w:rPr>
          <w:rFonts w:hint="eastAsia" w:ascii="宋体" w:hAnsi="宋体" w:cs="Arial"/>
          <w:b/>
          <w:bCs/>
          <w:sz w:val="24"/>
          <w:szCs w:val="20"/>
          <w:lang w:val="en-US" w:eastAsia="zh-CN"/>
        </w:rPr>
        <w:t>4</w:t>
      </w:r>
      <w:r>
        <w:rPr>
          <w:rFonts w:hint="eastAsia" w:ascii="宋体" w:hAnsi="宋体" w:eastAsia="宋体" w:cs="Arial"/>
          <w:b/>
          <w:bCs/>
          <w:sz w:val="24"/>
          <w:szCs w:val="20"/>
          <w:lang w:val="en-US" w:eastAsia="zh-CN"/>
        </w:rPr>
        <w:t>.3备品备件可用性管理</w:t>
      </w:r>
      <w:bookmarkEnd w:id="33"/>
    </w:p>
    <w:p w14:paraId="1C438A74">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未引入ITSS标准之前，公司缺少完备的备品备件管理制度，对备件出厂日期方面管理有所疏忽，常常导致备件非自然损耗，造成部分备件在使用时，才发现年限已到期的情况。</w:t>
      </w:r>
    </w:p>
    <w:p w14:paraId="151E2243">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随着ITSS标准的应用，公司制定了完善的备品备件管理制度，在设备出入库流程、供应商合同、新品使用及供评定方面工作已经日益成熟。</w:t>
      </w:r>
    </w:p>
    <w:p w14:paraId="30A0D21B">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此外，</w:t>
      </w:r>
      <w:r>
        <w:rPr>
          <w:rFonts w:hint="eastAsia" w:ascii="Calibri" w:hAnsi="Calibri" w:eastAsia="宋体" w:cs="Times New Roman"/>
          <w:sz w:val="24"/>
          <w:szCs w:val="24"/>
          <w:lang w:val="en-US" w:eastAsia="zh-CN"/>
        </w:rPr>
        <w:t>每</w:t>
      </w:r>
      <w:r>
        <w:rPr>
          <w:rFonts w:hint="eastAsia" w:ascii="Calibri" w:hAnsi="Calibri" w:cs="Times New Roman"/>
          <w:sz w:val="24"/>
          <w:szCs w:val="24"/>
          <w:lang w:val="en-US" w:eastAsia="zh-CN"/>
        </w:rPr>
        <w:t>年度</w:t>
      </w:r>
      <w:r>
        <w:rPr>
          <w:rFonts w:hint="eastAsia" w:ascii="Calibri" w:hAnsi="Calibri" w:eastAsia="宋体" w:cs="Times New Roman"/>
          <w:sz w:val="24"/>
          <w:szCs w:val="24"/>
        </w:rPr>
        <w:t>核查备件状态，出现过期情况及时记录并调换设备，实现了备品备件存放的科学管理和控制，</w:t>
      </w:r>
      <w:r>
        <w:rPr>
          <w:rFonts w:hint="eastAsia" w:ascii="Calibri" w:hAnsi="Calibri" w:cs="Times New Roman"/>
          <w:sz w:val="24"/>
          <w:szCs w:val="24"/>
          <w:lang w:eastAsia="zh-CN"/>
        </w:rPr>
        <w:t>备件可用率</w:t>
      </w:r>
      <w:r>
        <w:rPr>
          <w:rFonts w:hint="eastAsia" w:ascii="Calibri" w:hAnsi="Calibri" w:eastAsia="宋体" w:cs="Times New Roman"/>
          <w:sz w:val="24"/>
          <w:szCs w:val="24"/>
        </w:rPr>
        <w:t>全部为1</w:t>
      </w:r>
      <w:r>
        <w:rPr>
          <w:rFonts w:ascii="Calibri" w:hAnsi="Calibri" w:eastAsia="宋体" w:cs="Times New Roman"/>
          <w:sz w:val="24"/>
          <w:szCs w:val="24"/>
        </w:rPr>
        <w:t>00</w:t>
      </w:r>
      <w:r>
        <w:rPr>
          <w:rFonts w:hint="eastAsia" w:ascii="Calibri" w:hAnsi="Calibri" w:eastAsia="宋体" w:cs="Times New Roman"/>
          <w:sz w:val="24"/>
          <w:szCs w:val="24"/>
        </w:rPr>
        <w:t>%，完成</w:t>
      </w:r>
      <w:r>
        <w:rPr>
          <w:rFonts w:hint="eastAsia" w:ascii="Calibri" w:hAnsi="Calibri" w:eastAsia="宋体" w:cs="Times New Roman"/>
          <w:sz w:val="24"/>
          <w:szCs w:val="24"/>
          <w:lang w:val="en-US" w:eastAsia="zh-CN"/>
        </w:rPr>
        <w:t>每</w:t>
      </w:r>
      <w:r>
        <w:rPr>
          <w:rFonts w:hint="eastAsia" w:ascii="Calibri" w:hAnsi="Calibri" w:cs="Times New Roman"/>
          <w:sz w:val="24"/>
          <w:szCs w:val="24"/>
          <w:lang w:val="en-US" w:eastAsia="zh-CN"/>
        </w:rPr>
        <w:t>年度</w:t>
      </w:r>
      <w:r>
        <w:rPr>
          <w:rFonts w:hint="eastAsia" w:ascii="Calibri" w:hAnsi="Calibri" w:eastAsia="宋体" w:cs="Times New Roman"/>
          <w:sz w:val="24"/>
          <w:szCs w:val="24"/>
        </w:rPr>
        <w:t>≥9</w:t>
      </w:r>
      <w:r>
        <w:rPr>
          <w:rFonts w:hint="eastAsia" w:ascii="Calibri" w:hAnsi="Calibri" w:cs="Times New Roman"/>
          <w:sz w:val="24"/>
          <w:szCs w:val="24"/>
          <w:lang w:val="en-US" w:eastAsia="zh-CN"/>
        </w:rPr>
        <w:t>9</w:t>
      </w:r>
      <w:r>
        <w:rPr>
          <w:rFonts w:hint="eastAsia" w:ascii="Calibri" w:hAnsi="Calibri" w:eastAsia="宋体" w:cs="Times New Roman"/>
          <w:sz w:val="24"/>
          <w:szCs w:val="24"/>
        </w:rPr>
        <w:t>%的计划目标。</w:t>
      </w:r>
    </w:p>
    <w:p w14:paraId="0AFB9C4F">
      <w:pPr>
        <w:spacing w:after="0" w:line="360" w:lineRule="auto"/>
        <w:ind w:firstLine="482" w:firstLineChars="200"/>
        <w:rPr>
          <w:rFonts w:hint="eastAsia" w:ascii="宋体" w:hAnsi="宋体" w:eastAsia="宋体" w:cs="Arial"/>
          <w:b/>
          <w:bCs/>
          <w:sz w:val="24"/>
          <w:szCs w:val="20"/>
          <w:lang w:val="en-US" w:eastAsia="zh-CN"/>
        </w:rPr>
      </w:pPr>
      <w:bookmarkStart w:id="34" w:name="_Toc111319343"/>
      <w:r>
        <w:rPr>
          <w:rFonts w:hint="eastAsia" w:ascii="宋体" w:hAnsi="宋体" w:cs="Arial"/>
          <w:b/>
          <w:bCs/>
          <w:sz w:val="24"/>
          <w:szCs w:val="20"/>
          <w:lang w:val="en-US" w:eastAsia="zh-CN"/>
        </w:rPr>
        <w:t>4</w:t>
      </w:r>
      <w:r>
        <w:rPr>
          <w:rFonts w:hint="eastAsia" w:ascii="宋体" w:hAnsi="宋体" w:eastAsia="宋体" w:cs="Arial"/>
          <w:b/>
          <w:bCs/>
          <w:sz w:val="24"/>
          <w:szCs w:val="20"/>
          <w:lang w:val="en-US" w:eastAsia="zh-CN"/>
        </w:rPr>
        <w:t>.4备件使用规范</w:t>
      </w:r>
      <w:bookmarkEnd w:id="34"/>
    </w:p>
    <w:p w14:paraId="20CFE7CE">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根据客户要求和标准规范，在运维服务过程中，服务人员严格遵守使用操作规范要求：</w:t>
      </w:r>
    </w:p>
    <w:p w14:paraId="3B09D886">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1)</w:t>
      </w:r>
      <w:r>
        <w:rPr>
          <w:rFonts w:hint="eastAsia" w:ascii="Calibri" w:hAnsi="Calibri" w:eastAsia="宋体" w:cs="Times New Roman"/>
          <w:sz w:val="24"/>
          <w:szCs w:val="24"/>
        </w:rPr>
        <w:tab/>
      </w:r>
      <w:r>
        <w:rPr>
          <w:rFonts w:hint="eastAsia" w:ascii="Calibri" w:hAnsi="Calibri" w:eastAsia="宋体" w:cs="Times New Roman"/>
          <w:sz w:val="24"/>
          <w:szCs w:val="24"/>
        </w:rPr>
        <w:t>运维服务人员对更换下来的零部件应进行分类整理，用标签写明处理日期、故障代码等信息，仓库进行更换；</w:t>
      </w:r>
    </w:p>
    <w:p w14:paraId="226767F9">
      <w:pPr>
        <w:spacing w:after="0" w:line="360" w:lineRule="auto"/>
        <w:ind w:firstLine="480" w:firstLineChars="200"/>
        <w:rPr>
          <w:rFonts w:ascii="Calibri" w:hAnsi="Calibri" w:eastAsia="宋体" w:cs="Times New Roman"/>
          <w:sz w:val="24"/>
          <w:szCs w:val="24"/>
        </w:rPr>
      </w:pPr>
      <w:r>
        <w:rPr>
          <w:rFonts w:hint="eastAsia" w:ascii="Calibri" w:hAnsi="Calibri" w:eastAsia="宋体" w:cs="Times New Roman"/>
          <w:sz w:val="24"/>
          <w:szCs w:val="24"/>
        </w:rPr>
        <w:t>2)</w:t>
      </w:r>
      <w:r>
        <w:rPr>
          <w:rFonts w:hint="eastAsia" w:ascii="Calibri" w:hAnsi="Calibri" w:eastAsia="宋体" w:cs="Times New Roman"/>
          <w:sz w:val="24"/>
          <w:szCs w:val="24"/>
        </w:rPr>
        <w:tab/>
      </w:r>
      <w:r>
        <w:rPr>
          <w:rFonts w:hint="eastAsia" w:ascii="Calibri" w:hAnsi="Calibri" w:eastAsia="宋体" w:cs="Times New Roman"/>
          <w:sz w:val="24"/>
          <w:szCs w:val="24"/>
        </w:rPr>
        <w:t>运维人员应爱护和保管好设备零部件模块；</w:t>
      </w:r>
    </w:p>
    <w:p w14:paraId="725D6C43">
      <w:pPr>
        <w:spacing w:after="0" w:line="360" w:lineRule="auto"/>
        <w:ind w:firstLine="480" w:firstLineChars="200"/>
        <w:rPr>
          <w:rFonts w:hint="eastAsia" w:ascii="Calibri" w:hAnsi="Calibri" w:eastAsia="宋体" w:cs="Times New Roman"/>
          <w:sz w:val="24"/>
          <w:szCs w:val="24"/>
        </w:rPr>
      </w:pPr>
      <w:r>
        <w:rPr>
          <w:rFonts w:hint="eastAsia" w:ascii="Calibri" w:hAnsi="Calibri" w:eastAsia="宋体" w:cs="Times New Roman"/>
          <w:sz w:val="24"/>
          <w:szCs w:val="24"/>
        </w:rPr>
        <w:t>3)</w:t>
      </w:r>
      <w:r>
        <w:rPr>
          <w:rFonts w:hint="eastAsia" w:ascii="Calibri" w:hAnsi="Calibri" w:eastAsia="宋体" w:cs="Times New Roman"/>
          <w:sz w:val="24"/>
          <w:szCs w:val="24"/>
        </w:rPr>
        <w:tab/>
      </w:r>
      <w:r>
        <w:rPr>
          <w:rFonts w:hint="eastAsia" w:ascii="Calibri" w:hAnsi="Calibri" w:eastAsia="宋体" w:cs="Times New Roman"/>
          <w:sz w:val="24"/>
          <w:szCs w:val="24"/>
        </w:rPr>
        <w:t>备件保证用于项目的维修使用，不得挪作他用。</w:t>
      </w:r>
    </w:p>
    <w:p w14:paraId="5DA388F8">
      <w:pPr>
        <w:keepNext/>
        <w:keepLines w:val="0"/>
        <w:pageBreakBefore w:val="0"/>
        <w:widowControl/>
        <w:numPr>
          <w:ilvl w:val="0"/>
          <w:numId w:val="8"/>
        </w:numPr>
        <w:kinsoku/>
        <w:wordWrap/>
        <w:overflowPunct/>
        <w:topLinePunct w:val="0"/>
        <w:autoSpaceDE/>
        <w:autoSpaceDN/>
        <w:bidi w:val="0"/>
        <w:adjustRightInd/>
        <w:snapToGrid/>
        <w:spacing w:before="60" w:after="60" w:line="579" w:lineRule="auto"/>
        <w:jc w:val="both"/>
        <w:textAlignment w:val="auto"/>
        <w:outlineLvl w:val="0"/>
        <w:rPr>
          <w:rFonts w:hint="default" w:ascii="宋体" w:hAnsi="宋体" w:cs="Times New Roman"/>
          <w:b/>
          <w:kern w:val="28"/>
          <w:sz w:val="32"/>
          <w:szCs w:val="32"/>
          <w:lang w:val="en-US" w:eastAsia="zh-CN" w:bidi="ar-SA"/>
        </w:rPr>
      </w:pPr>
      <w:bookmarkStart w:id="35" w:name="_Toc14003"/>
      <w:bookmarkStart w:id="36" w:name="_Toc300"/>
      <w:bookmarkStart w:id="37" w:name="_Toc13633"/>
      <w:r>
        <w:rPr>
          <w:rFonts w:hint="eastAsia" w:ascii="宋体" w:hAnsi="宋体" w:eastAsia="宋体" w:cs="Times New Roman"/>
          <w:b/>
          <w:kern w:val="28"/>
          <w:sz w:val="32"/>
          <w:szCs w:val="32"/>
          <w:lang w:val="en-US" w:eastAsia="zh-CN" w:bidi="ar-SA"/>
        </w:rPr>
        <w:t>备</w:t>
      </w:r>
      <w:bookmarkEnd w:id="35"/>
      <w:bookmarkEnd w:id="36"/>
      <w:r>
        <w:rPr>
          <w:rFonts w:hint="eastAsia" w:ascii="宋体" w:hAnsi="宋体" w:eastAsia="宋体" w:cs="Times New Roman"/>
          <w:b/>
          <w:kern w:val="28"/>
          <w:sz w:val="32"/>
          <w:szCs w:val="32"/>
          <w:lang w:val="en-US" w:eastAsia="zh-CN" w:bidi="ar-SA"/>
        </w:rPr>
        <w:t>品备件规范管理给公司带来的好处</w:t>
      </w:r>
      <w:bookmarkEnd w:id="37"/>
    </w:p>
    <w:p w14:paraId="0B870548">
      <w:pPr>
        <w:tabs>
          <w:tab w:val="center" w:pos="4153"/>
        </w:tabs>
        <w:spacing w:line="360" w:lineRule="auto"/>
        <w:ind w:firstLine="560"/>
        <w:rPr>
          <w:rFonts w:hint="eastAsia" w:ascii="宋体" w:hAnsi="宋体"/>
          <w:color w:val="000000"/>
          <w:sz w:val="24"/>
          <w:szCs w:val="24"/>
          <w:lang w:eastAsia="zh-CN"/>
        </w:rPr>
      </w:pPr>
      <w:r>
        <w:rPr>
          <w:rFonts w:hint="eastAsia" w:ascii="宋体" w:hAnsi="宋体"/>
          <w:color w:val="000000"/>
          <w:sz w:val="24"/>
          <w:szCs w:val="24"/>
          <w:lang w:eastAsia="zh-CN"/>
        </w:rPr>
        <w:t>自公司实施备品备件管理制度以来，IT运维服务项目的顺利开展得到了有力支持，显著增强了及时向客户提供合格备件的能力。通过强化对备件的管理并明确流程，公司的制度更加标准化，工作效率得到了有效提升。具体成效如下：</w:t>
      </w:r>
    </w:p>
    <w:p w14:paraId="5CE085F5">
      <w:pPr>
        <w:spacing w:after="0" w:line="360" w:lineRule="auto"/>
        <w:ind w:firstLine="482" w:firstLineChars="200"/>
        <w:rPr>
          <w:rFonts w:hint="eastAsia" w:ascii="宋体" w:hAnsi="宋体" w:eastAsia="宋体" w:cs="Arial"/>
          <w:b/>
          <w:bCs/>
          <w:sz w:val="24"/>
          <w:szCs w:val="20"/>
          <w:lang w:val="en-US" w:eastAsia="zh-CN"/>
        </w:rPr>
      </w:pPr>
      <w:r>
        <w:rPr>
          <w:rFonts w:hint="eastAsia" w:ascii="宋体" w:hAnsi="宋体" w:cs="Arial"/>
          <w:b/>
          <w:bCs/>
          <w:sz w:val="24"/>
          <w:szCs w:val="20"/>
          <w:lang w:val="en-US" w:eastAsia="zh-CN"/>
        </w:rPr>
        <w:t>5</w:t>
      </w:r>
      <w:r>
        <w:rPr>
          <w:rFonts w:hint="eastAsia" w:ascii="宋体" w:hAnsi="宋体" w:eastAsia="宋体" w:cs="Arial"/>
          <w:b/>
          <w:bCs/>
          <w:sz w:val="24"/>
          <w:szCs w:val="20"/>
          <w:lang w:val="en-US" w:eastAsia="zh-CN"/>
        </w:rPr>
        <w:t>.1 优化备件采购流程</w:t>
      </w:r>
    </w:p>
    <w:p w14:paraId="3844A2B7">
      <w:pPr>
        <w:tabs>
          <w:tab w:val="center" w:pos="4153"/>
        </w:tabs>
        <w:spacing w:line="360" w:lineRule="auto"/>
        <w:ind w:firstLine="560"/>
        <w:rPr>
          <w:rFonts w:hint="eastAsia" w:ascii="宋体" w:hAnsi="宋体"/>
          <w:color w:val="000000"/>
          <w:sz w:val="24"/>
          <w:szCs w:val="24"/>
          <w:lang w:eastAsia="zh-CN"/>
        </w:rPr>
      </w:pPr>
      <w:r>
        <w:rPr>
          <w:rFonts w:hint="eastAsia" w:ascii="宋体" w:hAnsi="宋体"/>
          <w:color w:val="000000"/>
          <w:sz w:val="24"/>
          <w:szCs w:val="24"/>
          <w:lang w:eastAsia="zh-CN"/>
        </w:rPr>
        <w:t>依据备件管理制度，备件采购分为三类：</w:t>
      </w:r>
    </w:p>
    <w:p w14:paraId="3CFF856C">
      <w:pPr>
        <w:tabs>
          <w:tab w:val="center" w:pos="4153"/>
        </w:tabs>
        <w:spacing w:line="360" w:lineRule="auto"/>
        <w:ind w:firstLine="560"/>
        <w:rPr>
          <w:rFonts w:ascii="宋体" w:hAnsi="宋体"/>
          <w:color w:val="000000"/>
          <w:sz w:val="24"/>
          <w:szCs w:val="24"/>
        </w:rPr>
      </w:pPr>
      <w:r>
        <w:rPr>
          <w:rFonts w:hint="eastAsia" w:ascii="宋体" w:hAnsi="宋体"/>
          <w:color w:val="000000"/>
          <w:sz w:val="24"/>
          <w:szCs w:val="24"/>
        </w:rPr>
        <w:t>1.</w:t>
      </w:r>
      <w:r>
        <w:rPr>
          <w:rFonts w:hint="eastAsia" w:ascii="宋体" w:hAnsi="宋体" w:eastAsia="宋体" w:cs="Times New Roman"/>
          <w:color w:val="000000"/>
          <w:kern w:val="2"/>
          <w:sz w:val="24"/>
          <w:szCs w:val="24"/>
          <w:lang w:val="en-US" w:eastAsia="zh-CN" w:bidi="ar-SA"/>
        </w:rPr>
        <w:t xml:space="preserve"> </w:t>
      </w:r>
      <w:r>
        <w:rPr>
          <w:rFonts w:hint="eastAsia" w:ascii="宋体" w:hAnsi="宋体"/>
          <w:color w:val="000000"/>
          <w:sz w:val="24"/>
          <w:szCs w:val="24"/>
        </w:rPr>
        <w:t>针对</w:t>
      </w:r>
      <w:r>
        <w:rPr>
          <w:rFonts w:hint="eastAsia" w:ascii="宋体" w:hAnsi="宋体"/>
          <w:color w:val="000000"/>
          <w:sz w:val="24"/>
          <w:szCs w:val="24"/>
          <w:lang w:eastAsia="zh-CN"/>
        </w:rPr>
        <w:t>特定</w:t>
      </w:r>
      <w:r>
        <w:rPr>
          <w:rFonts w:hint="eastAsia" w:ascii="宋体" w:hAnsi="宋体"/>
          <w:color w:val="000000"/>
          <w:sz w:val="24"/>
          <w:szCs w:val="24"/>
        </w:rPr>
        <w:t>运维项目进行采购；</w:t>
      </w:r>
    </w:p>
    <w:p w14:paraId="1DDE4B47">
      <w:pPr>
        <w:tabs>
          <w:tab w:val="center" w:pos="4153"/>
        </w:tabs>
        <w:spacing w:line="360" w:lineRule="auto"/>
        <w:ind w:firstLine="560"/>
        <w:rPr>
          <w:rFonts w:ascii="宋体" w:hAnsi="宋体"/>
          <w:color w:val="000000"/>
          <w:sz w:val="24"/>
          <w:szCs w:val="24"/>
        </w:rPr>
      </w:pPr>
      <w:r>
        <w:rPr>
          <w:rFonts w:hint="eastAsia" w:ascii="宋体" w:hAnsi="宋体"/>
          <w:color w:val="000000"/>
          <w:sz w:val="24"/>
          <w:szCs w:val="24"/>
        </w:rPr>
        <w:t>2.</w:t>
      </w:r>
      <w:r>
        <w:rPr>
          <w:rFonts w:hint="eastAsia" w:ascii="宋体" w:hAnsi="宋体" w:eastAsia="宋体" w:cs="Times New Roman"/>
          <w:color w:val="000000"/>
          <w:kern w:val="2"/>
          <w:sz w:val="24"/>
          <w:szCs w:val="24"/>
          <w:lang w:val="en-US" w:eastAsia="zh-CN" w:bidi="ar-SA"/>
        </w:rPr>
        <w:t xml:space="preserve"> </w:t>
      </w:r>
      <w:r>
        <w:rPr>
          <w:rFonts w:hint="eastAsia" w:ascii="宋体" w:hAnsi="宋体"/>
          <w:color w:val="000000"/>
          <w:sz w:val="24"/>
          <w:szCs w:val="24"/>
        </w:rPr>
        <w:t>对于临时增加的运维设备进行备件采购；</w:t>
      </w:r>
    </w:p>
    <w:p w14:paraId="3A803E32">
      <w:pPr>
        <w:tabs>
          <w:tab w:val="center" w:pos="4153"/>
        </w:tabs>
        <w:spacing w:line="360" w:lineRule="auto"/>
        <w:ind w:firstLine="560"/>
        <w:rPr>
          <w:rFonts w:hint="eastAsia" w:ascii="宋体" w:hAnsi="宋体"/>
          <w:color w:val="000000"/>
          <w:sz w:val="24"/>
          <w:szCs w:val="24"/>
          <w:lang w:eastAsia="zh-CN"/>
        </w:rPr>
      </w:pPr>
      <w:r>
        <w:rPr>
          <w:rFonts w:hint="eastAsia" w:ascii="宋体" w:hAnsi="宋体"/>
          <w:color w:val="000000"/>
          <w:sz w:val="24"/>
          <w:szCs w:val="24"/>
          <w:lang w:eastAsia="zh-CN"/>
        </w:rPr>
        <w:t>3. 特殊情况需进行特别申请。</w:t>
      </w:r>
    </w:p>
    <w:p w14:paraId="511B48C4">
      <w:pPr>
        <w:tabs>
          <w:tab w:val="center" w:pos="4153"/>
        </w:tabs>
        <w:spacing w:line="360" w:lineRule="auto"/>
        <w:ind w:firstLine="560"/>
        <w:rPr>
          <w:rFonts w:hint="eastAsia" w:ascii="宋体" w:hAnsi="宋体"/>
          <w:color w:val="000000"/>
          <w:sz w:val="24"/>
          <w:szCs w:val="24"/>
          <w:lang w:eastAsia="zh-CN"/>
        </w:rPr>
      </w:pPr>
      <w:r>
        <w:rPr>
          <w:rFonts w:hint="eastAsia" w:ascii="宋体" w:hAnsi="宋体"/>
          <w:color w:val="000000"/>
          <w:sz w:val="24"/>
          <w:szCs w:val="24"/>
          <w:lang w:eastAsia="zh-CN"/>
        </w:rPr>
        <w:t>这种规范化的采购流程，既保障了运维项目的顺畅，又防止了库存积压，为公司节约了资金。</w:t>
      </w:r>
    </w:p>
    <w:p w14:paraId="437E0E84">
      <w:pPr>
        <w:spacing w:after="0" w:line="360" w:lineRule="auto"/>
        <w:ind w:firstLine="482" w:firstLineChars="200"/>
        <w:rPr>
          <w:rFonts w:hint="eastAsia" w:ascii="宋体" w:hAnsi="宋体" w:cs="Arial"/>
          <w:b/>
          <w:bCs/>
          <w:sz w:val="24"/>
          <w:szCs w:val="20"/>
          <w:lang w:val="en-US" w:eastAsia="zh-CN"/>
        </w:rPr>
      </w:pPr>
      <w:r>
        <w:rPr>
          <w:rFonts w:hint="eastAsia" w:ascii="宋体" w:hAnsi="宋体" w:cs="Arial"/>
          <w:b/>
          <w:bCs/>
          <w:sz w:val="24"/>
          <w:szCs w:val="20"/>
          <w:lang w:val="en-US" w:eastAsia="zh-CN"/>
        </w:rPr>
        <w:t>5.2 确保备件供应的及时性</w:t>
      </w:r>
    </w:p>
    <w:p w14:paraId="2524B31C">
      <w:pPr>
        <w:tabs>
          <w:tab w:val="center" w:pos="4153"/>
        </w:tabs>
        <w:spacing w:line="360" w:lineRule="auto"/>
        <w:ind w:firstLine="560"/>
        <w:rPr>
          <w:rFonts w:hint="eastAsia" w:ascii="宋体" w:hAnsi="宋体"/>
          <w:color w:val="000000"/>
          <w:sz w:val="24"/>
          <w:szCs w:val="24"/>
          <w:lang w:eastAsia="zh-CN"/>
        </w:rPr>
      </w:pPr>
      <w:r>
        <w:rPr>
          <w:rFonts w:hint="eastAsia" w:ascii="宋体" w:hAnsi="宋体"/>
          <w:sz w:val="24"/>
          <w:szCs w:val="24"/>
          <w:lang w:eastAsia="zh-CN"/>
        </w:rPr>
        <w:t>针对公司承接的运维服务项目，建立了相应的备件库。在运维服务中需要更换备件时，运维人员只需提交领用申请，并遵循领用流程领取所需备件，确保了备件供应的及时性，保障了运维服务项目的顺利进行。</w:t>
      </w:r>
    </w:p>
    <w:p w14:paraId="12DC4CD1">
      <w:pPr>
        <w:spacing w:after="0" w:line="360" w:lineRule="auto"/>
        <w:ind w:firstLine="482" w:firstLineChars="200"/>
        <w:rPr>
          <w:rFonts w:hint="eastAsia" w:ascii="宋体" w:hAnsi="宋体" w:cs="Arial"/>
          <w:b/>
          <w:bCs/>
          <w:sz w:val="24"/>
          <w:szCs w:val="20"/>
          <w:lang w:val="en-US" w:eastAsia="zh-CN"/>
        </w:rPr>
      </w:pPr>
      <w:bookmarkStart w:id="38" w:name="_Toc38899121"/>
      <w:bookmarkStart w:id="39" w:name="_Toc499056538"/>
      <w:r>
        <w:rPr>
          <w:rFonts w:hint="eastAsia" w:ascii="宋体" w:hAnsi="宋体" w:cs="Arial"/>
          <w:b/>
          <w:bCs/>
          <w:sz w:val="24"/>
          <w:szCs w:val="20"/>
          <w:lang w:val="en-US" w:eastAsia="zh-CN"/>
        </w:rPr>
        <w:t>5.3</w:t>
      </w:r>
      <w:r>
        <w:rPr>
          <w:rFonts w:hint="eastAsia" w:ascii="宋体" w:hAnsi="宋体" w:eastAsia="宋体" w:cs="Arial"/>
          <w:b/>
          <w:bCs/>
          <w:kern w:val="2"/>
          <w:sz w:val="24"/>
          <w:szCs w:val="20"/>
          <w:lang w:val="en-US" w:eastAsia="zh-CN" w:bidi="ar-SA"/>
        </w:rPr>
        <w:t xml:space="preserve"> </w:t>
      </w:r>
      <w:r>
        <w:rPr>
          <w:rFonts w:hint="eastAsia" w:ascii="宋体" w:hAnsi="宋体" w:cs="Arial"/>
          <w:b/>
          <w:bCs/>
          <w:sz w:val="24"/>
          <w:szCs w:val="20"/>
          <w:lang w:val="en-US" w:eastAsia="zh-CN"/>
        </w:rPr>
        <w:t>增强企业竞争力</w:t>
      </w:r>
      <w:bookmarkEnd w:id="38"/>
      <w:bookmarkEnd w:id="39"/>
    </w:p>
    <w:p w14:paraId="0FB6166F">
      <w:pPr>
        <w:spacing w:line="360" w:lineRule="auto"/>
        <w:ind w:firstLine="480" w:firstLineChars="200"/>
        <w:rPr>
          <w:rFonts w:ascii="宋体" w:hAnsi="宋体" w:cs="宋体"/>
          <w:sz w:val="24"/>
        </w:rPr>
      </w:pPr>
      <w:r>
        <w:rPr>
          <w:rFonts w:hint="eastAsia" w:ascii="宋体" w:hAnsi="宋体"/>
          <w:color w:val="000000"/>
          <w:sz w:val="24"/>
          <w:szCs w:val="24"/>
          <w:lang w:eastAsia="zh-CN"/>
        </w:rPr>
        <w:t>根据备件管理制度和原则，</w:t>
      </w:r>
      <w:r>
        <w:rPr>
          <w:rFonts w:hint="eastAsia" w:ascii="宋体" w:hAnsi="宋体"/>
          <w:sz w:val="24"/>
          <w:szCs w:val="24"/>
          <w:lang w:eastAsia="zh-CN"/>
        </w:rPr>
        <w:t>综合管理部</w:t>
      </w:r>
      <w:r>
        <w:rPr>
          <w:rFonts w:hint="eastAsia" w:ascii="宋体" w:hAnsi="宋体"/>
          <w:color w:val="000000"/>
          <w:sz w:val="24"/>
          <w:szCs w:val="24"/>
          <w:lang w:eastAsia="zh-CN"/>
        </w:rPr>
        <w:t>负责统一采购和付款；</w:t>
      </w:r>
      <w:r>
        <w:rPr>
          <w:rFonts w:hint="eastAsia" w:ascii="宋体" w:hAnsi="宋体"/>
          <w:sz w:val="24"/>
          <w:szCs w:val="24"/>
          <w:lang w:eastAsia="zh-CN"/>
        </w:rPr>
        <w:t>库房统一保管</w:t>
      </w:r>
      <w:r>
        <w:rPr>
          <w:rFonts w:hint="eastAsia" w:ascii="宋体" w:hAnsi="宋体"/>
          <w:color w:val="000000"/>
          <w:sz w:val="24"/>
          <w:szCs w:val="24"/>
          <w:lang w:eastAsia="zh-CN"/>
        </w:rPr>
        <w:t>、分类存放、集中调配，显著提高了运维服务的</w:t>
      </w:r>
      <w:r>
        <w:rPr>
          <w:rFonts w:hint="eastAsia" w:ascii="宋体" w:hAnsi="宋体"/>
          <w:sz w:val="24"/>
          <w:szCs w:val="24"/>
          <w:lang w:eastAsia="zh-CN"/>
        </w:rPr>
        <w:t>效率，提升了客户满意度，从而增强了企业的竞争力</w:t>
      </w:r>
      <w:bookmarkStart w:id="40" w:name="_GoBack"/>
      <w:bookmarkEnd w:id="40"/>
    </w:p>
    <w:sectPr>
      <w:headerReference r:id="rId6" w:type="default"/>
      <w:footerReference r:id="rId7"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omic Sans MS">
    <w:panose1 w:val="030F0702030302020204"/>
    <w:charset w:val="00"/>
    <w:family w:val="script"/>
    <w:pitch w:val="default"/>
    <w:sig w:usb0="00000287" w:usb1="00000013"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Futura Lt">
    <w:altName w:val="Trebuchet MS"/>
    <w:panose1 w:val="00000000000000000000"/>
    <w:charset w:val="00"/>
    <w:family w:val="swiss"/>
    <w:pitch w:val="default"/>
    <w:sig w:usb0="00000000" w:usb1="00000000" w:usb2="00000000" w:usb3="00000000" w:csb0="0000009F" w:csb1="00000000"/>
  </w:font>
  <w:font w:name="Trebuchet MS">
    <w:panose1 w:val="020B0603020202020204"/>
    <w:charset w:val="00"/>
    <w:family w:val="auto"/>
    <w:pitch w:val="default"/>
    <w:sig w:usb0="00000687" w:usb1="00000000" w:usb2="00000000" w:usb3="00000000" w:csb0="200000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8B939">
    <w:pPr>
      <w:spacing w:line="230" w:lineRule="auto"/>
      <w:ind w:left="4202"/>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07626">
    <w:pPr>
      <w:pStyle w:val="29"/>
      <w:spacing w:before="24" w:after="24"/>
    </w:pPr>
    <w: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sdt>
                <w:sdtPr>
                  <w:id w:val="1841267691"/>
                </w:sdtPr>
                <w:sdtContent>
                  <w:p w14:paraId="6E50B114">
                    <w:pPr>
                      <w:pStyle w:val="29"/>
                      <w:spacing w:before="24" w:after="24"/>
                    </w:pPr>
                    <w:r>
                      <w:fldChar w:fldCharType="begin"/>
                    </w:r>
                    <w:r>
                      <w:instrText xml:space="preserve">PAGE   \* MERGEFORMAT</w:instrText>
                    </w:r>
                    <w:r>
                      <w:fldChar w:fldCharType="separate"/>
                    </w:r>
                    <w:r>
                      <w:rPr>
                        <w:lang w:val="zh-CN"/>
                      </w:rPr>
                      <w:t>3</w:t>
                    </w:r>
                    <w:r>
                      <w:fldChar w:fldCharType="end"/>
                    </w:r>
                  </w:p>
                </w:sdtContent>
              </w:sdt>
              <w:p w14:paraId="7025B9FE"/>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2B318">
    <w:pPr>
      <w:pStyle w:val="30"/>
      <w:pBdr>
        <w:bottom w:val="single" w:color="auto" w:sz="4" w:space="0"/>
      </w:pBdr>
      <w:spacing w:before="48" w:after="48"/>
      <w:jc w:val="right"/>
      <w:rPr>
        <w:rFonts w:hint="default" w:eastAsia="宋体"/>
        <w:lang w:val="en-US" w:eastAsia="zh-CN"/>
      </w:rPr>
    </w:pPr>
    <w:r>
      <w:rPr>
        <w:rFonts w:hint="eastAsia"/>
        <w:lang w:val="en-US" w:eastAsia="zh-CN"/>
      </w:rPr>
      <w:t>备品备件应用情况说明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EAB0EB"/>
    <w:multiLevelType w:val="singleLevel"/>
    <w:tmpl w:val="CCEAB0EB"/>
    <w:lvl w:ilvl="0" w:tentative="0">
      <w:start w:val="5"/>
      <w:numFmt w:val="decimal"/>
      <w:lvlText w:val="%1."/>
      <w:lvlJc w:val="left"/>
      <w:pPr>
        <w:tabs>
          <w:tab w:val="left" w:pos="312"/>
        </w:tabs>
      </w:pPr>
    </w:lvl>
  </w:abstractNum>
  <w:abstractNum w:abstractNumId="1">
    <w:nsid w:val="FFFFFF82"/>
    <w:multiLevelType w:val="singleLevel"/>
    <w:tmpl w:val="FFFFFF82"/>
    <w:lvl w:ilvl="0" w:tentative="0">
      <w:start w:val="1"/>
      <w:numFmt w:val="bullet"/>
      <w:pStyle w:val="19"/>
      <w:lvlText w:val=""/>
      <w:lvlJc w:val="left"/>
      <w:pPr>
        <w:tabs>
          <w:tab w:val="left" w:pos="1200"/>
        </w:tabs>
        <w:ind w:left="1200" w:leftChars="400" w:hanging="360" w:hangingChars="200"/>
      </w:pPr>
      <w:rPr>
        <w:rFonts w:hint="default" w:ascii="Wingdings" w:hAnsi="Wingdings"/>
      </w:rPr>
    </w:lvl>
  </w:abstractNum>
  <w:abstractNum w:abstractNumId="2">
    <w:nsid w:val="13EF724B"/>
    <w:multiLevelType w:val="singleLevel"/>
    <w:tmpl w:val="13EF724B"/>
    <w:lvl w:ilvl="0" w:tentative="0">
      <w:start w:val="1"/>
      <w:numFmt w:val="bullet"/>
      <w:pStyle w:val="59"/>
      <w:lvlText w:val=""/>
      <w:lvlJc w:val="left"/>
      <w:pPr>
        <w:tabs>
          <w:tab w:val="left" w:pos="1440"/>
        </w:tabs>
        <w:ind w:left="1368" w:hanging="288"/>
      </w:pPr>
      <w:rPr>
        <w:rFonts w:hint="default" w:ascii="Symbol" w:hAnsi="Symbol"/>
        <w:sz w:val="16"/>
      </w:rPr>
    </w:lvl>
  </w:abstractNum>
  <w:abstractNum w:abstractNumId="3">
    <w:nsid w:val="182C09F4"/>
    <w:multiLevelType w:val="multilevel"/>
    <w:tmpl w:val="182C09F4"/>
    <w:lvl w:ilvl="0" w:tentative="0">
      <w:start w:val="1"/>
      <w:numFmt w:val="decimal"/>
      <w:pStyle w:val="51"/>
      <w:lvlText w:val="%1)"/>
      <w:lvlJc w:val="left"/>
      <w:pPr>
        <w:tabs>
          <w:tab w:val="left" w:pos="400"/>
        </w:tabs>
        <w:ind w:left="400" w:hanging="400"/>
      </w:pPr>
      <w:rPr>
        <w:rFonts w:hint="default" w:ascii="Arial" w:hAnsi="Arial" w:eastAsia="宋体"/>
      </w:rPr>
    </w:lvl>
    <w:lvl w:ilvl="1" w:tentative="0">
      <w:start w:val="1"/>
      <w:numFmt w:val="lowerLetter"/>
      <w:pStyle w:val="61"/>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8833BAF"/>
    <w:multiLevelType w:val="multilevel"/>
    <w:tmpl w:val="38833BAF"/>
    <w:lvl w:ilvl="0" w:tentative="0">
      <w:start w:val="1"/>
      <w:numFmt w:val="decimal"/>
      <w:pStyle w:val="2"/>
      <w:lvlText w:val="%1"/>
      <w:lvlJc w:val="left"/>
      <w:pPr>
        <w:tabs>
          <w:tab w:val="left" w:pos="432"/>
        </w:tabs>
        <w:ind w:left="432" w:hanging="432"/>
      </w:pPr>
      <w:rPr>
        <w:rFonts w:hint="default" w:ascii="Times New Roman" w:hAnsi="Times New Roman" w:cs="Times New Roman"/>
      </w:rPr>
    </w:lvl>
    <w:lvl w:ilvl="1" w:tentative="0">
      <w:start w:val="1"/>
      <w:numFmt w:val="decimal"/>
      <w:pStyle w:val="3"/>
      <w:lvlText w:val="%1.%2"/>
      <w:lvlJc w:val="left"/>
      <w:pPr>
        <w:tabs>
          <w:tab w:val="left" w:pos="576"/>
        </w:tabs>
        <w:ind w:left="576" w:hanging="576"/>
      </w:pPr>
      <w:rPr>
        <w:rFonts w:hint="default" w:ascii="Times New Roman" w:hAnsi="Times New Roman" w:cs="Times New Roman"/>
      </w:rPr>
    </w:lvl>
    <w:lvl w:ilvl="2" w:tentative="0">
      <w:start w:val="1"/>
      <w:numFmt w:val="decimal"/>
      <w:pStyle w:val="4"/>
      <w:lvlText w:val="%1.%2.%3"/>
      <w:lvlJc w:val="left"/>
      <w:pPr>
        <w:tabs>
          <w:tab w:val="left" w:pos="1080"/>
        </w:tabs>
        <w:ind w:left="720" w:hanging="720"/>
      </w:pPr>
      <w:rPr>
        <w:rFonts w:hint="default" w:ascii="Times New Roman" w:hAnsi="Times New Roman" w:cs="Times New Roman"/>
      </w:rPr>
    </w:lvl>
    <w:lvl w:ilvl="3" w:tentative="0">
      <w:start w:val="1"/>
      <w:numFmt w:val="decimal"/>
      <w:pStyle w:val="5"/>
      <w:lvlText w:val="%1.%2.%3.%4"/>
      <w:lvlJc w:val="left"/>
      <w:pPr>
        <w:tabs>
          <w:tab w:val="left" w:pos="1440"/>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5">
    <w:nsid w:val="50A60BC2"/>
    <w:multiLevelType w:val="singleLevel"/>
    <w:tmpl w:val="50A60BC2"/>
    <w:lvl w:ilvl="0" w:tentative="0">
      <w:start w:val="1"/>
      <w:numFmt w:val="bullet"/>
      <w:lvlText w:val=""/>
      <w:lvlJc w:val="left"/>
      <w:pPr>
        <w:ind w:left="420" w:hanging="420"/>
      </w:pPr>
      <w:rPr>
        <w:rFonts w:hint="default" w:ascii="Wingdings" w:hAnsi="Wingdings"/>
      </w:rPr>
    </w:lvl>
  </w:abstractNum>
  <w:abstractNum w:abstractNumId="6">
    <w:nsid w:val="60E21741"/>
    <w:multiLevelType w:val="multilevel"/>
    <w:tmpl w:val="60E2174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6CB11212"/>
    <w:multiLevelType w:val="multilevel"/>
    <w:tmpl w:val="6CB11212"/>
    <w:lvl w:ilvl="0" w:tentative="0">
      <w:start w:val="1"/>
      <w:numFmt w:val="bullet"/>
      <w:pStyle w:val="12"/>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4"/>
  </w:num>
  <w:num w:numId="2">
    <w:abstractNumId w:val="7"/>
  </w:num>
  <w:num w:numId="3">
    <w:abstractNumId w:val="1"/>
  </w:num>
  <w:num w:numId="4">
    <w:abstractNumId w:val="3"/>
  </w:num>
  <w:num w:numId="5">
    <w:abstractNumId w:val="2"/>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kNjk3ZTAyODM1ZWVhNDhmOTI5NGRlMTE1YzM0ZDYifQ=="/>
  </w:docVars>
  <w:rsids>
    <w:rsidRoot w:val="00000000"/>
    <w:rsid w:val="0CAC2B9A"/>
    <w:rsid w:val="1B0921C3"/>
    <w:rsid w:val="2A991BDA"/>
    <w:rsid w:val="2CE61358"/>
    <w:rsid w:val="2E497073"/>
    <w:rsid w:val="2ED0406E"/>
    <w:rsid w:val="31F56894"/>
    <w:rsid w:val="35BB267E"/>
    <w:rsid w:val="374750E9"/>
    <w:rsid w:val="426A4DB9"/>
    <w:rsid w:val="42FA0B34"/>
    <w:rsid w:val="46136C6E"/>
    <w:rsid w:val="4ABC3F99"/>
    <w:rsid w:val="5394300C"/>
    <w:rsid w:val="544A4BE1"/>
    <w:rsid w:val="56665134"/>
    <w:rsid w:val="5E5835B4"/>
    <w:rsid w:val="666B22F3"/>
    <w:rsid w:val="68B95597"/>
    <w:rsid w:val="6D7B72BF"/>
    <w:rsid w:val="6D9950A2"/>
    <w:rsid w:val="75CA301C"/>
    <w:rsid w:val="77E43CB3"/>
    <w:rsid w:val="7A1A1C0E"/>
    <w:rsid w:val="7BC8549A"/>
    <w:rsid w:val="7C7810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qFormat="1" w:unhideWhenUsed="0" w:uiPriority="0" w:semiHidden="0" w:name="List Bullet 3"/>
    <w:lsdException w:uiPriority="0" w:name="List Bullet 4"/>
    <w:lsdException w:uiPriority="0" w:name="List Bullet 5"/>
    <w:lsdException w:qFormat="1" w:unhideWhenUsed="0" w:uiPriority="0" w:semiHidden="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99" w:name="Note Heading"/>
    <w:lsdException w:uiPriority="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200" w:line="276" w:lineRule="auto"/>
      <w:jc w:val="both"/>
    </w:pPr>
    <w:rPr>
      <w:rFonts w:ascii="Arial" w:hAnsi="Arial"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outlineLvl w:val="0"/>
    </w:pPr>
    <w:rPr>
      <w:rFonts w:ascii="Times New Roman" w:hAnsi="Times New Roman"/>
      <w:b/>
      <w:bCs/>
      <w:kern w:val="44"/>
      <w:sz w:val="44"/>
      <w:szCs w:val="44"/>
    </w:rPr>
  </w:style>
  <w:style w:type="paragraph" w:styleId="3">
    <w:name w:val="heading 2"/>
    <w:basedOn w:val="1"/>
    <w:next w:val="1"/>
    <w:autoRedefine/>
    <w:qFormat/>
    <w:uiPriority w:val="0"/>
    <w:pPr>
      <w:numPr>
        <w:ilvl w:val="1"/>
        <w:numId w:val="1"/>
      </w:numPr>
      <w:tabs>
        <w:tab w:val="left" w:pos="432"/>
      </w:tabs>
      <w:spacing w:before="120" w:after="120" w:line="300" w:lineRule="auto"/>
      <w:outlineLvl w:val="1"/>
    </w:pPr>
    <w:rPr>
      <w:rFonts w:ascii="黑体" w:eastAsia="黑体"/>
      <w:b/>
      <w:bCs/>
      <w:sz w:val="24"/>
      <w:szCs w:val="20"/>
    </w:rPr>
  </w:style>
  <w:style w:type="paragraph" w:styleId="4">
    <w:name w:val="heading 3"/>
    <w:basedOn w:val="1"/>
    <w:next w:val="1"/>
    <w:link w:val="60"/>
    <w:autoRedefine/>
    <w:qFormat/>
    <w:uiPriority w:val="0"/>
    <w:pPr>
      <w:numPr>
        <w:ilvl w:val="2"/>
        <w:numId w:val="1"/>
      </w:numPr>
      <w:spacing w:before="120" w:after="120" w:line="300" w:lineRule="auto"/>
      <w:outlineLvl w:val="2"/>
    </w:pPr>
    <w:rPr>
      <w:rFonts w:ascii="黑体" w:hAnsi="宋体" w:eastAsia="黑体"/>
      <w:b/>
      <w:kern w:val="44"/>
      <w:szCs w:val="20"/>
    </w:rPr>
  </w:style>
  <w:style w:type="paragraph" w:styleId="5">
    <w:name w:val="heading 4"/>
    <w:basedOn w:val="1"/>
    <w:next w:val="1"/>
    <w:autoRedefine/>
    <w:qFormat/>
    <w:uiPriority w:val="0"/>
    <w:pPr>
      <w:numPr>
        <w:ilvl w:val="3"/>
        <w:numId w:val="1"/>
      </w:numPr>
      <w:spacing w:before="60" w:after="60" w:line="300" w:lineRule="auto"/>
      <w:outlineLvl w:val="3"/>
    </w:pPr>
    <w:rPr>
      <w:rFonts w:ascii="黑体" w:hAnsi="宋体" w:eastAsia="黑体"/>
      <w:b/>
      <w:kern w:val="44"/>
      <w:szCs w:val="20"/>
    </w:rPr>
  </w:style>
  <w:style w:type="paragraph" w:styleId="6">
    <w:name w:val="heading 5"/>
    <w:basedOn w:val="1"/>
    <w:next w:val="1"/>
    <w:qFormat/>
    <w:uiPriority w:val="0"/>
    <w:pPr>
      <w:numPr>
        <w:ilvl w:val="4"/>
        <w:numId w:val="1"/>
      </w:numPr>
      <w:spacing w:before="60" w:after="60" w:line="240" w:lineRule="atLeast"/>
      <w:outlineLvl w:val="4"/>
    </w:pPr>
    <w:rPr>
      <w:rFonts w:eastAsia="黑体"/>
      <w:b/>
      <w:sz w:val="24"/>
      <w:szCs w:val="20"/>
    </w:rPr>
  </w:style>
  <w:style w:type="paragraph" w:styleId="7">
    <w:name w:val="heading 6"/>
    <w:basedOn w:val="1"/>
    <w:next w:val="1"/>
    <w:autoRedefine/>
    <w:qFormat/>
    <w:uiPriority w:val="0"/>
    <w:pPr>
      <w:keepNext/>
      <w:keepLines/>
      <w:numPr>
        <w:ilvl w:val="5"/>
        <w:numId w:val="1"/>
      </w:numPr>
      <w:spacing w:before="240" w:after="64" w:line="320" w:lineRule="auto"/>
      <w:outlineLvl w:val="5"/>
    </w:pPr>
    <w:rPr>
      <w:rFonts w:eastAsia="黑体"/>
      <w:b/>
      <w:bCs/>
      <w:sz w:val="24"/>
    </w:rPr>
  </w:style>
  <w:style w:type="paragraph" w:styleId="8">
    <w:name w:val="heading 7"/>
    <w:basedOn w:val="1"/>
    <w:next w:val="1"/>
    <w:autoRedefine/>
    <w:qFormat/>
    <w:uiPriority w:val="0"/>
    <w:pPr>
      <w:keepNext/>
      <w:keepLines/>
      <w:numPr>
        <w:ilvl w:val="6"/>
        <w:numId w:val="1"/>
      </w:numPr>
      <w:spacing w:before="240" w:after="64" w:line="320" w:lineRule="auto"/>
      <w:outlineLvl w:val="6"/>
    </w:pPr>
    <w:rPr>
      <w:rFonts w:ascii="Times New Roman" w:hAnsi="Times New Roman"/>
      <w:b/>
      <w:bCs/>
      <w:sz w:val="24"/>
    </w:rPr>
  </w:style>
  <w:style w:type="paragraph" w:styleId="9">
    <w:name w:val="heading 8"/>
    <w:basedOn w:val="1"/>
    <w:next w:val="1"/>
    <w:autoRedefine/>
    <w:qFormat/>
    <w:uiPriority w:val="0"/>
    <w:pPr>
      <w:keepNext/>
      <w:keepLines/>
      <w:numPr>
        <w:ilvl w:val="7"/>
        <w:numId w:val="1"/>
      </w:numPr>
      <w:spacing w:before="240" w:after="64" w:line="320" w:lineRule="auto"/>
      <w:outlineLvl w:val="7"/>
    </w:pPr>
    <w:rPr>
      <w:rFonts w:eastAsia="黑体"/>
      <w:sz w:val="24"/>
    </w:rPr>
  </w:style>
  <w:style w:type="paragraph" w:styleId="10">
    <w:name w:val="heading 9"/>
    <w:basedOn w:val="1"/>
    <w:next w:val="1"/>
    <w:autoRedefine/>
    <w:qFormat/>
    <w:uiPriority w:val="0"/>
    <w:pPr>
      <w:keepNext/>
      <w:keepLines/>
      <w:numPr>
        <w:ilvl w:val="8"/>
        <w:numId w:val="1"/>
      </w:numPr>
      <w:spacing w:before="240" w:after="64" w:line="320" w:lineRule="auto"/>
      <w:outlineLvl w:val="8"/>
    </w:pPr>
    <w:rPr>
      <w:rFonts w:eastAsia="黑体"/>
      <w:szCs w:val="21"/>
    </w:rPr>
  </w:style>
  <w:style w:type="character" w:default="1" w:styleId="42">
    <w:name w:val="Default Paragraph Font"/>
    <w:autoRedefine/>
    <w:semiHidden/>
    <w:unhideWhenUsed/>
    <w:qFormat/>
    <w:uiPriority w:val="1"/>
  </w:style>
  <w:style w:type="table" w:default="1" w:styleId="40">
    <w:name w:val="Normal Table"/>
    <w:autoRedefin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1260"/>
      <w:jc w:val="left"/>
    </w:pPr>
    <w:rPr>
      <w:rFonts w:asciiTheme="minorHAnsi" w:hAnsiTheme="minorHAnsi" w:cstheme="minorHAnsi"/>
      <w:sz w:val="18"/>
      <w:szCs w:val="18"/>
    </w:rPr>
  </w:style>
  <w:style w:type="paragraph" w:styleId="12">
    <w:name w:val="List Number 2"/>
    <w:basedOn w:val="1"/>
    <w:autoRedefine/>
    <w:qFormat/>
    <w:uiPriority w:val="0"/>
    <w:pPr>
      <w:numPr>
        <w:ilvl w:val="0"/>
        <w:numId w:val="2"/>
      </w:numPr>
      <w:tabs>
        <w:tab w:val="left" w:pos="567"/>
      </w:tabs>
    </w:pPr>
    <w:rPr>
      <w:rFonts w:ascii="Times New Roman" w:hAnsi="Times New Roman"/>
      <w:sz w:val="28"/>
      <w:szCs w:val="20"/>
    </w:rPr>
  </w:style>
  <w:style w:type="paragraph" w:styleId="13">
    <w:name w:val="Normal Indent"/>
    <w:basedOn w:val="1"/>
    <w:autoRedefine/>
    <w:qFormat/>
    <w:uiPriority w:val="0"/>
    <w:pPr>
      <w:snapToGrid w:val="0"/>
      <w:spacing w:beforeLines="50"/>
      <w:ind w:firstLine="200" w:firstLineChars="200"/>
    </w:pPr>
    <w:rPr>
      <w:spacing w:val="6"/>
      <w:szCs w:val="20"/>
    </w:rPr>
  </w:style>
  <w:style w:type="paragraph" w:styleId="14">
    <w:name w:val="caption"/>
    <w:basedOn w:val="1"/>
    <w:next w:val="1"/>
    <w:link w:val="74"/>
    <w:autoRedefine/>
    <w:qFormat/>
    <w:uiPriority w:val="0"/>
    <w:rPr>
      <w:rFonts w:eastAsia="黑体"/>
      <w:sz w:val="20"/>
      <w:szCs w:val="20"/>
    </w:rPr>
  </w:style>
  <w:style w:type="paragraph" w:styleId="15">
    <w:name w:val="List Bullet"/>
    <w:basedOn w:val="1"/>
    <w:autoRedefine/>
    <w:qFormat/>
    <w:uiPriority w:val="0"/>
    <w:pPr>
      <w:contextualSpacing/>
    </w:pPr>
  </w:style>
  <w:style w:type="paragraph" w:styleId="16">
    <w:name w:val="Document Map"/>
    <w:basedOn w:val="1"/>
    <w:autoRedefine/>
    <w:semiHidden/>
    <w:qFormat/>
    <w:uiPriority w:val="0"/>
    <w:pPr>
      <w:shd w:val="clear" w:color="auto" w:fill="000080"/>
    </w:pPr>
  </w:style>
  <w:style w:type="paragraph" w:styleId="17">
    <w:name w:val="annotation text"/>
    <w:basedOn w:val="1"/>
    <w:autoRedefine/>
    <w:semiHidden/>
    <w:qFormat/>
    <w:uiPriority w:val="0"/>
    <w:pPr>
      <w:jc w:val="left"/>
    </w:pPr>
  </w:style>
  <w:style w:type="paragraph" w:styleId="18">
    <w:name w:val="Body Text 3"/>
    <w:basedOn w:val="1"/>
    <w:qFormat/>
    <w:uiPriority w:val="0"/>
    <w:rPr>
      <w:rFonts w:ascii="Times New Roman" w:hAnsi="Times New Roman"/>
      <w:color w:val="FF0000"/>
      <w:kern w:val="0"/>
      <w:sz w:val="18"/>
      <w:szCs w:val="20"/>
    </w:rPr>
  </w:style>
  <w:style w:type="paragraph" w:styleId="19">
    <w:name w:val="List Bullet 3"/>
    <w:basedOn w:val="1"/>
    <w:autoRedefine/>
    <w:qFormat/>
    <w:uiPriority w:val="0"/>
    <w:pPr>
      <w:widowControl/>
      <w:numPr>
        <w:ilvl w:val="0"/>
        <w:numId w:val="3"/>
      </w:numPr>
      <w:jc w:val="left"/>
    </w:pPr>
    <w:rPr>
      <w:rFonts w:ascii="Times New Roman" w:hAnsi="Times New Roman"/>
      <w:kern w:val="0"/>
      <w:sz w:val="20"/>
      <w:szCs w:val="20"/>
    </w:rPr>
  </w:style>
  <w:style w:type="paragraph" w:styleId="20">
    <w:name w:val="Body Text"/>
    <w:basedOn w:val="1"/>
    <w:link w:val="75"/>
    <w:qFormat/>
    <w:uiPriority w:val="0"/>
    <w:pPr>
      <w:spacing w:after="120"/>
    </w:pPr>
    <w:rPr>
      <w:rFonts w:ascii="Times New Roman" w:hAnsi="Times New Roman"/>
    </w:rPr>
  </w:style>
  <w:style w:type="paragraph" w:styleId="21">
    <w:name w:val="Body Text Indent"/>
    <w:basedOn w:val="1"/>
    <w:autoRedefine/>
    <w:qFormat/>
    <w:uiPriority w:val="0"/>
    <w:pPr>
      <w:spacing w:after="120"/>
      <w:ind w:left="420" w:leftChars="200"/>
    </w:pPr>
  </w:style>
  <w:style w:type="paragraph" w:styleId="22">
    <w:name w:val="toc 5"/>
    <w:basedOn w:val="1"/>
    <w:next w:val="1"/>
    <w:autoRedefine/>
    <w:qFormat/>
    <w:uiPriority w:val="39"/>
    <w:pPr>
      <w:ind w:left="840"/>
      <w:jc w:val="left"/>
    </w:pPr>
    <w:rPr>
      <w:rFonts w:asciiTheme="minorHAnsi" w:hAnsiTheme="minorHAnsi" w:cstheme="minorHAnsi"/>
      <w:sz w:val="18"/>
      <w:szCs w:val="18"/>
    </w:rPr>
  </w:style>
  <w:style w:type="paragraph" w:styleId="23">
    <w:name w:val="toc 3"/>
    <w:basedOn w:val="1"/>
    <w:next w:val="1"/>
    <w:autoRedefine/>
    <w:qFormat/>
    <w:uiPriority w:val="39"/>
    <w:pPr>
      <w:ind w:left="420"/>
      <w:jc w:val="left"/>
    </w:pPr>
    <w:rPr>
      <w:rFonts w:asciiTheme="minorHAnsi" w:hAnsiTheme="minorHAnsi" w:cstheme="minorHAnsi"/>
      <w:i/>
      <w:iCs/>
      <w:sz w:val="20"/>
      <w:szCs w:val="20"/>
    </w:rPr>
  </w:style>
  <w:style w:type="paragraph" w:styleId="24">
    <w:name w:val="toc 8"/>
    <w:basedOn w:val="1"/>
    <w:next w:val="1"/>
    <w:autoRedefine/>
    <w:qFormat/>
    <w:uiPriority w:val="39"/>
    <w:pPr>
      <w:ind w:left="1470"/>
      <w:jc w:val="left"/>
    </w:pPr>
    <w:rPr>
      <w:rFonts w:asciiTheme="minorHAnsi" w:hAnsiTheme="minorHAnsi" w:cstheme="minorHAnsi"/>
      <w:sz w:val="18"/>
      <w:szCs w:val="18"/>
    </w:rPr>
  </w:style>
  <w:style w:type="paragraph" w:styleId="25">
    <w:name w:val="Date"/>
    <w:basedOn w:val="1"/>
    <w:next w:val="1"/>
    <w:autoRedefine/>
    <w:qFormat/>
    <w:uiPriority w:val="0"/>
    <w:pPr>
      <w:ind w:left="100" w:leftChars="2500"/>
    </w:pPr>
  </w:style>
  <w:style w:type="paragraph" w:styleId="26">
    <w:name w:val="Body Text Indent 2"/>
    <w:basedOn w:val="1"/>
    <w:autoRedefine/>
    <w:qFormat/>
    <w:uiPriority w:val="0"/>
    <w:pPr>
      <w:spacing w:after="120" w:line="480" w:lineRule="auto"/>
      <w:ind w:left="420" w:leftChars="200"/>
    </w:pPr>
  </w:style>
  <w:style w:type="paragraph" w:styleId="27">
    <w:name w:val="endnote text"/>
    <w:basedOn w:val="1"/>
    <w:link w:val="63"/>
    <w:autoRedefine/>
    <w:qFormat/>
    <w:uiPriority w:val="0"/>
    <w:pPr>
      <w:adjustRightInd w:val="0"/>
      <w:snapToGrid w:val="0"/>
      <w:spacing w:line="300" w:lineRule="auto"/>
      <w:ind w:firstLine="200" w:firstLineChars="200"/>
      <w:jc w:val="left"/>
    </w:pPr>
    <w:rPr>
      <w:rFonts w:ascii="Times New Roman" w:hAnsi="Times New Roman"/>
      <w:sz w:val="24"/>
    </w:rPr>
  </w:style>
  <w:style w:type="paragraph" w:styleId="28">
    <w:name w:val="Balloon Text"/>
    <w:basedOn w:val="1"/>
    <w:autoRedefine/>
    <w:semiHidden/>
    <w:qFormat/>
    <w:uiPriority w:val="0"/>
    <w:rPr>
      <w:sz w:val="18"/>
      <w:szCs w:val="18"/>
    </w:rPr>
  </w:style>
  <w:style w:type="paragraph" w:styleId="29">
    <w:name w:val="footer"/>
    <w:basedOn w:val="1"/>
    <w:link w:val="81"/>
    <w:autoRedefine/>
    <w:qFormat/>
    <w:uiPriority w:val="99"/>
    <w:pPr>
      <w:snapToGrid w:val="0"/>
      <w:spacing w:beforeLines="10" w:afterLines="10"/>
      <w:jc w:val="center"/>
    </w:pPr>
    <w:rPr>
      <w:sz w:val="18"/>
      <w:szCs w:val="18"/>
    </w:rPr>
  </w:style>
  <w:style w:type="paragraph" w:styleId="30">
    <w:name w:val="header"/>
    <w:basedOn w:val="1"/>
    <w:link w:val="82"/>
    <w:autoRedefine/>
    <w:qFormat/>
    <w:uiPriority w:val="99"/>
    <w:pPr>
      <w:tabs>
        <w:tab w:val="center" w:pos="4153"/>
        <w:tab w:val="right" w:pos="8306"/>
      </w:tabs>
      <w:snapToGrid w:val="0"/>
      <w:spacing w:beforeLines="20" w:afterLines="20"/>
      <w:jc w:val="center"/>
    </w:pPr>
    <w:rPr>
      <w:sz w:val="18"/>
      <w:szCs w:val="18"/>
    </w:rPr>
  </w:style>
  <w:style w:type="paragraph" w:styleId="31">
    <w:name w:val="toc 1"/>
    <w:basedOn w:val="1"/>
    <w:next w:val="1"/>
    <w:autoRedefine/>
    <w:qFormat/>
    <w:uiPriority w:val="39"/>
    <w:pPr>
      <w:spacing w:before="120" w:after="120"/>
      <w:jc w:val="left"/>
    </w:pPr>
    <w:rPr>
      <w:rFonts w:asciiTheme="minorHAnsi" w:hAnsiTheme="minorHAnsi" w:cstheme="minorHAnsi"/>
      <w:b/>
      <w:bCs/>
      <w:caps/>
      <w:sz w:val="20"/>
      <w:szCs w:val="20"/>
    </w:rPr>
  </w:style>
  <w:style w:type="paragraph" w:styleId="32">
    <w:name w:val="toc 4"/>
    <w:basedOn w:val="1"/>
    <w:next w:val="1"/>
    <w:autoRedefine/>
    <w:qFormat/>
    <w:uiPriority w:val="39"/>
    <w:pPr>
      <w:ind w:left="630"/>
      <w:jc w:val="left"/>
    </w:pPr>
    <w:rPr>
      <w:rFonts w:asciiTheme="minorHAnsi" w:hAnsiTheme="minorHAnsi" w:cstheme="minorHAnsi"/>
      <w:sz w:val="18"/>
      <w:szCs w:val="18"/>
    </w:rPr>
  </w:style>
  <w:style w:type="paragraph" w:styleId="33">
    <w:name w:val="Subtitle"/>
    <w:basedOn w:val="1"/>
    <w:qFormat/>
    <w:uiPriority w:val="0"/>
    <w:pPr>
      <w:spacing w:line="300" w:lineRule="auto"/>
      <w:ind w:firstLine="200" w:firstLineChars="200"/>
      <w:jc w:val="center"/>
    </w:pPr>
    <w:rPr>
      <w:rFonts w:ascii="Arial" w:hAnsi="Arial" w:eastAsia="黑体" w:cs="Times New Roman"/>
      <w:b/>
      <w:sz w:val="30"/>
      <w:szCs w:val="24"/>
    </w:rPr>
  </w:style>
  <w:style w:type="paragraph" w:styleId="34">
    <w:name w:val="toc 6"/>
    <w:basedOn w:val="1"/>
    <w:next w:val="1"/>
    <w:autoRedefine/>
    <w:qFormat/>
    <w:uiPriority w:val="39"/>
    <w:pPr>
      <w:ind w:left="1050"/>
      <w:jc w:val="left"/>
    </w:pPr>
    <w:rPr>
      <w:rFonts w:asciiTheme="minorHAnsi" w:hAnsiTheme="minorHAnsi" w:cstheme="minorHAnsi"/>
      <w:sz w:val="18"/>
      <w:szCs w:val="18"/>
    </w:rPr>
  </w:style>
  <w:style w:type="paragraph" w:styleId="35">
    <w:name w:val="Body Text Indent 3"/>
    <w:basedOn w:val="1"/>
    <w:autoRedefine/>
    <w:qFormat/>
    <w:uiPriority w:val="0"/>
    <w:pPr>
      <w:spacing w:after="120"/>
      <w:ind w:left="420" w:leftChars="200"/>
    </w:pPr>
    <w:rPr>
      <w:sz w:val="16"/>
      <w:szCs w:val="16"/>
    </w:rPr>
  </w:style>
  <w:style w:type="paragraph" w:styleId="36">
    <w:name w:val="toc 2"/>
    <w:basedOn w:val="1"/>
    <w:next w:val="1"/>
    <w:autoRedefine/>
    <w:qFormat/>
    <w:uiPriority w:val="39"/>
    <w:pPr>
      <w:ind w:left="210"/>
      <w:jc w:val="left"/>
    </w:pPr>
    <w:rPr>
      <w:rFonts w:asciiTheme="minorHAnsi" w:hAnsiTheme="minorHAnsi" w:cstheme="minorHAnsi"/>
      <w:smallCaps/>
      <w:sz w:val="20"/>
      <w:szCs w:val="20"/>
    </w:rPr>
  </w:style>
  <w:style w:type="paragraph" w:styleId="37">
    <w:name w:val="toc 9"/>
    <w:basedOn w:val="1"/>
    <w:next w:val="1"/>
    <w:autoRedefine/>
    <w:qFormat/>
    <w:uiPriority w:val="39"/>
    <w:pPr>
      <w:ind w:left="1680"/>
      <w:jc w:val="left"/>
    </w:pPr>
    <w:rPr>
      <w:rFonts w:asciiTheme="minorHAnsi" w:hAnsiTheme="minorHAnsi" w:cstheme="minorHAnsi"/>
      <w:sz w:val="18"/>
      <w:szCs w:val="18"/>
    </w:rPr>
  </w:style>
  <w:style w:type="paragraph" w:styleId="38">
    <w:name w:val="Normal (Web)"/>
    <w:basedOn w:val="1"/>
    <w:autoRedefine/>
    <w:qFormat/>
    <w:uiPriority w:val="0"/>
    <w:pPr>
      <w:widowControl/>
      <w:spacing w:before="100" w:beforeAutospacing="1" w:after="100" w:afterAutospacing="1"/>
      <w:jc w:val="left"/>
    </w:pPr>
    <w:rPr>
      <w:rFonts w:ascii="宋体" w:hAnsi="宋体"/>
      <w:kern w:val="0"/>
      <w:sz w:val="24"/>
    </w:rPr>
  </w:style>
  <w:style w:type="paragraph" w:styleId="39">
    <w:name w:val="annotation subject"/>
    <w:basedOn w:val="17"/>
    <w:next w:val="17"/>
    <w:autoRedefine/>
    <w:semiHidden/>
    <w:qFormat/>
    <w:uiPriority w:val="0"/>
    <w:rPr>
      <w:b/>
      <w:bCs/>
    </w:rPr>
  </w:style>
  <w:style w:type="table" w:styleId="41">
    <w:name w:val="Table Grid"/>
    <w:basedOn w:val="4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page number"/>
    <w:basedOn w:val="42"/>
    <w:autoRedefine/>
    <w:qFormat/>
    <w:uiPriority w:val="0"/>
  </w:style>
  <w:style w:type="character" w:styleId="44">
    <w:name w:val="Hyperlink"/>
    <w:autoRedefine/>
    <w:qFormat/>
    <w:uiPriority w:val="99"/>
    <w:rPr>
      <w:color w:val="0000FF"/>
      <w:u w:val="single"/>
    </w:rPr>
  </w:style>
  <w:style w:type="character" w:styleId="45">
    <w:name w:val="annotation reference"/>
    <w:autoRedefine/>
    <w:semiHidden/>
    <w:qFormat/>
    <w:uiPriority w:val="0"/>
    <w:rPr>
      <w:sz w:val="21"/>
      <w:szCs w:val="21"/>
    </w:rPr>
  </w:style>
  <w:style w:type="paragraph" w:customStyle="1" w:styleId="46">
    <w:name w:val="部分标题"/>
    <w:basedOn w:val="1"/>
    <w:next w:val="13"/>
    <w:autoRedefine/>
    <w:qFormat/>
    <w:uiPriority w:val="0"/>
    <w:pPr>
      <w:pageBreakBefore/>
      <w:spacing w:before="360" w:afterLines="150"/>
      <w:jc w:val="center"/>
    </w:pPr>
    <w:rPr>
      <w:rFonts w:eastAsia="黑体"/>
      <w:sz w:val="30"/>
    </w:rPr>
  </w:style>
  <w:style w:type="paragraph" w:customStyle="1" w:styleId="47">
    <w:name w:val="封面大标题"/>
    <w:basedOn w:val="48"/>
    <w:autoRedefine/>
    <w:qFormat/>
    <w:uiPriority w:val="0"/>
    <w:rPr>
      <w:rFonts w:ascii="华文行楷" w:eastAsia="华文行楷"/>
      <w:sz w:val="48"/>
    </w:rPr>
  </w:style>
  <w:style w:type="paragraph" w:customStyle="1" w:styleId="48">
    <w:name w:val="封面小标题"/>
    <w:basedOn w:val="1"/>
    <w:qFormat/>
    <w:uiPriority w:val="0"/>
    <w:pPr>
      <w:shd w:val="clear" w:color="FFFFFF" w:fill="auto"/>
      <w:spacing w:beforeLines="50" w:afterLines="50"/>
      <w:jc w:val="center"/>
    </w:pPr>
    <w:rPr>
      <w:rFonts w:ascii="黑体" w:hAnsi="Comic Sans MS" w:eastAsia="黑体"/>
      <w:sz w:val="30"/>
    </w:rPr>
  </w:style>
  <w:style w:type="paragraph" w:customStyle="1" w:styleId="49">
    <w:name w:val="封面签名"/>
    <w:basedOn w:val="1"/>
    <w:qFormat/>
    <w:uiPriority w:val="0"/>
    <w:pPr>
      <w:shd w:val="clear" w:color="FFFFFF" w:fill="auto"/>
      <w:spacing w:beforeLines="50"/>
    </w:pPr>
    <w:rPr>
      <w:rFonts w:eastAsia="黑体"/>
      <w:sz w:val="28"/>
    </w:rPr>
  </w:style>
  <w:style w:type="paragraph" w:customStyle="1" w:styleId="50">
    <w:name w:val="封面标签"/>
    <w:basedOn w:val="1"/>
    <w:autoRedefine/>
    <w:qFormat/>
    <w:uiPriority w:val="0"/>
    <w:pPr>
      <w:spacing w:beforeLines="20"/>
      <w:jc w:val="center"/>
    </w:pPr>
  </w:style>
  <w:style w:type="paragraph" w:customStyle="1" w:styleId="51">
    <w:name w:val="级别1"/>
    <w:basedOn w:val="1"/>
    <w:qFormat/>
    <w:uiPriority w:val="0"/>
    <w:pPr>
      <w:numPr>
        <w:ilvl w:val="0"/>
        <w:numId w:val="4"/>
      </w:numPr>
      <w:spacing w:beforeLines="50"/>
    </w:pPr>
    <w:rPr>
      <w:sz w:val="24"/>
    </w:rPr>
  </w:style>
  <w:style w:type="paragraph" w:customStyle="1" w:styleId="52">
    <w:name w:val="封面摘要"/>
    <w:basedOn w:val="1"/>
    <w:autoRedefine/>
    <w:qFormat/>
    <w:uiPriority w:val="0"/>
    <w:pPr>
      <w:spacing w:line="360" w:lineRule="auto"/>
    </w:pPr>
    <w:rPr>
      <w:rFonts w:ascii="Times New Roman" w:hAnsi="Times New Roman"/>
      <w:szCs w:val="20"/>
    </w:rPr>
  </w:style>
  <w:style w:type="paragraph" w:customStyle="1" w:styleId="53">
    <w:name w:val="TIMES:PARA"/>
    <w:basedOn w:val="1"/>
    <w:autoRedefine/>
    <w:qFormat/>
    <w:uiPriority w:val="0"/>
    <w:pPr>
      <w:widowControl/>
      <w:overflowPunct w:val="0"/>
      <w:autoSpaceDE w:val="0"/>
      <w:autoSpaceDN w:val="0"/>
      <w:adjustRightInd w:val="0"/>
      <w:spacing w:before="120" w:after="120"/>
      <w:textAlignment w:val="baseline"/>
    </w:pPr>
    <w:rPr>
      <w:rFonts w:ascii="Times" w:hAnsi="Times"/>
      <w:kern w:val="0"/>
      <w:sz w:val="24"/>
      <w:szCs w:val="20"/>
    </w:rPr>
  </w:style>
  <w:style w:type="paragraph" w:customStyle="1" w:styleId="54">
    <w:name w:val="样式2"/>
    <w:basedOn w:val="1"/>
    <w:qFormat/>
    <w:uiPriority w:val="0"/>
    <w:pPr>
      <w:spacing w:line="360" w:lineRule="auto"/>
    </w:pPr>
    <w:rPr>
      <w:sz w:val="24"/>
      <w:szCs w:val="20"/>
    </w:rPr>
  </w:style>
  <w:style w:type="paragraph" w:customStyle="1" w:styleId="55">
    <w:name w:val="表格标题"/>
    <w:basedOn w:val="1"/>
    <w:autoRedefine/>
    <w:qFormat/>
    <w:uiPriority w:val="0"/>
    <w:pPr>
      <w:spacing w:beforeLines="30" w:afterLines="30"/>
      <w:jc w:val="center"/>
    </w:pPr>
    <w:rPr>
      <w:rFonts w:eastAsia="黑体"/>
      <w:szCs w:val="20"/>
    </w:rPr>
  </w:style>
  <w:style w:type="character" w:customStyle="1" w:styleId="56">
    <w:name w:val="访问过的超链接1"/>
    <w:autoRedefine/>
    <w:qFormat/>
    <w:uiPriority w:val="0"/>
    <w:rPr>
      <w:color w:val="800080"/>
      <w:u w:val="single"/>
    </w:rPr>
  </w:style>
  <w:style w:type="paragraph" w:customStyle="1" w:styleId="57">
    <w:name w:val="Char"/>
    <w:basedOn w:val="1"/>
    <w:autoRedefine/>
    <w:qFormat/>
    <w:uiPriority w:val="0"/>
    <w:pPr>
      <w:adjustRightInd w:val="0"/>
      <w:spacing w:line="360" w:lineRule="auto"/>
    </w:pPr>
    <w:rPr>
      <w:rFonts w:ascii="Times New Roman" w:hAnsi="Times New Roman"/>
      <w:kern w:val="0"/>
      <w:sz w:val="24"/>
      <w:szCs w:val="20"/>
    </w:rPr>
  </w:style>
  <w:style w:type="paragraph" w:customStyle="1" w:styleId="58">
    <w:name w:val="Char1"/>
    <w:basedOn w:val="1"/>
    <w:autoRedefine/>
    <w:qFormat/>
    <w:uiPriority w:val="0"/>
    <w:rPr>
      <w:rFonts w:ascii="Tahoma" w:hAnsi="Tahoma"/>
      <w:sz w:val="24"/>
      <w:szCs w:val="20"/>
    </w:rPr>
  </w:style>
  <w:style w:type="paragraph" w:customStyle="1" w:styleId="59">
    <w:name w:val="Bullets Layer 1"/>
    <w:basedOn w:val="1"/>
    <w:qFormat/>
    <w:uiPriority w:val="0"/>
    <w:pPr>
      <w:widowControl/>
      <w:numPr>
        <w:ilvl w:val="0"/>
        <w:numId w:val="5"/>
      </w:numPr>
      <w:spacing w:beforeLines="50" w:afterLines="50" w:line="360" w:lineRule="exact"/>
      <w:ind w:firstLine="200" w:firstLineChars="200"/>
      <w:jc w:val="left"/>
    </w:pPr>
    <w:rPr>
      <w:rFonts w:ascii="Futura Lt" w:hAnsi="Futura Lt" w:eastAsia="Times New Roman"/>
      <w:kern w:val="0"/>
      <w:sz w:val="22"/>
      <w:szCs w:val="20"/>
      <w:lang w:eastAsia="en-US"/>
    </w:rPr>
  </w:style>
  <w:style w:type="character" w:customStyle="1" w:styleId="60">
    <w:name w:val="标题 3 字符"/>
    <w:link w:val="4"/>
    <w:qFormat/>
    <w:uiPriority w:val="0"/>
    <w:rPr>
      <w:rFonts w:ascii="黑体" w:hAnsi="宋体" w:eastAsia="黑体"/>
      <w:b/>
      <w:kern w:val="44"/>
      <w:sz w:val="21"/>
    </w:rPr>
  </w:style>
  <w:style w:type="paragraph" w:customStyle="1" w:styleId="61">
    <w:name w:val="公司文档标题2"/>
    <w:basedOn w:val="3"/>
    <w:autoRedefine/>
    <w:qFormat/>
    <w:uiPriority w:val="0"/>
    <w:pPr>
      <w:numPr>
        <w:numId w:val="4"/>
      </w:numPr>
      <w:tabs>
        <w:tab w:val="left" w:pos="400"/>
        <w:tab w:val="left" w:pos="840"/>
      </w:tabs>
      <w:ind w:left="576" w:hanging="576"/>
      <w:jc w:val="left"/>
    </w:pPr>
    <w:rPr>
      <w:rFonts w:ascii="宋体" w:hAnsi="宋体" w:eastAsia="宋体"/>
      <w:sz w:val="44"/>
      <w:szCs w:val="44"/>
    </w:rPr>
  </w:style>
  <w:style w:type="paragraph" w:customStyle="1" w:styleId="62">
    <w:name w:val="样式 正文缩进 + 首行缩进:  2 字符"/>
    <w:basedOn w:val="13"/>
    <w:autoRedefine/>
    <w:qFormat/>
    <w:uiPriority w:val="0"/>
    <w:pPr>
      <w:topLinePunct/>
      <w:snapToGrid/>
      <w:spacing w:beforeLines="0" w:line="360" w:lineRule="auto"/>
      <w:ind w:firstLine="480"/>
    </w:pPr>
    <w:rPr>
      <w:rFonts w:ascii="宋体" w:hAnsi="宋体" w:cs="宋体"/>
      <w:spacing w:val="0"/>
      <w:kern w:val="0"/>
      <w:sz w:val="24"/>
    </w:rPr>
  </w:style>
  <w:style w:type="character" w:customStyle="1" w:styleId="63">
    <w:name w:val="尾注文本 字符"/>
    <w:link w:val="27"/>
    <w:autoRedefine/>
    <w:qFormat/>
    <w:uiPriority w:val="0"/>
    <w:rPr>
      <w:kern w:val="2"/>
      <w:sz w:val="24"/>
      <w:szCs w:val="24"/>
    </w:rPr>
  </w:style>
  <w:style w:type="paragraph" w:customStyle="1" w:styleId="64">
    <w:name w:val="样式3"/>
    <w:basedOn w:val="3"/>
    <w:link w:val="65"/>
    <w:qFormat/>
    <w:uiPriority w:val="0"/>
    <w:pPr>
      <w:spacing w:line="360" w:lineRule="auto"/>
      <w:ind w:left="451" w:hanging="451" w:hangingChars="102"/>
    </w:pPr>
    <w:rPr>
      <w:rFonts w:ascii="宋体" w:eastAsia="宋体"/>
      <w:sz w:val="44"/>
      <w:szCs w:val="44"/>
    </w:rPr>
  </w:style>
  <w:style w:type="character" w:customStyle="1" w:styleId="65">
    <w:name w:val="样式3 Char"/>
    <w:link w:val="64"/>
    <w:autoRedefine/>
    <w:qFormat/>
    <w:uiPriority w:val="0"/>
    <w:rPr>
      <w:rFonts w:ascii="宋体" w:hAnsi="Arial"/>
      <w:b/>
      <w:bCs/>
      <w:kern w:val="2"/>
      <w:sz w:val="44"/>
      <w:szCs w:val="44"/>
    </w:rPr>
  </w:style>
  <w:style w:type="paragraph" w:customStyle="1" w:styleId="66">
    <w:name w:val="B3"/>
    <w:basedOn w:val="1"/>
    <w:autoRedefine/>
    <w:qFormat/>
    <w:uiPriority w:val="0"/>
    <w:pPr>
      <w:widowControl/>
      <w:spacing w:after="120"/>
      <w:ind w:left="1152"/>
      <w:jc w:val="left"/>
    </w:pPr>
    <w:rPr>
      <w:rFonts w:ascii="Times New Roman" w:hAnsi="Times New Roman" w:eastAsia="Times New Roman"/>
      <w:kern w:val="0"/>
      <w:sz w:val="22"/>
      <w:lang w:eastAsia="en-US"/>
    </w:rPr>
  </w:style>
  <w:style w:type="paragraph" w:customStyle="1" w:styleId="67">
    <w:name w:val="样式1"/>
    <w:basedOn w:val="2"/>
    <w:link w:val="68"/>
    <w:autoRedefine/>
    <w:qFormat/>
    <w:uiPriority w:val="0"/>
    <w:pPr>
      <w:keepNext w:val="0"/>
      <w:keepLines w:val="0"/>
      <w:pageBreakBefore/>
      <w:spacing w:line="360" w:lineRule="auto"/>
      <w:ind w:left="397" w:hanging="397" w:hangingChars="76"/>
    </w:pPr>
    <w:rPr>
      <w:sz w:val="52"/>
      <w:szCs w:val="52"/>
    </w:rPr>
  </w:style>
  <w:style w:type="character" w:customStyle="1" w:styleId="68">
    <w:name w:val="样式1 Char"/>
    <w:link w:val="67"/>
    <w:autoRedefine/>
    <w:qFormat/>
    <w:uiPriority w:val="0"/>
    <w:rPr>
      <w:b/>
      <w:bCs/>
      <w:kern w:val="44"/>
      <w:sz w:val="52"/>
      <w:szCs w:val="52"/>
    </w:rPr>
  </w:style>
  <w:style w:type="paragraph" w:customStyle="1" w:styleId="69">
    <w:name w:val="Char Char Char Char"/>
    <w:basedOn w:val="1"/>
    <w:autoRedefine/>
    <w:semiHidden/>
    <w:qFormat/>
    <w:uiPriority w:val="0"/>
    <w:pPr>
      <w:widowControl/>
      <w:spacing w:beforeLines="50" w:after="160" w:line="240" w:lineRule="exact"/>
      <w:jc w:val="left"/>
    </w:pPr>
    <w:rPr>
      <w:kern w:val="0"/>
      <w:sz w:val="22"/>
      <w:szCs w:val="22"/>
      <w:lang w:eastAsia="en-US"/>
    </w:rPr>
  </w:style>
  <w:style w:type="paragraph" w:customStyle="1" w:styleId="70">
    <w:name w:val="Detail text"/>
    <w:basedOn w:val="1"/>
    <w:autoRedefine/>
    <w:qFormat/>
    <w:uiPriority w:val="0"/>
    <w:pPr>
      <w:widowControl/>
      <w:spacing w:before="80" w:after="80"/>
      <w:ind w:left="1080"/>
    </w:pPr>
    <w:rPr>
      <w:rFonts w:ascii="宋体" w:hAnsi="宋体"/>
      <w:kern w:val="0"/>
      <w:sz w:val="22"/>
      <w:szCs w:val="20"/>
      <w:lang w:eastAsia="en-US"/>
    </w:rPr>
  </w:style>
  <w:style w:type="paragraph" w:customStyle="1" w:styleId="71">
    <w:name w:val="列出段落1"/>
    <w:basedOn w:val="1"/>
    <w:link w:val="72"/>
    <w:autoRedefine/>
    <w:qFormat/>
    <w:uiPriority w:val="34"/>
    <w:pPr>
      <w:ind w:firstLine="420" w:firstLineChars="200"/>
    </w:pPr>
    <w:rPr>
      <w:rFonts w:ascii="Calibri" w:hAnsi="Calibri"/>
      <w:sz w:val="24"/>
      <w:szCs w:val="22"/>
    </w:rPr>
  </w:style>
  <w:style w:type="character" w:customStyle="1" w:styleId="72">
    <w:name w:val="列出段落 Char"/>
    <w:link w:val="71"/>
    <w:qFormat/>
    <w:uiPriority w:val="34"/>
    <w:rPr>
      <w:rFonts w:ascii="Calibri" w:hAnsi="Calibri"/>
      <w:kern w:val="2"/>
      <w:sz w:val="24"/>
      <w:szCs w:val="22"/>
    </w:rPr>
  </w:style>
  <w:style w:type="paragraph" w:customStyle="1" w:styleId="73">
    <w:name w:val="样式 标题 2"/>
    <w:basedOn w:val="3"/>
    <w:qFormat/>
    <w:uiPriority w:val="0"/>
    <w:pPr>
      <w:keepNext/>
      <w:keepLines/>
      <w:tabs>
        <w:tab w:val="left" w:pos="0"/>
        <w:tab w:val="clear" w:pos="576"/>
      </w:tabs>
      <w:spacing w:beforeLines="50" w:afterLines="50" w:line="360" w:lineRule="auto"/>
      <w:ind w:left="0" w:firstLine="0"/>
      <w:jc w:val="left"/>
    </w:pPr>
    <w:rPr>
      <w:rFonts w:ascii="仿宋_GB2312" w:hAnsi="仿宋_GB2312" w:eastAsia="仿宋_GB2312"/>
      <w:sz w:val="30"/>
      <w:szCs w:val="32"/>
    </w:rPr>
  </w:style>
  <w:style w:type="character" w:customStyle="1" w:styleId="74">
    <w:name w:val="题注 字符"/>
    <w:link w:val="14"/>
    <w:qFormat/>
    <w:uiPriority w:val="0"/>
    <w:rPr>
      <w:rFonts w:ascii="Arial" w:hAnsi="Arial" w:eastAsia="黑体" w:cs="Arial"/>
      <w:kern w:val="2"/>
    </w:rPr>
  </w:style>
  <w:style w:type="character" w:customStyle="1" w:styleId="75">
    <w:name w:val="正文文本 字符"/>
    <w:link w:val="20"/>
    <w:autoRedefine/>
    <w:qFormat/>
    <w:uiPriority w:val="0"/>
    <w:rPr>
      <w:kern w:val="2"/>
      <w:sz w:val="21"/>
      <w:szCs w:val="24"/>
    </w:rPr>
  </w:style>
  <w:style w:type="paragraph" w:customStyle="1" w:styleId="76">
    <w:name w:val="Table Text"/>
    <w:basedOn w:val="1"/>
    <w:autoRedefine/>
    <w:qFormat/>
    <w:uiPriority w:val="0"/>
    <w:pPr>
      <w:widowControl/>
      <w:spacing w:before="40" w:after="80"/>
      <w:jc w:val="left"/>
    </w:pPr>
    <w:rPr>
      <w:kern w:val="0"/>
      <w:sz w:val="22"/>
      <w:szCs w:val="20"/>
      <w:lang w:eastAsia="en-US"/>
    </w:rPr>
  </w:style>
  <w:style w:type="paragraph" w:customStyle="1" w:styleId="77">
    <w:name w:val="样式 (中文) 仿宋_GB2312 小四 左侧:  21 磅 首行缩进:  21 磅 段前: 7.8 磅 段后: 7...."/>
    <w:basedOn w:val="1"/>
    <w:autoRedefine/>
    <w:qFormat/>
    <w:uiPriority w:val="0"/>
    <w:pPr>
      <w:spacing w:beforeLines="50" w:afterLines="50" w:line="360" w:lineRule="auto"/>
      <w:ind w:left="420" w:firstLine="420"/>
    </w:pPr>
    <w:rPr>
      <w:rFonts w:ascii="Times New Roman" w:hAnsi="Times New Roman" w:eastAsia="仿宋_GB2312" w:cs="宋体"/>
      <w:sz w:val="24"/>
      <w:szCs w:val="20"/>
    </w:rPr>
  </w:style>
  <w:style w:type="paragraph" w:customStyle="1" w:styleId="78">
    <w:name w:val="正文部分"/>
    <w:basedOn w:val="1"/>
    <w:autoRedefine/>
    <w:qFormat/>
    <w:uiPriority w:val="0"/>
    <w:pPr>
      <w:spacing w:line="360" w:lineRule="auto"/>
      <w:ind w:firstLine="359" w:firstLineChars="171"/>
    </w:pPr>
    <w:rPr>
      <w:rFonts w:ascii="Times New Roman" w:hAnsi="Times New Roman"/>
    </w:rPr>
  </w:style>
  <w:style w:type="paragraph" w:customStyle="1" w:styleId="79">
    <w:name w:val="正文样式--tracy"/>
    <w:basedOn w:val="1"/>
    <w:link w:val="80"/>
    <w:qFormat/>
    <w:uiPriority w:val="0"/>
    <w:pPr>
      <w:spacing w:line="360" w:lineRule="auto"/>
      <w:ind w:firstLine="420" w:firstLineChars="200"/>
    </w:pPr>
    <w:rPr>
      <w:rFonts w:ascii="Calibri" w:hAnsi="Calibri"/>
      <w:szCs w:val="22"/>
    </w:rPr>
  </w:style>
  <w:style w:type="character" w:customStyle="1" w:styleId="80">
    <w:name w:val="正文样式--tracy Char"/>
    <w:link w:val="79"/>
    <w:autoRedefine/>
    <w:qFormat/>
    <w:uiPriority w:val="0"/>
    <w:rPr>
      <w:rFonts w:ascii="Calibri" w:hAnsi="Calibri"/>
      <w:kern w:val="2"/>
      <w:sz w:val="21"/>
      <w:szCs w:val="22"/>
    </w:rPr>
  </w:style>
  <w:style w:type="character" w:customStyle="1" w:styleId="81">
    <w:name w:val="页脚 字符"/>
    <w:link w:val="29"/>
    <w:qFormat/>
    <w:uiPriority w:val="99"/>
    <w:rPr>
      <w:rFonts w:ascii="Arial" w:hAnsi="Arial"/>
      <w:kern w:val="2"/>
      <w:sz w:val="18"/>
      <w:szCs w:val="18"/>
    </w:rPr>
  </w:style>
  <w:style w:type="character" w:customStyle="1" w:styleId="82">
    <w:name w:val="页眉 字符"/>
    <w:link w:val="30"/>
    <w:autoRedefine/>
    <w:qFormat/>
    <w:uiPriority w:val="99"/>
    <w:rPr>
      <w:rFonts w:ascii="Arial" w:hAnsi="Arial"/>
      <w:kern w:val="2"/>
      <w:sz w:val="18"/>
      <w:szCs w:val="18"/>
    </w:rPr>
  </w:style>
  <w:style w:type="table" w:customStyle="1" w:styleId="83">
    <w:name w:val="Table Normal_0"/>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HongYou</Company>
  <Pages>8</Pages>
  <Words>3078</Words>
  <Characters>3225</Characters>
  <Lines>69</Lines>
  <Paragraphs>19</Paragraphs>
  <TotalTime>1</TotalTime>
  <ScaleCrop>false</ScaleCrop>
  <LinksUpToDate>false</LinksUpToDate>
  <CharactersWithSpaces>3265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2017-10-29T17:22:00Z</dcterms:created>
  <dc:creator>gaodl</dc:creator>
  <cp:lastModifiedBy>郝宇</cp:lastModifiedBy>
  <cp:lastPrinted>2012-11-28T10:10:00Z</cp:lastPrinted>
  <dcterms:modified xsi:type="dcterms:W3CDTF">2025-10-04T07:28:24Z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2CB5DFC860484844BFBA7D722AA1AAC2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y fmtid="{D5CDD505-2E9C-101B-9397-08002B2CF9AE}" pid="5" name="_dlc_DocId">
    <vt:lpwstr>QHZ37XN2S7QJ-7-942</vt:lpwstr>
  </property>
  <property fmtid="{D5CDD505-2E9C-101B-9397-08002B2CF9AE}" pid="6" name="_dlc_DocIdItemGuid">
    <vt:lpwstr>73367b57-1d3a-4289-9caf-8893b609fc17</vt:lpwstr>
  </property>
  <property fmtid="{D5CDD505-2E9C-101B-9397-08002B2CF9AE}" pid="7" name="_dlc_DocIdUrl">
    <vt:lpwstr>http://sp.ioffice.cgbchina.com.cn/sites/sjzx/_layouts/DocIdRedir.aspx?ID=QHZ37XN2S7QJ-7-942, QHZ37XN2S7QJ-7-942</vt:lpwstr>
  </property>
</Properties>
</file>