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685D0">
      <w:pPr>
        <w:spacing w:line="392" w:lineRule="exact"/>
      </w:pPr>
      <w:r>
        <w:rPr>
          <w:position w:val="-7"/>
        </w:rPr>
        <w:drawing>
          <wp:inline distT="0" distB="0" distL="0" distR="0">
            <wp:extent cx="687070" cy="24892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4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5CA0">
      <w:pPr>
        <w:pStyle w:val="2"/>
        <w:spacing w:line="270" w:lineRule="auto"/>
      </w:pPr>
    </w:p>
    <w:p w14:paraId="1E958DD0">
      <w:pPr>
        <w:pStyle w:val="2"/>
        <w:spacing w:line="270" w:lineRule="auto"/>
      </w:pPr>
    </w:p>
    <w:p w14:paraId="54504C6E">
      <w:pPr>
        <w:pStyle w:val="2"/>
        <w:spacing w:line="271" w:lineRule="auto"/>
      </w:pPr>
    </w:p>
    <w:p w14:paraId="4B0FF32C">
      <w:pPr>
        <w:pStyle w:val="2"/>
        <w:spacing w:line="271" w:lineRule="auto"/>
      </w:pPr>
    </w:p>
    <w:p w14:paraId="1CCF9C26">
      <w:pPr>
        <w:pStyle w:val="2"/>
        <w:spacing w:line="271" w:lineRule="auto"/>
      </w:pPr>
    </w:p>
    <w:p w14:paraId="6B740E75">
      <w:pPr>
        <w:spacing w:before="139" w:line="225" w:lineRule="auto"/>
        <w:ind w:left="1201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6"/>
          <w:sz w:val="43"/>
          <w:szCs w:val="43"/>
        </w:rPr>
        <w:t>创意银航（山东）技术有限公司</w:t>
      </w:r>
    </w:p>
    <w:p w14:paraId="548C33C7">
      <w:pPr>
        <w:pStyle w:val="2"/>
        <w:spacing w:line="314" w:lineRule="auto"/>
      </w:pPr>
    </w:p>
    <w:p w14:paraId="0A4AE9B1">
      <w:pPr>
        <w:pStyle w:val="2"/>
        <w:spacing w:line="315" w:lineRule="auto"/>
      </w:pPr>
    </w:p>
    <w:p w14:paraId="7823E57C">
      <w:pPr>
        <w:spacing w:before="139" w:line="225" w:lineRule="auto"/>
        <w:ind w:left="2525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4"/>
          <w:sz w:val="43"/>
          <w:szCs w:val="43"/>
        </w:rPr>
        <w:t>服务报告管理流程</w:t>
      </w:r>
    </w:p>
    <w:p w14:paraId="36788CB8">
      <w:pPr>
        <w:pStyle w:val="2"/>
        <w:spacing w:line="249" w:lineRule="auto"/>
      </w:pPr>
    </w:p>
    <w:p w14:paraId="44B49707">
      <w:pPr>
        <w:pStyle w:val="2"/>
        <w:spacing w:line="249" w:lineRule="auto"/>
      </w:pPr>
    </w:p>
    <w:p w14:paraId="48B134E6">
      <w:pPr>
        <w:pStyle w:val="2"/>
        <w:spacing w:line="249" w:lineRule="auto"/>
      </w:pPr>
    </w:p>
    <w:p w14:paraId="068BBAC7">
      <w:pPr>
        <w:pStyle w:val="2"/>
        <w:spacing w:line="249" w:lineRule="auto"/>
      </w:pPr>
    </w:p>
    <w:p w14:paraId="062225E2">
      <w:pPr>
        <w:pStyle w:val="2"/>
        <w:spacing w:line="249" w:lineRule="auto"/>
      </w:pPr>
    </w:p>
    <w:p w14:paraId="70D98F98">
      <w:pPr>
        <w:pStyle w:val="2"/>
        <w:spacing w:line="249" w:lineRule="auto"/>
      </w:pPr>
    </w:p>
    <w:p w14:paraId="6E8FB141">
      <w:pPr>
        <w:pStyle w:val="2"/>
        <w:spacing w:line="250" w:lineRule="auto"/>
      </w:pPr>
      <w:bookmarkStart w:id="14" w:name="_GoBack"/>
      <w:bookmarkEnd w:id="14"/>
    </w:p>
    <w:p w14:paraId="444D9935">
      <w:pPr>
        <w:pStyle w:val="2"/>
        <w:spacing w:line="250" w:lineRule="auto"/>
      </w:pPr>
    </w:p>
    <w:p w14:paraId="72AF3889">
      <w:pPr>
        <w:pStyle w:val="2"/>
        <w:spacing w:line="250" w:lineRule="auto"/>
      </w:pPr>
    </w:p>
    <w:p w14:paraId="6E0802F6">
      <w:pPr>
        <w:pStyle w:val="2"/>
        <w:spacing w:line="250" w:lineRule="auto"/>
      </w:pPr>
    </w:p>
    <w:p w14:paraId="611F8758">
      <w:pPr>
        <w:spacing w:before="98" w:line="221" w:lineRule="auto"/>
        <w:ind w:left="2990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编制机构：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运维部</w:t>
      </w:r>
    </w:p>
    <w:p w14:paraId="5C0953E0">
      <w:pPr>
        <w:spacing w:before="269" w:line="221" w:lineRule="auto"/>
        <w:ind w:left="298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编制时间：</w:t>
      </w:r>
      <w:r>
        <w:rPr>
          <w:rFonts w:ascii="黑体" w:hAnsi="黑体" w:eastAsia="黑体" w:cs="黑体"/>
          <w:spacing w:val="-8"/>
          <w:sz w:val="30"/>
          <w:szCs w:val="30"/>
        </w:rPr>
        <w:t xml:space="preserve"> </w:t>
      </w:r>
      <w:r>
        <w:rPr>
          <w:rFonts w:ascii="Calibri" w:hAnsi="Calibri" w:eastAsia="Calibri" w:cs="Calibri"/>
          <w:b/>
          <w:bCs/>
          <w:spacing w:val="-8"/>
          <w:sz w:val="30"/>
          <w:szCs w:val="30"/>
        </w:rPr>
        <w:t>2025年1月8日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版</w:t>
      </w:r>
    </w:p>
    <w:p w14:paraId="65F3CED5">
      <w:pPr>
        <w:spacing w:before="270" w:line="222" w:lineRule="auto"/>
        <w:ind w:left="2984"/>
        <w:rPr>
          <w:rFonts w:ascii="Calibri" w:hAnsi="Calibri" w:eastAsia="Calibri" w:cs="Calibri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本名称：</w:t>
      </w:r>
      <w:r>
        <w:rPr>
          <w:rFonts w:ascii="Calibri" w:hAnsi="Calibri" w:eastAsia="Calibri" w:cs="Calibri"/>
          <w:b/>
          <w:bCs/>
          <w:spacing w:val="-2"/>
          <w:sz w:val="30"/>
          <w:szCs w:val="30"/>
        </w:rPr>
        <w:t>CYYH-ITSS-15-02</w:t>
      </w:r>
    </w:p>
    <w:p w14:paraId="50D3CAD7">
      <w:pPr>
        <w:spacing w:before="270" w:line="222" w:lineRule="auto"/>
        <w:ind w:left="298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文件起草人：张延山</w:t>
      </w:r>
    </w:p>
    <w:p w14:paraId="331CDA14">
      <w:pPr>
        <w:spacing w:before="268" w:line="222" w:lineRule="auto"/>
        <w:ind w:left="298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文件审核人：姜晓建</w:t>
      </w:r>
    </w:p>
    <w:p w14:paraId="21CDCD7F">
      <w:pPr>
        <w:spacing w:before="269" w:line="221" w:lineRule="auto"/>
        <w:ind w:left="298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文件审批人：谢晓彤</w:t>
      </w:r>
    </w:p>
    <w:p w14:paraId="33B2610F">
      <w:pPr>
        <w:spacing w:before="274" w:line="221" w:lineRule="auto"/>
        <w:ind w:left="298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生效时间：</w:t>
      </w:r>
      <w:r>
        <w:rPr>
          <w:rFonts w:ascii="Calibri" w:hAnsi="Calibri" w:eastAsia="Calibri" w:cs="Calibri"/>
          <w:b/>
          <w:bCs/>
          <w:spacing w:val="18"/>
          <w:sz w:val="30"/>
          <w:szCs w:val="30"/>
          <w:u w:val="single" w:color="auto"/>
        </w:rPr>
        <w:t xml:space="preserve">  </w:t>
      </w:r>
      <w:r>
        <w:rPr>
          <w:rFonts w:ascii="Calibri" w:hAnsi="Calibri" w:eastAsia="Calibri" w:cs="Calibri"/>
          <w:b/>
          <w:bCs/>
          <w:spacing w:val="-6"/>
          <w:sz w:val="30"/>
          <w:szCs w:val="30"/>
          <w:u w:val="single" w:color="auto"/>
        </w:rPr>
        <w:t>2025年1月8日</w:t>
      </w:r>
    </w:p>
    <w:p w14:paraId="0ED47DD6">
      <w:pPr>
        <w:spacing w:line="221" w:lineRule="auto"/>
        <w:rPr>
          <w:rFonts w:ascii="黑体" w:hAnsi="黑体" w:eastAsia="黑体" w:cs="黑体"/>
          <w:sz w:val="30"/>
          <w:szCs w:val="30"/>
        </w:rPr>
        <w:sectPr>
          <w:footerReference r:id="rId5" w:type="default"/>
          <w:pgSz w:w="11910" w:h="16840"/>
          <w:pgMar w:top="877" w:right="1786" w:bottom="1196" w:left="1677" w:header="0" w:footer="982" w:gutter="0"/>
          <w:cols w:space="720" w:num="1"/>
        </w:sectPr>
      </w:pPr>
    </w:p>
    <w:p w14:paraId="35FDAC57">
      <w:pPr>
        <w:spacing w:line="392" w:lineRule="exact"/>
      </w:pPr>
      <w:r>
        <w:rPr>
          <w:position w:val="-7"/>
        </w:rPr>
        <w:drawing>
          <wp:inline distT="0" distB="0" distL="0" distR="0">
            <wp:extent cx="687070" cy="24892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4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FB62">
      <w:pPr>
        <w:spacing w:before="320" w:line="222" w:lineRule="auto"/>
        <w:ind w:left="33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文件修改记录</w:t>
      </w:r>
    </w:p>
    <w:p w14:paraId="38AF6649">
      <w:pPr>
        <w:spacing w:line="108" w:lineRule="exact"/>
      </w:pPr>
    </w:p>
    <w:tbl>
      <w:tblPr>
        <w:tblStyle w:val="5"/>
        <w:tblW w:w="8508" w:type="dxa"/>
        <w:tblInd w:w="16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2"/>
        <w:gridCol w:w="1843"/>
        <w:gridCol w:w="1693"/>
        <w:gridCol w:w="1693"/>
        <w:gridCol w:w="1697"/>
      </w:tblGrid>
      <w:tr w14:paraId="00348D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3D17AEFC">
            <w:pPr>
              <w:spacing w:before="178" w:line="222" w:lineRule="auto"/>
              <w:ind w:left="229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4"/>
                <w:sz w:val="28"/>
                <w:szCs w:val="28"/>
              </w:rPr>
              <w:t>文件版本</w:t>
            </w:r>
          </w:p>
        </w:tc>
        <w:tc>
          <w:tcPr>
            <w:tcW w:w="1843" w:type="dxa"/>
          </w:tcPr>
          <w:p w14:paraId="4D449A41">
            <w:pPr>
              <w:spacing w:before="178" w:line="222" w:lineRule="auto"/>
              <w:ind w:left="368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修订内容</w:t>
            </w:r>
          </w:p>
        </w:tc>
        <w:tc>
          <w:tcPr>
            <w:tcW w:w="1693" w:type="dxa"/>
          </w:tcPr>
          <w:p w14:paraId="71AF6461">
            <w:pPr>
              <w:spacing w:before="178" w:line="222" w:lineRule="auto"/>
              <w:ind w:left="433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修改人</w:t>
            </w:r>
          </w:p>
        </w:tc>
        <w:tc>
          <w:tcPr>
            <w:tcW w:w="1693" w:type="dxa"/>
          </w:tcPr>
          <w:p w14:paraId="463A521D">
            <w:pPr>
              <w:spacing w:before="178" w:line="223" w:lineRule="auto"/>
              <w:ind w:left="443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6"/>
                <w:sz w:val="28"/>
                <w:szCs w:val="28"/>
              </w:rPr>
              <w:t>审核人</w:t>
            </w:r>
          </w:p>
        </w:tc>
        <w:tc>
          <w:tcPr>
            <w:tcW w:w="1697" w:type="dxa"/>
          </w:tcPr>
          <w:p w14:paraId="1E17594F">
            <w:pPr>
              <w:spacing w:before="177" w:line="222" w:lineRule="auto"/>
              <w:ind w:left="331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生效日期</w:t>
            </w:r>
          </w:p>
        </w:tc>
      </w:tr>
      <w:tr w14:paraId="1AE818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" w:hRule="atLeast"/>
        </w:trPr>
        <w:tc>
          <w:tcPr>
            <w:tcW w:w="1582" w:type="dxa"/>
          </w:tcPr>
          <w:p w14:paraId="2C31F54A">
            <w:pPr>
              <w:spacing w:before="177" w:line="241" w:lineRule="auto"/>
              <w:ind w:left="31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V1.0</w:t>
            </w:r>
          </w:p>
        </w:tc>
        <w:tc>
          <w:tcPr>
            <w:tcW w:w="1843" w:type="dxa"/>
          </w:tcPr>
          <w:p w14:paraId="5C821051">
            <w:pPr>
              <w:spacing w:before="178" w:line="223" w:lineRule="auto"/>
              <w:ind w:left="559" w:right="27" w:hanging="42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初始版本，文</w:t>
            </w: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档建立</w:t>
            </w:r>
          </w:p>
        </w:tc>
        <w:tc>
          <w:tcPr>
            <w:tcW w:w="1693" w:type="dxa"/>
          </w:tcPr>
          <w:p w14:paraId="121D4CF4">
            <w:pPr>
              <w:spacing w:before="177" w:line="223" w:lineRule="auto"/>
              <w:ind w:left="444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7"/>
                <w:sz w:val="28"/>
                <w:szCs w:val="28"/>
              </w:rPr>
              <w:t>张延山</w:t>
            </w:r>
          </w:p>
        </w:tc>
        <w:tc>
          <w:tcPr>
            <w:tcW w:w="1693" w:type="dxa"/>
          </w:tcPr>
          <w:p w14:paraId="18088C5C">
            <w:pPr>
              <w:spacing w:before="177" w:line="222" w:lineRule="auto"/>
              <w:ind w:left="494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7" w:type="dxa"/>
          </w:tcPr>
          <w:p w14:paraId="576301E1">
            <w:pPr>
              <w:spacing w:before="177" w:line="241" w:lineRule="auto"/>
              <w:ind w:left="331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2025.1.8</w:t>
            </w:r>
          </w:p>
        </w:tc>
      </w:tr>
      <w:tr w14:paraId="7D7903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3F162C77">
            <w:pPr>
              <w:pStyle w:val="6"/>
            </w:pPr>
          </w:p>
        </w:tc>
        <w:tc>
          <w:tcPr>
            <w:tcW w:w="1843" w:type="dxa"/>
          </w:tcPr>
          <w:p w14:paraId="5390D22E">
            <w:pPr>
              <w:pStyle w:val="6"/>
            </w:pPr>
          </w:p>
        </w:tc>
        <w:tc>
          <w:tcPr>
            <w:tcW w:w="1693" w:type="dxa"/>
          </w:tcPr>
          <w:p w14:paraId="1A408515">
            <w:pPr>
              <w:pStyle w:val="6"/>
            </w:pPr>
          </w:p>
        </w:tc>
        <w:tc>
          <w:tcPr>
            <w:tcW w:w="1693" w:type="dxa"/>
          </w:tcPr>
          <w:p w14:paraId="346B0478">
            <w:pPr>
              <w:pStyle w:val="6"/>
            </w:pPr>
          </w:p>
        </w:tc>
        <w:tc>
          <w:tcPr>
            <w:tcW w:w="1697" w:type="dxa"/>
          </w:tcPr>
          <w:p w14:paraId="0C1566E5">
            <w:pPr>
              <w:pStyle w:val="6"/>
            </w:pPr>
          </w:p>
        </w:tc>
      </w:tr>
      <w:tr w14:paraId="4F6F13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10BA2BBF">
            <w:pPr>
              <w:pStyle w:val="6"/>
            </w:pPr>
          </w:p>
        </w:tc>
        <w:tc>
          <w:tcPr>
            <w:tcW w:w="1843" w:type="dxa"/>
          </w:tcPr>
          <w:p w14:paraId="50B02A73">
            <w:pPr>
              <w:pStyle w:val="6"/>
            </w:pPr>
          </w:p>
        </w:tc>
        <w:tc>
          <w:tcPr>
            <w:tcW w:w="1693" w:type="dxa"/>
          </w:tcPr>
          <w:p w14:paraId="6925E394">
            <w:pPr>
              <w:pStyle w:val="6"/>
            </w:pPr>
          </w:p>
        </w:tc>
        <w:tc>
          <w:tcPr>
            <w:tcW w:w="1693" w:type="dxa"/>
          </w:tcPr>
          <w:p w14:paraId="7ACF3C8E">
            <w:pPr>
              <w:pStyle w:val="6"/>
            </w:pPr>
          </w:p>
        </w:tc>
        <w:tc>
          <w:tcPr>
            <w:tcW w:w="1697" w:type="dxa"/>
          </w:tcPr>
          <w:p w14:paraId="0FE749A4">
            <w:pPr>
              <w:pStyle w:val="6"/>
            </w:pPr>
          </w:p>
        </w:tc>
      </w:tr>
      <w:tr w14:paraId="55DAD6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03936C31">
            <w:pPr>
              <w:pStyle w:val="6"/>
            </w:pPr>
          </w:p>
        </w:tc>
        <w:tc>
          <w:tcPr>
            <w:tcW w:w="1843" w:type="dxa"/>
          </w:tcPr>
          <w:p w14:paraId="6E49F53C">
            <w:pPr>
              <w:pStyle w:val="6"/>
            </w:pPr>
          </w:p>
        </w:tc>
        <w:tc>
          <w:tcPr>
            <w:tcW w:w="1693" w:type="dxa"/>
          </w:tcPr>
          <w:p w14:paraId="2A22D2EA">
            <w:pPr>
              <w:pStyle w:val="6"/>
            </w:pPr>
          </w:p>
        </w:tc>
        <w:tc>
          <w:tcPr>
            <w:tcW w:w="1693" w:type="dxa"/>
          </w:tcPr>
          <w:p w14:paraId="207AA467">
            <w:pPr>
              <w:pStyle w:val="6"/>
            </w:pPr>
          </w:p>
        </w:tc>
        <w:tc>
          <w:tcPr>
            <w:tcW w:w="1697" w:type="dxa"/>
          </w:tcPr>
          <w:p w14:paraId="0F4BC187">
            <w:pPr>
              <w:pStyle w:val="6"/>
            </w:pPr>
          </w:p>
        </w:tc>
      </w:tr>
      <w:tr w14:paraId="4BBC28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82" w:type="dxa"/>
          </w:tcPr>
          <w:p w14:paraId="7F1BED5D">
            <w:pPr>
              <w:pStyle w:val="6"/>
            </w:pPr>
          </w:p>
        </w:tc>
        <w:tc>
          <w:tcPr>
            <w:tcW w:w="1843" w:type="dxa"/>
          </w:tcPr>
          <w:p w14:paraId="74E2DB90">
            <w:pPr>
              <w:pStyle w:val="6"/>
            </w:pPr>
          </w:p>
        </w:tc>
        <w:tc>
          <w:tcPr>
            <w:tcW w:w="1693" w:type="dxa"/>
          </w:tcPr>
          <w:p w14:paraId="593C025A">
            <w:pPr>
              <w:pStyle w:val="6"/>
            </w:pPr>
          </w:p>
        </w:tc>
        <w:tc>
          <w:tcPr>
            <w:tcW w:w="1693" w:type="dxa"/>
          </w:tcPr>
          <w:p w14:paraId="3B9F878D">
            <w:pPr>
              <w:pStyle w:val="6"/>
            </w:pPr>
          </w:p>
        </w:tc>
        <w:tc>
          <w:tcPr>
            <w:tcW w:w="1697" w:type="dxa"/>
          </w:tcPr>
          <w:p w14:paraId="6F236A03">
            <w:pPr>
              <w:pStyle w:val="6"/>
            </w:pPr>
          </w:p>
        </w:tc>
      </w:tr>
      <w:tr w14:paraId="58A9F2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72FBE52B">
            <w:pPr>
              <w:pStyle w:val="6"/>
            </w:pPr>
          </w:p>
        </w:tc>
        <w:tc>
          <w:tcPr>
            <w:tcW w:w="1843" w:type="dxa"/>
          </w:tcPr>
          <w:p w14:paraId="40CE8F81">
            <w:pPr>
              <w:pStyle w:val="6"/>
            </w:pPr>
          </w:p>
        </w:tc>
        <w:tc>
          <w:tcPr>
            <w:tcW w:w="1693" w:type="dxa"/>
          </w:tcPr>
          <w:p w14:paraId="3BC10883">
            <w:pPr>
              <w:pStyle w:val="6"/>
            </w:pPr>
          </w:p>
        </w:tc>
        <w:tc>
          <w:tcPr>
            <w:tcW w:w="1693" w:type="dxa"/>
          </w:tcPr>
          <w:p w14:paraId="48FDC512">
            <w:pPr>
              <w:pStyle w:val="6"/>
            </w:pPr>
          </w:p>
        </w:tc>
        <w:tc>
          <w:tcPr>
            <w:tcW w:w="1697" w:type="dxa"/>
          </w:tcPr>
          <w:p w14:paraId="014688F1">
            <w:pPr>
              <w:pStyle w:val="6"/>
            </w:pPr>
          </w:p>
        </w:tc>
      </w:tr>
      <w:tr w14:paraId="7A36CF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4E68ABF3">
            <w:pPr>
              <w:pStyle w:val="6"/>
            </w:pPr>
          </w:p>
        </w:tc>
        <w:tc>
          <w:tcPr>
            <w:tcW w:w="1843" w:type="dxa"/>
          </w:tcPr>
          <w:p w14:paraId="4A440F9D">
            <w:pPr>
              <w:pStyle w:val="6"/>
            </w:pPr>
          </w:p>
        </w:tc>
        <w:tc>
          <w:tcPr>
            <w:tcW w:w="1693" w:type="dxa"/>
          </w:tcPr>
          <w:p w14:paraId="303BBFE1">
            <w:pPr>
              <w:pStyle w:val="6"/>
            </w:pPr>
          </w:p>
        </w:tc>
        <w:tc>
          <w:tcPr>
            <w:tcW w:w="1693" w:type="dxa"/>
          </w:tcPr>
          <w:p w14:paraId="71E99F67">
            <w:pPr>
              <w:pStyle w:val="6"/>
            </w:pPr>
          </w:p>
        </w:tc>
        <w:tc>
          <w:tcPr>
            <w:tcW w:w="1697" w:type="dxa"/>
          </w:tcPr>
          <w:p w14:paraId="75BCD2B1">
            <w:pPr>
              <w:pStyle w:val="6"/>
            </w:pPr>
          </w:p>
        </w:tc>
      </w:tr>
    </w:tbl>
    <w:p w14:paraId="1ED3F520">
      <w:pPr>
        <w:pStyle w:val="2"/>
      </w:pPr>
    </w:p>
    <w:p w14:paraId="259A1DC0">
      <w:pPr>
        <w:sectPr>
          <w:footerReference r:id="rId6" w:type="default"/>
          <w:pgSz w:w="11910" w:h="16840"/>
          <w:pgMar w:top="877" w:right="1557" w:bottom="1196" w:left="1677" w:header="0" w:footer="982" w:gutter="0"/>
          <w:cols w:space="720" w:num="1"/>
        </w:sectPr>
      </w:pPr>
    </w:p>
    <w:p w14:paraId="1F2F9E26">
      <w:pPr>
        <w:spacing w:line="392" w:lineRule="exact"/>
        <w:ind w:firstLine="90"/>
      </w:pPr>
      <w:r>
        <w:rPr>
          <w:position w:val="-7"/>
        </w:rPr>
        <w:drawing>
          <wp:inline distT="0" distB="0" distL="0" distR="0">
            <wp:extent cx="687070" cy="24892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4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宋体" w:hAnsi="宋体" w:eastAsia="宋体" w:cs="宋体"/>
          <w:sz w:val="24"/>
          <w:szCs w:val="24"/>
        </w:rPr>
        <w:id w:val="359797021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z w:val="24"/>
          <w:szCs w:val="24"/>
        </w:rPr>
      </w:sdtEndPr>
      <w:sdtContent>
        <w:p w14:paraId="2062F77B">
          <w:pPr>
            <w:spacing w:before="186" w:line="221" w:lineRule="auto"/>
            <w:ind w:left="4191"/>
            <w:rPr>
              <w:rFonts w:ascii="宋体" w:hAnsi="宋体" w:eastAsia="宋体" w:cs="宋体"/>
              <w:sz w:val="24"/>
              <w:szCs w:val="24"/>
            </w:rPr>
          </w:pPr>
          <w:r>
            <w:rPr>
              <w:rFonts w:ascii="宋体" w:hAnsi="宋体" w:eastAsia="宋体" w:cs="宋体"/>
              <w:spacing w:val="-28"/>
              <w:sz w:val="24"/>
              <w:szCs w:val="24"/>
            </w:rPr>
            <w:t>目录</w:t>
          </w:r>
        </w:p>
        <w:p w14:paraId="0519F7B3">
          <w:pPr>
            <w:tabs>
              <w:tab w:val="right" w:leader="dot" w:pos="8760"/>
            </w:tabs>
            <w:spacing w:before="177" w:line="185" w:lineRule="auto"/>
            <w:ind w:left="18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8"/>
              <w:sz w:val="24"/>
              <w:szCs w:val="24"/>
            </w:rPr>
            <w:t>1</w:t>
          </w:r>
          <w:r>
            <w:rPr>
              <w:rFonts w:ascii="宋体" w:hAnsi="宋体" w:eastAsia="宋体" w:cs="宋体"/>
              <w:spacing w:val="1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8"/>
              <w:sz w:val="24"/>
              <w:szCs w:val="24"/>
            </w:rPr>
            <w:t>文档简介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10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fldChar w:fldCharType="end"/>
          </w:r>
        </w:p>
        <w:p w14:paraId="0D12617D">
          <w:pPr>
            <w:tabs>
              <w:tab w:val="right" w:leader="dot" w:pos="8760"/>
            </w:tabs>
            <w:spacing w:before="227" w:line="185" w:lineRule="auto"/>
            <w:ind w:left="3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2</w:t>
          </w:r>
          <w:r>
            <w:rPr>
              <w:rFonts w:ascii="宋体" w:hAnsi="宋体" w:eastAsia="宋体" w:cs="宋体"/>
              <w:spacing w:val="1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适用范围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10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fldChar w:fldCharType="end"/>
          </w:r>
        </w:p>
        <w:p w14:paraId="5D0FFB3D">
          <w:pPr>
            <w:tabs>
              <w:tab w:val="right" w:leader="dot" w:pos="8760"/>
            </w:tabs>
            <w:spacing w:before="225" w:line="185" w:lineRule="auto"/>
            <w:ind w:left="5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3</w:t>
          </w:r>
          <w:r>
            <w:rPr>
              <w:rFonts w:ascii="宋体" w:hAnsi="宋体" w:eastAsia="宋体" w:cs="宋体"/>
              <w:spacing w:val="10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流程目标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10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fldChar w:fldCharType="end"/>
          </w:r>
        </w:p>
        <w:p w14:paraId="7778EE2D">
          <w:pPr>
            <w:tabs>
              <w:tab w:val="right" w:leader="dot" w:pos="8760"/>
            </w:tabs>
            <w:spacing w:before="227" w:line="185" w:lineRule="auto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4</w:t>
          </w:r>
          <w:r>
            <w:rPr>
              <w:rFonts w:ascii="宋体" w:hAnsi="宋体" w:eastAsia="宋体" w:cs="宋体"/>
              <w:spacing w:val="10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流程策略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6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t>5</w:t>
          </w:r>
          <w:r>
            <w:fldChar w:fldCharType="end"/>
          </w:r>
        </w:p>
        <w:p w14:paraId="65B9B763">
          <w:pPr>
            <w:tabs>
              <w:tab w:val="right" w:leader="dot" w:pos="8760"/>
            </w:tabs>
            <w:spacing w:before="228" w:line="185" w:lineRule="auto"/>
            <w:ind w:left="441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4.1 基本要求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8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t>5</w:t>
          </w:r>
          <w:r>
            <w:fldChar w:fldCharType="end"/>
          </w:r>
        </w:p>
        <w:p w14:paraId="35EC71E0">
          <w:pPr>
            <w:tabs>
              <w:tab w:val="right" w:leader="dot" w:pos="8760"/>
            </w:tabs>
            <w:spacing w:before="225" w:line="185" w:lineRule="auto"/>
            <w:ind w:left="441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4.2 报告形式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8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t>5</w:t>
          </w:r>
          <w:r>
            <w:fldChar w:fldCharType="end"/>
          </w:r>
        </w:p>
        <w:p w14:paraId="5FA819E2">
          <w:pPr>
            <w:tabs>
              <w:tab w:val="right" w:leader="dot" w:pos="8760"/>
            </w:tabs>
            <w:spacing w:before="227" w:line="185" w:lineRule="auto"/>
            <w:ind w:left="5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5</w:t>
          </w:r>
          <w:r>
            <w:rPr>
              <w:rFonts w:ascii="宋体" w:hAnsi="宋体" w:eastAsia="宋体" w:cs="宋体"/>
              <w:spacing w:val="14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角色与职责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9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2"/>
              <w:sz w:val="24"/>
              <w:szCs w:val="24"/>
            </w:rPr>
            <w:t>6</w:t>
          </w:r>
          <w:r>
            <w:fldChar w:fldCharType="end"/>
          </w:r>
        </w:p>
        <w:p w14:paraId="6F9E8917">
          <w:pPr>
            <w:tabs>
              <w:tab w:val="right" w:leader="dot" w:pos="8760"/>
            </w:tabs>
            <w:spacing w:before="226" w:line="184" w:lineRule="auto"/>
            <w:ind w:left="2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6</w:t>
          </w:r>
          <w:r>
            <w:rPr>
              <w:rFonts w:ascii="宋体" w:hAnsi="宋体" w:eastAsia="宋体" w:cs="宋体"/>
              <w:spacing w:val="1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流程描述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9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2"/>
              <w:sz w:val="24"/>
              <w:szCs w:val="24"/>
            </w:rPr>
            <w:t>6</w:t>
          </w:r>
          <w:r>
            <w:fldChar w:fldCharType="end"/>
          </w:r>
        </w:p>
        <w:p w14:paraId="76027FFC">
          <w:pPr>
            <w:tabs>
              <w:tab w:val="right" w:leader="dot" w:pos="8760"/>
            </w:tabs>
            <w:spacing w:before="226" w:line="185" w:lineRule="auto"/>
            <w:ind w:left="44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6.1</w:t>
          </w:r>
          <w:r>
            <w:rPr>
              <w:rFonts w:ascii="宋体" w:hAnsi="宋体" w:eastAsia="宋体" w:cs="宋体"/>
              <w:spacing w:val="-49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流程图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6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2"/>
              <w:sz w:val="24"/>
              <w:szCs w:val="24"/>
            </w:rPr>
            <w:t>6</w:t>
          </w:r>
          <w:r>
            <w:fldChar w:fldCharType="end"/>
          </w:r>
        </w:p>
        <w:p w14:paraId="0D2413CA">
          <w:pPr>
            <w:tabs>
              <w:tab w:val="right" w:leader="dot" w:pos="8760"/>
            </w:tabs>
            <w:spacing w:before="227" w:line="185" w:lineRule="auto"/>
            <w:ind w:left="44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6.2 流程说明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7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6"/>
              <w:sz w:val="24"/>
              <w:szCs w:val="24"/>
            </w:rPr>
            <w:t>7</w:t>
          </w:r>
          <w:r>
            <w:fldChar w:fldCharType="end"/>
          </w:r>
        </w:p>
        <w:p w14:paraId="56DA92A8">
          <w:pPr>
            <w:tabs>
              <w:tab w:val="right" w:leader="dot" w:pos="8760"/>
            </w:tabs>
            <w:spacing w:before="228" w:line="185" w:lineRule="auto"/>
            <w:ind w:left="6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6"/>
              <w:sz w:val="24"/>
              <w:szCs w:val="24"/>
            </w:rPr>
            <w:t>7</w:t>
          </w:r>
          <w:r>
            <w:rPr>
              <w:rFonts w:ascii="宋体" w:hAnsi="宋体" w:eastAsia="宋体" w:cs="宋体"/>
              <w:spacing w:val="1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6"/>
              <w:sz w:val="24"/>
              <w:szCs w:val="24"/>
            </w:rPr>
            <w:t>流程指标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100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t>8</w:t>
          </w:r>
          <w:r>
            <w:fldChar w:fldCharType="end"/>
          </w:r>
        </w:p>
        <w:p w14:paraId="62B13409">
          <w:pPr>
            <w:tabs>
              <w:tab w:val="right" w:leader="dot" w:pos="8760"/>
            </w:tabs>
            <w:spacing w:before="225" w:line="219" w:lineRule="auto"/>
            <w:ind w:left="1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8 流程持续改进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100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t>8</w:t>
          </w:r>
          <w:r>
            <w:fldChar w:fldCharType="end"/>
          </w:r>
        </w:p>
      </w:sdtContent>
    </w:sdt>
    <w:p w14:paraId="7AB57CC3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footerReference r:id="rId7" w:type="default"/>
          <w:pgSz w:w="11910" w:h="16840"/>
          <w:pgMar w:top="877" w:right="1561" w:bottom="1196" w:left="1587" w:header="0" w:footer="982" w:gutter="0"/>
          <w:cols w:space="720" w:num="1"/>
        </w:sectPr>
      </w:pPr>
    </w:p>
    <w:p w14:paraId="5B8BFA4B">
      <w:pPr>
        <w:spacing w:line="392" w:lineRule="exact"/>
      </w:pPr>
      <w:r>
        <w:rPr>
          <w:position w:val="-7"/>
        </w:rPr>
        <w:drawing>
          <wp:inline distT="0" distB="0" distL="0" distR="0">
            <wp:extent cx="687070" cy="24892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7324" cy="24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EBDA8">
      <w:pPr>
        <w:spacing w:before="101" w:line="227" w:lineRule="auto"/>
        <w:ind w:left="150"/>
        <w:outlineLvl w:val="0"/>
        <w:rPr>
          <w:rFonts w:ascii="黑体" w:hAnsi="黑体" w:eastAsia="黑体" w:cs="黑体"/>
          <w:sz w:val="31"/>
          <w:szCs w:val="31"/>
        </w:rPr>
      </w:pPr>
      <w:bookmarkStart w:id="0" w:name="bookmark1"/>
      <w:bookmarkEnd w:id="0"/>
      <w:r>
        <w:rPr>
          <w:rFonts w:ascii="黑体" w:hAnsi="黑体" w:eastAsia="黑体" w:cs="黑体"/>
          <w:b/>
          <w:bCs/>
          <w:spacing w:val="-4"/>
          <w:sz w:val="31"/>
          <w:szCs w:val="31"/>
        </w:rPr>
        <w:t>1</w:t>
      </w:r>
      <w:r>
        <w:rPr>
          <w:rFonts w:ascii="黑体" w:hAnsi="黑体" w:eastAsia="黑体" w:cs="黑体"/>
          <w:spacing w:val="2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1"/>
          <w:szCs w:val="31"/>
        </w:rPr>
        <w:t>文档简介</w:t>
      </w:r>
    </w:p>
    <w:p w14:paraId="3173072A">
      <w:pPr>
        <w:spacing w:before="78" w:line="218" w:lineRule="auto"/>
        <w:ind w:left="61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本文档定义了服务报告管理流程，主要内容包括：</w:t>
      </w:r>
    </w:p>
    <w:p w14:paraId="6302C962">
      <w:pPr>
        <w:spacing w:before="78" w:line="238" w:lineRule="auto"/>
        <w:ind w:left="622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3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流程目标，描述服务报告管理流程所要达到的目标。</w:t>
      </w:r>
    </w:p>
    <w:p w14:paraId="4FF526BA">
      <w:pPr>
        <w:spacing w:before="161" w:line="239" w:lineRule="auto"/>
        <w:ind w:left="622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3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流程描述，包括流程图、活动描述及输入输出。</w:t>
      </w:r>
    </w:p>
    <w:p w14:paraId="190BAD9E">
      <w:pPr>
        <w:spacing w:before="161" w:line="296" w:lineRule="auto"/>
        <w:ind w:left="1035" w:right="74" w:hanging="413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流程角色和职责，描述流程中主要的角色，以及角色所担负的职责和需具备的技能要求。</w:t>
      </w:r>
    </w:p>
    <w:p w14:paraId="5DC7544A">
      <w:pPr>
        <w:spacing w:before="175" w:line="296" w:lineRule="auto"/>
        <w:ind w:left="1032" w:right="74" w:hanging="41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流程指标，定义了衡量流程管理绩效的指标，主要包括效率与效能两方</w:t>
      </w:r>
      <w:r>
        <w:rPr>
          <w:rFonts w:ascii="宋体" w:hAnsi="宋体" w:eastAsia="宋体" w:cs="宋体"/>
          <w:spacing w:val="-3"/>
          <w:sz w:val="24"/>
          <w:szCs w:val="24"/>
        </w:rPr>
        <w:t>面的指标。</w:t>
      </w:r>
    </w:p>
    <w:p w14:paraId="56B0A048">
      <w:pPr>
        <w:spacing w:before="178" w:line="239" w:lineRule="auto"/>
        <w:ind w:left="622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流程持续改进，定义流程回顾和改进方法。</w:t>
      </w:r>
    </w:p>
    <w:p w14:paraId="17ED2F64">
      <w:pPr>
        <w:spacing w:before="101" w:line="228" w:lineRule="auto"/>
        <w:ind w:left="132"/>
        <w:outlineLvl w:val="0"/>
        <w:rPr>
          <w:rFonts w:ascii="黑体" w:hAnsi="黑体" w:eastAsia="黑体" w:cs="黑体"/>
          <w:sz w:val="31"/>
          <w:szCs w:val="31"/>
        </w:rPr>
      </w:pPr>
      <w:bookmarkStart w:id="1" w:name="bookmark2"/>
      <w:bookmarkEnd w:id="1"/>
      <w:r>
        <w:rPr>
          <w:rFonts w:ascii="黑体" w:hAnsi="黑体" w:eastAsia="黑体" w:cs="黑体"/>
          <w:b/>
          <w:bCs/>
          <w:sz w:val="31"/>
          <w:szCs w:val="31"/>
        </w:rPr>
        <w:t>2</w:t>
      </w:r>
      <w:r>
        <w:rPr>
          <w:rFonts w:ascii="黑体" w:hAnsi="黑体" w:eastAsia="黑体" w:cs="黑体"/>
          <w:spacing w:val="28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z w:val="31"/>
          <w:szCs w:val="31"/>
        </w:rPr>
        <w:t>适用范围</w:t>
      </w:r>
    </w:p>
    <w:p w14:paraId="509B921D">
      <w:pPr>
        <w:spacing w:before="79" w:line="364" w:lineRule="auto"/>
        <w:ind w:left="130" w:right="115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服务报告管理流程适用的范围主要是运维服务，服务模式包括驻</w:t>
      </w:r>
      <w:r>
        <w:rPr>
          <w:rFonts w:ascii="宋体" w:hAnsi="宋体" w:eastAsia="宋体" w:cs="宋体"/>
          <w:spacing w:val="-7"/>
          <w:sz w:val="24"/>
          <w:szCs w:val="24"/>
        </w:rPr>
        <w:t>场式及非驻</w:t>
      </w:r>
      <w:r>
        <w:rPr>
          <w:rFonts w:ascii="宋体" w:hAnsi="宋体" w:eastAsia="宋体" w:cs="宋体"/>
          <w:spacing w:val="-1"/>
          <w:sz w:val="24"/>
          <w:szCs w:val="24"/>
        </w:rPr>
        <w:t>场式。业务线条主要包括：</w:t>
      </w:r>
    </w:p>
    <w:p w14:paraId="51A044C3">
      <w:pPr>
        <w:spacing w:before="144" w:line="239" w:lineRule="auto"/>
        <w:ind w:left="622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>n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硬件运维服务业务线；</w:t>
      </w:r>
    </w:p>
    <w:p w14:paraId="01E596EA">
      <w:pPr>
        <w:spacing w:before="160" w:line="239" w:lineRule="auto"/>
        <w:ind w:left="622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>n</w:t>
      </w:r>
      <w:r>
        <w:rPr>
          <w:rFonts w:ascii="Wingdings" w:hAnsi="Wingdings" w:eastAsia="Wingdings" w:cs="Wingdings"/>
          <w:spacing w:val="-4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软件运维服务业务线。</w:t>
      </w:r>
    </w:p>
    <w:p w14:paraId="29439182">
      <w:pPr>
        <w:spacing w:before="102" w:line="226" w:lineRule="auto"/>
        <w:ind w:left="134"/>
        <w:outlineLvl w:val="0"/>
        <w:rPr>
          <w:rFonts w:ascii="黑体" w:hAnsi="黑体" w:eastAsia="黑体" w:cs="黑体"/>
          <w:sz w:val="31"/>
          <w:szCs w:val="31"/>
        </w:rPr>
      </w:pPr>
      <w:bookmarkStart w:id="2" w:name="bookmark3"/>
      <w:bookmarkEnd w:id="2"/>
      <w:r>
        <w:rPr>
          <w:rFonts w:ascii="黑体" w:hAnsi="黑体" w:eastAsia="黑体" w:cs="黑体"/>
          <w:b/>
          <w:bCs/>
          <w:sz w:val="31"/>
          <w:szCs w:val="31"/>
        </w:rPr>
        <w:t>3</w:t>
      </w:r>
      <w:r>
        <w:rPr>
          <w:rFonts w:ascii="黑体" w:hAnsi="黑体" w:eastAsia="黑体" w:cs="黑体"/>
          <w:spacing w:val="2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z w:val="31"/>
          <w:szCs w:val="31"/>
        </w:rPr>
        <w:t>流程目标</w:t>
      </w:r>
    </w:p>
    <w:p w14:paraId="2C58C3A8">
      <w:pPr>
        <w:spacing w:before="79" w:line="364" w:lineRule="auto"/>
        <w:ind w:left="132" w:right="7"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规范公司内部服务报告过程的管理，对客户提供优良的服务保证，提高公司员工的服务水平和服务意识，确保负责人能及时、全面了解和掌握服务项目进展</w:t>
      </w:r>
      <w:r>
        <w:rPr>
          <w:rFonts w:ascii="宋体" w:hAnsi="宋体" w:eastAsia="宋体" w:cs="宋体"/>
          <w:spacing w:val="-10"/>
          <w:sz w:val="24"/>
          <w:szCs w:val="24"/>
        </w:rPr>
        <w:t>情况。确保有效沟通和制定决策，编制可靠的、准确的并达成一致的报告，确保已</w:t>
      </w:r>
      <w:r>
        <w:rPr>
          <w:rFonts w:ascii="宋体" w:hAnsi="宋体" w:eastAsia="宋体" w:cs="宋体"/>
          <w:sz w:val="24"/>
          <w:szCs w:val="24"/>
        </w:rPr>
        <w:t>经取得的服务级别协议能够得以评价和计量，以</w:t>
      </w:r>
      <w:r>
        <w:rPr>
          <w:rFonts w:ascii="宋体" w:hAnsi="宋体" w:eastAsia="宋体" w:cs="宋体"/>
          <w:spacing w:val="-1"/>
          <w:sz w:val="24"/>
          <w:szCs w:val="24"/>
        </w:rPr>
        <w:t>及在必要时进行持续改进。</w:t>
      </w:r>
    </w:p>
    <w:p w14:paraId="7A1EE229">
      <w:pPr>
        <w:spacing w:before="101" w:line="226" w:lineRule="auto"/>
        <w:ind w:left="126"/>
        <w:outlineLvl w:val="0"/>
        <w:rPr>
          <w:rFonts w:ascii="黑体" w:hAnsi="黑体" w:eastAsia="黑体" w:cs="黑体"/>
          <w:sz w:val="31"/>
          <w:szCs w:val="31"/>
        </w:rPr>
      </w:pPr>
      <w:bookmarkStart w:id="3" w:name="bookmark4"/>
      <w:bookmarkEnd w:id="3"/>
      <w:bookmarkStart w:id="4" w:name="bookmark5"/>
      <w:bookmarkEnd w:id="4"/>
      <w:r>
        <w:rPr>
          <w:rFonts w:ascii="黑体" w:hAnsi="黑体" w:eastAsia="黑体" w:cs="黑体"/>
          <w:b/>
          <w:bCs/>
          <w:spacing w:val="1"/>
          <w:sz w:val="31"/>
          <w:szCs w:val="31"/>
        </w:rPr>
        <w:t>4</w:t>
      </w:r>
      <w:r>
        <w:rPr>
          <w:rFonts w:ascii="黑体" w:hAnsi="黑体" w:eastAsia="黑体" w:cs="黑体"/>
          <w:spacing w:val="2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31"/>
          <w:szCs w:val="31"/>
        </w:rPr>
        <w:t>流程策略</w:t>
      </w:r>
    </w:p>
    <w:p w14:paraId="1905B5B2">
      <w:pPr>
        <w:spacing w:before="98" w:line="222" w:lineRule="auto"/>
        <w:ind w:left="126"/>
        <w:outlineLvl w:val="1"/>
        <w:rPr>
          <w:rFonts w:ascii="黑体" w:hAnsi="黑体" w:eastAsia="黑体" w:cs="黑体"/>
          <w:sz w:val="30"/>
          <w:szCs w:val="30"/>
        </w:rPr>
      </w:pPr>
      <w:bookmarkStart w:id="5" w:name="bookmark13"/>
      <w:bookmarkEnd w:id="5"/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4.1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基本要求</w:t>
      </w:r>
    </w:p>
    <w:p w14:paraId="6F991095">
      <w:pPr>
        <w:spacing w:before="78" w:line="218" w:lineRule="auto"/>
        <w:ind w:left="61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服务报告的基本要求包括：</w:t>
      </w:r>
    </w:p>
    <w:p w14:paraId="65D70B33">
      <w:pPr>
        <w:spacing w:before="78" w:line="238" w:lineRule="auto"/>
        <w:ind w:left="622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3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服务报告需按计划或需求定期及时编写并汇报。</w:t>
      </w:r>
    </w:p>
    <w:p w14:paraId="5DE2C250">
      <w:pPr>
        <w:spacing w:before="160" w:line="238" w:lineRule="auto"/>
        <w:ind w:left="622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3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服务报告应做到内容全面、条理清晰且简洁明了。</w:t>
      </w:r>
    </w:p>
    <w:p w14:paraId="72719009">
      <w:pPr>
        <w:spacing w:before="162" w:line="296" w:lineRule="auto"/>
        <w:ind w:left="1038" w:right="74" w:hanging="416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服务报告要满足报告阅读者的特定需求，阅读者所关心的话题应得到清</w:t>
      </w:r>
      <w:r>
        <w:rPr>
          <w:rFonts w:ascii="宋体" w:hAnsi="宋体" w:eastAsia="宋体" w:cs="宋体"/>
          <w:spacing w:val="-3"/>
          <w:sz w:val="24"/>
          <w:szCs w:val="24"/>
        </w:rPr>
        <w:t>楚的说明和解释。</w:t>
      </w:r>
    </w:p>
    <w:p w14:paraId="7EE64B34">
      <w:pPr>
        <w:spacing w:before="177" w:line="295" w:lineRule="auto"/>
        <w:ind w:left="1031" w:right="74" w:hanging="409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服务报告内容应做到客观公正，可能的话应对报告的客观性进行声明和</w:t>
      </w:r>
      <w:r>
        <w:rPr>
          <w:rFonts w:ascii="宋体" w:hAnsi="宋体" w:eastAsia="宋体" w:cs="宋体"/>
          <w:spacing w:val="-4"/>
          <w:sz w:val="24"/>
          <w:szCs w:val="24"/>
        </w:rPr>
        <w:t>举证。</w:t>
      </w:r>
    </w:p>
    <w:p w14:paraId="33457788">
      <w:pPr>
        <w:spacing w:before="177" w:line="296" w:lineRule="auto"/>
        <w:ind w:left="1029" w:right="74" w:hanging="407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服务报告的结果应真实可信，应对数据源、处理方式、参照依据等事项</w:t>
      </w:r>
      <w:r>
        <w:rPr>
          <w:rFonts w:ascii="宋体" w:hAnsi="宋体" w:eastAsia="宋体" w:cs="宋体"/>
          <w:spacing w:val="-1"/>
          <w:sz w:val="24"/>
          <w:szCs w:val="24"/>
        </w:rPr>
        <w:t>进行详细的说明。</w:t>
      </w:r>
    </w:p>
    <w:p w14:paraId="79C6E2C3">
      <w:pPr>
        <w:spacing w:before="178" w:line="238" w:lineRule="auto"/>
        <w:ind w:left="622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10"/>
          <w:sz w:val="24"/>
          <w:szCs w:val="24"/>
        </w:rPr>
        <w:t>n</w:t>
      </w:r>
      <w:r>
        <w:rPr>
          <w:rFonts w:ascii="Wingdings" w:hAnsi="Wingdings" w:eastAsia="Wingdings" w:cs="Wingdings"/>
          <w:spacing w:val="-5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服务报告应简明易懂，必要时针对不同的受众制定不同形式的服务报告。</w:t>
      </w:r>
    </w:p>
    <w:p w14:paraId="3AF0A9A4">
      <w:pPr>
        <w:spacing w:before="99" w:line="224" w:lineRule="auto"/>
        <w:ind w:left="126"/>
        <w:outlineLvl w:val="1"/>
        <w:rPr>
          <w:rFonts w:ascii="黑体" w:hAnsi="黑体" w:eastAsia="黑体" w:cs="黑体"/>
          <w:sz w:val="30"/>
          <w:szCs w:val="30"/>
        </w:rPr>
      </w:pPr>
      <w:bookmarkStart w:id="6" w:name="bookmark6"/>
      <w:bookmarkEnd w:id="6"/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4.2</w:t>
      </w:r>
      <w:r>
        <w:rPr>
          <w:rFonts w:ascii="黑体" w:hAnsi="黑体" w:eastAsia="黑体" w:cs="黑体"/>
          <w:spacing w:val="-6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报告形式</w:t>
      </w:r>
    </w:p>
    <w:p w14:paraId="3F35E125">
      <w:pPr>
        <w:spacing w:before="79" w:line="365" w:lineRule="auto"/>
        <w:ind w:left="132" w:right="146" w:firstLine="47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所有的服务管理流程均应进行服务报告。服务报告涉及的领域和具体</w:t>
      </w:r>
      <w:r>
        <w:rPr>
          <w:rFonts w:ascii="宋体" w:hAnsi="宋体" w:eastAsia="宋体" w:cs="宋体"/>
          <w:spacing w:val="-8"/>
          <w:sz w:val="24"/>
          <w:szCs w:val="24"/>
        </w:rPr>
        <w:t>内容虽</w:t>
      </w:r>
      <w:r>
        <w:rPr>
          <w:rFonts w:ascii="宋体" w:hAnsi="宋体" w:eastAsia="宋体" w:cs="宋体"/>
          <w:spacing w:val="-1"/>
          <w:sz w:val="24"/>
          <w:szCs w:val="24"/>
        </w:rPr>
        <w:t>然会有所不同，但是基本的形式主要包括：</w:t>
      </w:r>
    </w:p>
    <w:p w14:paraId="7515AB3A">
      <w:pPr>
        <w:spacing w:before="140" w:line="294" w:lineRule="auto"/>
        <w:ind w:left="1031" w:right="74" w:hanging="409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被动报告：对已发生的事件进行解释阐述的报告，如突发事件报告和问题报告等。</w:t>
      </w:r>
    </w:p>
    <w:p w14:paraId="7156A908">
      <w:pPr>
        <w:spacing w:before="182" w:line="294" w:lineRule="auto"/>
        <w:ind w:left="1034" w:right="74" w:hanging="412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主动报告：根据数据分析或趋势分析结果做出的预警性报告，以便为采</w:t>
      </w:r>
      <w:r>
        <w:rPr>
          <w:rFonts w:ascii="宋体" w:hAnsi="宋体" w:eastAsia="宋体" w:cs="宋体"/>
          <w:spacing w:val="-1"/>
          <w:sz w:val="24"/>
          <w:szCs w:val="24"/>
        </w:rPr>
        <w:t>取预防措施提供依据，如问题趋势分析报告等。</w:t>
      </w:r>
    </w:p>
    <w:p w14:paraId="3EDC0C4D">
      <w:pPr>
        <w:spacing w:before="180" w:line="238" w:lineRule="auto"/>
        <w:ind w:left="622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1"/>
          <w:sz w:val="24"/>
          <w:szCs w:val="24"/>
        </w:rPr>
        <w:t>n</w:t>
      </w:r>
      <w:r>
        <w:rPr>
          <w:rFonts w:ascii="Wingdings" w:hAnsi="Wingdings" w:eastAsia="Wingdings" w:cs="Wingdings"/>
          <w:spacing w:val="-5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进展汇报：对已计划好的活动的时间安排及具体进展进行报告。</w:t>
      </w:r>
    </w:p>
    <w:p w14:paraId="571C00FC">
      <w:pPr>
        <w:spacing w:before="101" w:line="226" w:lineRule="auto"/>
        <w:ind w:left="127"/>
        <w:outlineLvl w:val="0"/>
        <w:rPr>
          <w:rFonts w:ascii="黑体" w:hAnsi="黑体" w:eastAsia="黑体" w:cs="黑体"/>
          <w:sz w:val="31"/>
          <w:szCs w:val="31"/>
        </w:rPr>
      </w:pPr>
      <w:bookmarkStart w:id="7" w:name="bookmark7"/>
      <w:bookmarkEnd w:id="7"/>
      <w:r>
        <w:rPr>
          <w:rFonts w:ascii="黑体" w:hAnsi="黑体" w:eastAsia="黑体" w:cs="黑体"/>
          <w:b/>
          <w:bCs/>
          <w:spacing w:val="1"/>
          <w:sz w:val="31"/>
          <w:szCs w:val="31"/>
        </w:rPr>
        <w:t>5</w:t>
      </w:r>
      <w:r>
        <w:rPr>
          <w:rFonts w:ascii="黑体" w:hAnsi="黑体" w:eastAsia="黑体" w:cs="黑体"/>
          <w:spacing w:val="33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31"/>
          <w:szCs w:val="31"/>
        </w:rPr>
        <w:t>角色与职责</w:t>
      </w:r>
    </w:p>
    <w:tbl>
      <w:tblPr>
        <w:tblStyle w:val="5"/>
        <w:tblW w:w="8301" w:type="dxa"/>
        <w:tblInd w:w="14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4"/>
        <w:gridCol w:w="4946"/>
        <w:gridCol w:w="1931"/>
      </w:tblGrid>
      <w:tr w14:paraId="72DBD6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</w:trPr>
        <w:tc>
          <w:tcPr>
            <w:tcW w:w="1424" w:type="dxa"/>
            <w:tcBorders>
              <w:top w:val="single" w:color="000000" w:sz="10" w:space="0"/>
              <w:left w:val="single" w:color="000000" w:sz="10" w:space="0"/>
            </w:tcBorders>
            <w:shd w:val="clear" w:color="auto" w:fill="818181"/>
          </w:tcPr>
          <w:p w14:paraId="561BCE40">
            <w:pPr>
              <w:spacing w:before="145" w:line="219" w:lineRule="auto"/>
              <w:ind w:left="48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24"/>
                <w:szCs w:val="24"/>
              </w:rPr>
              <w:t>角色</w:t>
            </w:r>
          </w:p>
        </w:tc>
        <w:tc>
          <w:tcPr>
            <w:tcW w:w="4946" w:type="dxa"/>
            <w:tcBorders>
              <w:top w:val="single" w:color="000000" w:sz="10" w:space="0"/>
            </w:tcBorders>
            <w:shd w:val="clear" w:color="auto" w:fill="818181"/>
          </w:tcPr>
          <w:p w14:paraId="5BF54D11">
            <w:pPr>
              <w:spacing w:before="146" w:line="221" w:lineRule="auto"/>
              <w:ind w:left="22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职责</w:t>
            </w:r>
          </w:p>
        </w:tc>
        <w:tc>
          <w:tcPr>
            <w:tcW w:w="1931" w:type="dxa"/>
            <w:tcBorders>
              <w:top w:val="single" w:color="000000" w:sz="10" w:space="0"/>
              <w:right w:val="single" w:color="000000" w:sz="10" w:space="0"/>
            </w:tcBorders>
            <w:shd w:val="clear" w:color="auto" w:fill="818181"/>
          </w:tcPr>
          <w:p w14:paraId="5AA9655E">
            <w:pPr>
              <w:spacing w:before="146" w:line="220" w:lineRule="auto"/>
              <w:ind w:left="5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职能岗位</w:t>
            </w:r>
          </w:p>
        </w:tc>
      </w:tr>
      <w:tr w14:paraId="6C2A05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6" w:hRule="atLeast"/>
        </w:trPr>
        <w:tc>
          <w:tcPr>
            <w:tcW w:w="1424" w:type="dxa"/>
            <w:tcBorders>
              <w:left w:val="single" w:color="000000" w:sz="10" w:space="0"/>
            </w:tcBorders>
          </w:tcPr>
          <w:p w14:paraId="13B9C25E">
            <w:pPr>
              <w:pStyle w:val="6"/>
              <w:spacing w:line="269" w:lineRule="auto"/>
            </w:pPr>
          </w:p>
          <w:p w14:paraId="0528926E">
            <w:pPr>
              <w:spacing w:before="78" w:line="314" w:lineRule="auto"/>
              <w:ind w:left="121" w:right="76" w:hanging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</w:t>
            </w:r>
            <w:r>
              <w:rPr>
                <w:rFonts w:ascii="宋体" w:hAnsi="宋体" w:eastAsia="宋体" w:cs="宋体"/>
                <w:spacing w:val="-2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务</w:t>
            </w:r>
            <w:r>
              <w:rPr>
                <w:rFonts w:ascii="宋体" w:hAnsi="宋体" w:eastAsia="宋体" w:cs="宋体"/>
                <w:spacing w:val="-2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报</w:t>
            </w:r>
            <w:r>
              <w:rPr>
                <w:rFonts w:ascii="宋体" w:hAnsi="宋体" w:eastAsia="宋体" w:cs="宋体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告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管</w:t>
            </w:r>
            <w:r>
              <w:rPr>
                <w:rFonts w:ascii="宋体" w:hAnsi="宋体" w:eastAsia="宋体" w:cs="宋体"/>
                <w:spacing w:val="-2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理</w:t>
            </w: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责</w:t>
            </w:r>
            <w:r>
              <w:rPr>
                <w:rFonts w:ascii="宋体" w:hAnsi="宋体" w:eastAsia="宋体" w:cs="宋体"/>
                <w:spacing w:val="-2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任</w:t>
            </w:r>
            <w:r>
              <w:rPr>
                <w:rFonts w:ascii="宋体" w:hAnsi="宋体" w:eastAsia="宋体" w:cs="宋体"/>
                <w:sz w:val="24"/>
                <w:szCs w:val="24"/>
              </w:rPr>
              <w:t>人</w:t>
            </w:r>
          </w:p>
        </w:tc>
        <w:tc>
          <w:tcPr>
            <w:tcW w:w="4946" w:type="dxa"/>
          </w:tcPr>
          <w:p w14:paraId="786D72C8">
            <w:pPr>
              <w:spacing w:before="145" w:line="313" w:lineRule="auto"/>
              <w:ind w:left="119" w:right="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根据客户和体系管理需要提出服务报告要求；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确保向客户提交及时有效的服务报告；</w:t>
            </w:r>
          </w:p>
          <w:p w14:paraId="67BA681C">
            <w:pPr>
              <w:spacing w:before="1" w:line="217" w:lineRule="auto"/>
              <w:ind w:lef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指定人员编写服务报告；</w:t>
            </w:r>
          </w:p>
          <w:p w14:paraId="1B9459F8">
            <w:pPr>
              <w:spacing w:before="112" w:line="216" w:lineRule="auto"/>
              <w:ind w:left="1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受理客户/用户对服务报告的反馈。</w:t>
            </w:r>
          </w:p>
        </w:tc>
        <w:tc>
          <w:tcPr>
            <w:tcW w:w="1931" w:type="dxa"/>
            <w:tcBorders>
              <w:right w:val="single" w:color="000000" w:sz="10" w:space="0"/>
            </w:tcBorders>
          </w:tcPr>
          <w:p w14:paraId="13EEB74A">
            <w:pPr>
              <w:pStyle w:val="6"/>
              <w:spacing w:line="336" w:lineRule="auto"/>
            </w:pPr>
          </w:p>
          <w:p w14:paraId="1D9B88E9">
            <w:pPr>
              <w:pStyle w:val="6"/>
              <w:spacing w:line="337" w:lineRule="auto"/>
            </w:pPr>
          </w:p>
          <w:p w14:paraId="0C706257">
            <w:pPr>
              <w:spacing w:before="78" w:line="219" w:lineRule="auto"/>
              <w:ind w:left="1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运维部经理</w:t>
            </w:r>
          </w:p>
        </w:tc>
      </w:tr>
      <w:tr w14:paraId="076525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1424" w:type="dxa"/>
            <w:tcBorders>
              <w:left w:val="single" w:color="000000" w:sz="10" w:space="0"/>
              <w:bottom w:val="single" w:color="000000" w:sz="10" w:space="0"/>
            </w:tcBorders>
          </w:tcPr>
          <w:p w14:paraId="3B53E40C">
            <w:pPr>
              <w:spacing w:before="156" w:line="274" w:lineRule="auto"/>
              <w:ind w:left="121" w:right="160" w:hanging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42"/>
                <w:sz w:val="24"/>
                <w:szCs w:val="24"/>
              </w:rPr>
              <w:t>服务报告</w:t>
            </w:r>
            <w:r>
              <w:rPr>
                <w:rFonts w:ascii="宋体" w:hAnsi="宋体" w:eastAsia="宋体" w:cs="宋体"/>
                <w:spacing w:val="39"/>
                <w:sz w:val="24"/>
                <w:szCs w:val="24"/>
              </w:rPr>
              <w:t>编写人</w:t>
            </w:r>
          </w:p>
        </w:tc>
        <w:tc>
          <w:tcPr>
            <w:tcW w:w="4946" w:type="dxa"/>
            <w:tcBorders>
              <w:bottom w:val="single" w:color="000000" w:sz="10" w:space="0"/>
            </w:tcBorders>
          </w:tcPr>
          <w:p w14:paraId="1F638637">
            <w:pPr>
              <w:spacing w:before="160" w:line="218" w:lineRule="auto"/>
              <w:ind w:left="1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收集服务报告所需资料；</w:t>
            </w:r>
          </w:p>
          <w:p w14:paraId="31EC8041">
            <w:pPr>
              <w:spacing w:before="119" w:line="218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根据服务报告清单按时编写服务报告。</w:t>
            </w:r>
          </w:p>
        </w:tc>
        <w:tc>
          <w:tcPr>
            <w:tcW w:w="1931" w:type="dxa"/>
            <w:tcBorders>
              <w:bottom w:val="single" w:color="000000" w:sz="10" w:space="0"/>
              <w:right w:val="single" w:color="000000" w:sz="10" w:space="0"/>
            </w:tcBorders>
          </w:tcPr>
          <w:p w14:paraId="4078006C">
            <w:pPr>
              <w:pStyle w:val="6"/>
              <w:spacing w:line="282" w:lineRule="auto"/>
            </w:pPr>
          </w:p>
          <w:p w14:paraId="52322699">
            <w:pPr>
              <w:spacing w:before="78" w:line="220" w:lineRule="auto"/>
              <w:ind w:left="1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项目经理</w:t>
            </w:r>
          </w:p>
        </w:tc>
      </w:tr>
    </w:tbl>
    <w:p w14:paraId="7D975A78">
      <w:pPr>
        <w:spacing w:before="101" w:line="226" w:lineRule="auto"/>
        <w:ind w:left="133"/>
        <w:outlineLvl w:val="0"/>
        <w:rPr>
          <w:rFonts w:ascii="黑体" w:hAnsi="黑体" w:eastAsia="黑体" w:cs="黑体"/>
          <w:sz w:val="31"/>
          <w:szCs w:val="31"/>
        </w:rPr>
      </w:pPr>
      <w:bookmarkStart w:id="8" w:name="bookmark8"/>
      <w:bookmarkEnd w:id="8"/>
      <w:bookmarkStart w:id="9" w:name="bookmark9"/>
      <w:bookmarkEnd w:id="9"/>
      <w:r>
        <w:rPr>
          <w:rFonts w:ascii="黑体" w:hAnsi="黑体" w:eastAsia="黑体" w:cs="黑体"/>
          <w:b/>
          <w:bCs/>
          <w:sz w:val="31"/>
          <w:szCs w:val="31"/>
        </w:rPr>
        <w:t>6</w:t>
      </w:r>
      <w:r>
        <w:rPr>
          <w:rFonts w:ascii="黑体" w:hAnsi="黑体" w:eastAsia="黑体" w:cs="黑体"/>
          <w:spacing w:val="2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z w:val="31"/>
          <w:szCs w:val="31"/>
        </w:rPr>
        <w:t>流程描述</w:t>
      </w:r>
    </w:p>
    <w:p w14:paraId="0CFDE44D">
      <w:pPr>
        <w:spacing w:before="245" w:line="221" w:lineRule="auto"/>
        <w:ind w:left="132"/>
        <w:outlineLvl w:val="1"/>
        <w:rPr>
          <w:rFonts w:ascii="黑体" w:hAnsi="黑体" w:eastAsia="黑体" w:cs="黑体"/>
          <w:sz w:val="30"/>
          <w:szCs w:val="30"/>
        </w:rPr>
      </w:pPr>
      <w:bookmarkStart w:id="10" w:name="bookmark14"/>
      <w:bookmarkEnd w:id="10"/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6.1</w:t>
      </w:r>
      <w:r>
        <w:rPr>
          <w:rFonts w:ascii="黑体" w:hAnsi="黑体" w:eastAsia="黑体" w:cs="黑体"/>
          <w:spacing w:val="2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流程图</w:t>
      </w:r>
    </w:p>
    <w:p w14:paraId="2E808A58">
      <w:pPr>
        <w:pStyle w:val="2"/>
        <w:spacing w:line="307" w:lineRule="auto"/>
        <w:ind w:left="0" w:leftChars="0" w:right="0" w:rightChars="0" w:firstLine="0" w:firstLineChars="0"/>
        <w:jc w:val="center"/>
      </w:pPr>
      <w:r>
        <w:drawing>
          <wp:inline distT="0" distB="0" distL="114300" distR="114300">
            <wp:extent cx="3190875" cy="43338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31B4F">
      <w:pPr>
        <w:spacing w:before="98" w:line="221" w:lineRule="auto"/>
        <w:ind w:left="132"/>
        <w:outlineLvl w:val="1"/>
        <w:rPr>
          <w:rFonts w:ascii="黑体" w:hAnsi="黑体" w:eastAsia="黑体" w:cs="黑体"/>
          <w:sz w:val="30"/>
          <w:szCs w:val="30"/>
        </w:rPr>
      </w:pPr>
      <w:bookmarkStart w:id="11" w:name="bookmark10"/>
      <w:bookmarkEnd w:id="11"/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6.2</w:t>
      </w:r>
      <w:r>
        <w:rPr>
          <w:rFonts w:ascii="黑体" w:hAnsi="黑体" w:eastAsia="黑体" w:cs="黑体"/>
          <w:spacing w:val="2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流程说明</w:t>
      </w:r>
    </w:p>
    <w:tbl>
      <w:tblPr>
        <w:tblStyle w:val="5"/>
        <w:tblW w:w="8527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56"/>
        <w:gridCol w:w="3694"/>
        <w:gridCol w:w="1050"/>
        <w:gridCol w:w="640"/>
        <w:gridCol w:w="1387"/>
      </w:tblGrid>
      <w:tr w14:paraId="1AF489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1756" w:type="dxa"/>
            <w:shd w:val="clear" w:color="auto" w:fill="818181"/>
          </w:tcPr>
          <w:p w14:paraId="38265CA5">
            <w:pPr>
              <w:pStyle w:val="6"/>
              <w:spacing w:line="245" w:lineRule="auto"/>
            </w:pPr>
          </w:p>
          <w:p w14:paraId="5481B681">
            <w:pPr>
              <w:spacing w:before="78" w:line="220" w:lineRule="auto"/>
              <w:ind w:left="6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24"/>
                <w:szCs w:val="24"/>
              </w:rPr>
              <w:t>活动</w:t>
            </w:r>
          </w:p>
        </w:tc>
        <w:tc>
          <w:tcPr>
            <w:tcW w:w="3694" w:type="dxa"/>
            <w:shd w:val="clear" w:color="auto" w:fill="818181"/>
          </w:tcPr>
          <w:p w14:paraId="52D9E086">
            <w:pPr>
              <w:pStyle w:val="6"/>
              <w:spacing w:line="245" w:lineRule="auto"/>
            </w:pPr>
          </w:p>
          <w:p w14:paraId="56846294">
            <w:pPr>
              <w:spacing w:before="78" w:line="221" w:lineRule="auto"/>
              <w:ind w:left="16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描述</w:t>
            </w:r>
          </w:p>
        </w:tc>
        <w:tc>
          <w:tcPr>
            <w:tcW w:w="1050" w:type="dxa"/>
            <w:shd w:val="clear" w:color="auto" w:fill="818181"/>
          </w:tcPr>
          <w:p w14:paraId="5DBC8020">
            <w:pPr>
              <w:pStyle w:val="6"/>
              <w:spacing w:line="245" w:lineRule="auto"/>
            </w:pPr>
          </w:p>
          <w:p w14:paraId="481813CC">
            <w:pPr>
              <w:spacing w:before="78" w:line="219" w:lineRule="auto"/>
              <w:ind w:left="18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责任人</w:t>
            </w:r>
          </w:p>
        </w:tc>
        <w:tc>
          <w:tcPr>
            <w:tcW w:w="640" w:type="dxa"/>
            <w:shd w:val="clear" w:color="auto" w:fill="818181"/>
            <w:textDirection w:val="tbRlV"/>
          </w:tcPr>
          <w:p w14:paraId="3743F7F2">
            <w:pPr>
              <w:spacing w:before="197" w:line="205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输</w:t>
            </w:r>
            <w:r>
              <w:rPr>
                <w:rFonts w:ascii="宋体" w:hAnsi="宋体" w:eastAsia="宋体" w:cs="宋体"/>
                <w:spacing w:val="4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入</w:t>
            </w:r>
          </w:p>
        </w:tc>
        <w:tc>
          <w:tcPr>
            <w:tcW w:w="1387" w:type="dxa"/>
            <w:shd w:val="clear" w:color="auto" w:fill="818181"/>
          </w:tcPr>
          <w:p w14:paraId="728A5088">
            <w:pPr>
              <w:pStyle w:val="6"/>
              <w:spacing w:line="245" w:lineRule="auto"/>
            </w:pPr>
          </w:p>
          <w:p w14:paraId="76A60D8A">
            <w:pPr>
              <w:spacing w:before="78" w:line="219" w:lineRule="auto"/>
              <w:ind w:left="4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输出</w:t>
            </w:r>
          </w:p>
        </w:tc>
      </w:tr>
      <w:tr w14:paraId="1D7B89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0" w:hRule="atLeast"/>
        </w:trPr>
        <w:tc>
          <w:tcPr>
            <w:tcW w:w="1756" w:type="dxa"/>
          </w:tcPr>
          <w:p w14:paraId="552C5C90">
            <w:pPr>
              <w:pStyle w:val="6"/>
              <w:spacing w:line="250" w:lineRule="auto"/>
            </w:pPr>
          </w:p>
          <w:p w14:paraId="4C3E9728">
            <w:pPr>
              <w:pStyle w:val="6"/>
              <w:spacing w:line="250" w:lineRule="auto"/>
            </w:pPr>
          </w:p>
          <w:p w14:paraId="281738C2">
            <w:pPr>
              <w:pStyle w:val="6"/>
              <w:spacing w:line="250" w:lineRule="auto"/>
            </w:pPr>
          </w:p>
          <w:p w14:paraId="36C24806">
            <w:pPr>
              <w:pStyle w:val="6"/>
              <w:spacing w:line="250" w:lineRule="auto"/>
            </w:pPr>
          </w:p>
          <w:p w14:paraId="71917F09">
            <w:pPr>
              <w:pStyle w:val="6"/>
              <w:spacing w:line="250" w:lineRule="auto"/>
            </w:pPr>
          </w:p>
          <w:p w14:paraId="642BCA2D">
            <w:pPr>
              <w:pStyle w:val="6"/>
              <w:spacing w:line="250" w:lineRule="auto"/>
            </w:pPr>
          </w:p>
          <w:p w14:paraId="6C443CF8">
            <w:pPr>
              <w:pStyle w:val="6"/>
              <w:spacing w:line="250" w:lineRule="auto"/>
            </w:pPr>
          </w:p>
          <w:p w14:paraId="5D74944C">
            <w:pPr>
              <w:pStyle w:val="6"/>
              <w:spacing w:line="251" w:lineRule="auto"/>
            </w:pPr>
          </w:p>
          <w:p w14:paraId="2C5AA109">
            <w:pPr>
              <w:pStyle w:val="6"/>
              <w:spacing w:line="251" w:lineRule="auto"/>
            </w:pPr>
          </w:p>
          <w:p w14:paraId="31D41F8C">
            <w:pPr>
              <w:spacing w:before="78" w:line="218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识别报告要素</w:t>
            </w:r>
          </w:p>
        </w:tc>
        <w:tc>
          <w:tcPr>
            <w:tcW w:w="3694" w:type="dxa"/>
          </w:tcPr>
          <w:p w14:paraId="651090E7">
            <w:pPr>
              <w:spacing w:before="116" w:line="311" w:lineRule="auto"/>
              <w:ind w:left="117" w:righ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根据服务级别协议上的要求，识别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出在服务报告中需要提供的数据</w:t>
            </w: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和度量指标。识别服务报告需求应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该包含公司管理层及相关方需求。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如提供客户的服务报告内容包括：</w:t>
            </w:r>
          </w:p>
          <w:p w14:paraId="05785234">
            <w:pPr>
              <w:spacing w:line="219" w:lineRule="auto"/>
              <w:ind w:left="13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1、服务结果综述；</w:t>
            </w:r>
          </w:p>
          <w:p w14:paraId="3F3A31CD">
            <w:pPr>
              <w:spacing w:before="120" w:line="220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2、SLA 达成分析；</w:t>
            </w:r>
          </w:p>
          <w:p w14:paraId="2E9BFEED">
            <w:pPr>
              <w:spacing w:before="119" w:line="219" w:lineRule="auto"/>
              <w:ind w:lef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3、主要服务工作内容；</w:t>
            </w:r>
          </w:p>
          <w:p w14:paraId="55EF39D2">
            <w:pPr>
              <w:spacing w:before="116" w:line="219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4、重大故障、问题回顾；</w:t>
            </w:r>
          </w:p>
          <w:p w14:paraId="1765994C">
            <w:pPr>
              <w:spacing w:before="121" w:line="219" w:lineRule="auto"/>
              <w:ind w:lef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5、下阶段服务计划；</w:t>
            </w:r>
          </w:p>
          <w:p w14:paraId="700B38B0">
            <w:pPr>
              <w:spacing w:before="118" w:line="219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6、服务改进方案；</w:t>
            </w:r>
          </w:p>
          <w:p w14:paraId="31202C54">
            <w:pPr>
              <w:spacing w:before="118" w:line="199" w:lineRule="auto"/>
              <w:ind w:left="1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7、趋势分析及未来预测等。</w:t>
            </w:r>
          </w:p>
        </w:tc>
        <w:tc>
          <w:tcPr>
            <w:tcW w:w="1050" w:type="dxa"/>
          </w:tcPr>
          <w:p w14:paraId="61064FD5">
            <w:pPr>
              <w:pStyle w:val="6"/>
              <w:spacing w:line="264" w:lineRule="auto"/>
            </w:pPr>
          </w:p>
          <w:p w14:paraId="14C7E5C1">
            <w:pPr>
              <w:pStyle w:val="6"/>
              <w:spacing w:line="264" w:lineRule="auto"/>
            </w:pPr>
          </w:p>
          <w:p w14:paraId="0B84AF84">
            <w:pPr>
              <w:pStyle w:val="6"/>
              <w:spacing w:line="264" w:lineRule="auto"/>
            </w:pPr>
          </w:p>
          <w:p w14:paraId="673C1CE8">
            <w:pPr>
              <w:pStyle w:val="6"/>
              <w:spacing w:line="264" w:lineRule="auto"/>
            </w:pPr>
          </w:p>
          <w:p w14:paraId="7D7AF709">
            <w:pPr>
              <w:pStyle w:val="6"/>
              <w:spacing w:line="265" w:lineRule="auto"/>
            </w:pPr>
          </w:p>
          <w:p w14:paraId="4BE34A0D">
            <w:pPr>
              <w:pStyle w:val="6"/>
              <w:spacing w:line="265" w:lineRule="auto"/>
            </w:pPr>
          </w:p>
          <w:p w14:paraId="3EC334AD">
            <w:pPr>
              <w:pStyle w:val="6"/>
              <w:spacing w:line="265" w:lineRule="auto"/>
            </w:pPr>
          </w:p>
          <w:p w14:paraId="2192DB64">
            <w:pPr>
              <w:spacing w:before="78" w:line="312" w:lineRule="auto"/>
              <w:ind w:left="124" w:right="39" w:hanging="5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服</w:t>
            </w:r>
            <w:r>
              <w:rPr>
                <w:rFonts w:ascii="宋体" w:hAnsi="宋体" w:eastAsia="宋体" w:cs="宋体"/>
                <w:spacing w:val="-2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务</w:t>
            </w:r>
            <w:r>
              <w:rPr>
                <w:rFonts w:ascii="宋体" w:hAnsi="宋体" w:eastAsia="宋体" w:cs="宋体"/>
                <w:spacing w:val="-2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报</w:t>
            </w: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告 管</w:t>
            </w:r>
            <w:r>
              <w:rPr>
                <w:rFonts w:ascii="宋体" w:hAnsi="宋体" w:eastAsia="宋体" w:cs="宋体"/>
                <w:spacing w:val="-2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理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责任人</w:t>
            </w:r>
          </w:p>
        </w:tc>
        <w:tc>
          <w:tcPr>
            <w:tcW w:w="640" w:type="dxa"/>
            <w:textDirection w:val="tbRlV"/>
          </w:tcPr>
          <w:p w14:paraId="37B4787B">
            <w:pPr>
              <w:spacing w:before="285" w:line="208" w:lineRule="auto"/>
              <w:ind w:left="17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</w:t>
            </w:r>
            <w:r>
              <w:rPr>
                <w:rFonts w:ascii="宋体" w:hAnsi="宋体" w:eastAsia="宋体" w:cs="宋体"/>
                <w:spacing w:val="4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务</w:t>
            </w:r>
            <w:r>
              <w:rPr>
                <w:rFonts w:ascii="宋体" w:hAnsi="宋体" w:eastAsia="宋体" w:cs="宋体"/>
                <w:spacing w:val="4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承</w:t>
            </w:r>
            <w:r>
              <w:rPr>
                <w:rFonts w:ascii="宋体" w:hAnsi="宋体" w:eastAsia="宋体" w:cs="宋体"/>
                <w:spacing w:val="4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诺</w:t>
            </w:r>
          </w:p>
        </w:tc>
        <w:tc>
          <w:tcPr>
            <w:tcW w:w="1387" w:type="dxa"/>
          </w:tcPr>
          <w:p w14:paraId="10E7836E">
            <w:pPr>
              <w:pStyle w:val="6"/>
              <w:spacing w:line="274" w:lineRule="auto"/>
            </w:pPr>
          </w:p>
          <w:p w14:paraId="76F045D0">
            <w:pPr>
              <w:pStyle w:val="6"/>
              <w:spacing w:line="274" w:lineRule="auto"/>
            </w:pPr>
          </w:p>
          <w:p w14:paraId="56B707C8">
            <w:pPr>
              <w:pStyle w:val="6"/>
              <w:spacing w:line="274" w:lineRule="auto"/>
            </w:pPr>
          </w:p>
          <w:p w14:paraId="5C135FE6">
            <w:pPr>
              <w:pStyle w:val="6"/>
              <w:spacing w:line="274" w:lineRule="auto"/>
            </w:pPr>
          </w:p>
          <w:p w14:paraId="200FE189">
            <w:pPr>
              <w:pStyle w:val="6"/>
              <w:spacing w:line="275" w:lineRule="auto"/>
            </w:pPr>
          </w:p>
          <w:p w14:paraId="69B1A6D6">
            <w:pPr>
              <w:pStyle w:val="6"/>
              <w:spacing w:line="275" w:lineRule="auto"/>
            </w:pPr>
          </w:p>
          <w:p w14:paraId="2AD9749F">
            <w:pPr>
              <w:spacing w:before="78" w:line="312" w:lineRule="auto"/>
              <w:ind w:left="121" w:right="1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4"/>
                <w:sz w:val="24"/>
                <w:szCs w:val="24"/>
              </w:rPr>
              <w:t>服务报告</w:t>
            </w:r>
            <w:r>
              <w:rPr>
                <w:rFonts w:ascii="宋体" w:hAnsi="宋体" w:eastAsia="宋体" w:cs="宋体"/>
                <w:spacing w:val="24"/>
                <w:sz w:val="24"/>
                <w:szCs w:val="24"/>
              </w:rPr>
              <w:t>计划</w:t>
            </w:r>
          </w:p>
          <w:p w14:paraId="3FDBE6A5">
            <w:pPr>
              <w:spacing w:before="2" w:line="311" w:lineRule="auto"/>
              <w:ind w:left="120" w:right="1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4"/>
                <w:sz w:val="24"/>
                <w:szCs w:val="24"/>
              </w:rPr>
              <w:t>服务报告</w:t>
            </w:r>
            <w:r>
              <w:rPr>
                <w:rFonts w:ascii="宋体" w:hAnsi="宋体" w:eastAsia="宋体" w:cs="宋体"/>
                <w:spacing w:val="26"/>
                <w:sz w:val="24"/>
                <w:szCs w:val="24"/>
              </w:rPr>
              <w:t>模板</w:t>
            </w:r>
          </w:p>
        </w:tc>
      </w:tr>
      <w:tr w14:paraId="2BB47E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4" w:hRule="atLeast"/>
        </w:trPr>
        <w:tc>
          <w:tcPr>
            <w:tcW w:w="1756" w:type="dxa"/>
          </w:tcPr>
          <w:p w14:paraId="77BA9B77">
            <w:pPr>
              <w:pStyle w:val="6"/>
            </w:pPr>
          </w:p>
          <w:p w14:paraId="460371E1">
            <w:pPr>
              <w:spacing w:before="78" w:line="312" w:lineRule="auto"/>
              <w:ind w:left="123" w:right="198" w:firstLine="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收集分析报告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数据</w:t>
            </w:r>
          </w:p>
        </w:tc>
        <w:tc>
          <w:tcPr>
            <w:tcW w:w="3694" w:type="dxa"/>
          </w:tcPr>
          <w:p w14:paraId="4E4E6126">
            <w:pPr>
              <w:spacing w:before="117" w:line="276" w:lineRule="auto"/>
              <w:ind w:left="122" w:right="220" w:hanging="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在服务中及时收集以上识别出来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的数据和指标，并进行相关的趋势、可用性、持续性等分析。</w:t>
            </w:r>
          </w:p>
        </w:tc>
        <w:tc>
          <w:tcPr>
            <w:tcW w:w="1050" w:type="dxa"/>
          </w:tcPr>
          <w:p w14:paraId="5CBD4A2D">
            <w:pPr>
              <w:spacing w:before="118" w:line="219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服务报</w:t>
            </w:r>
          </w:p>
          <w:p w14:paraId="3DD0ADFF">
            <w:pPr>
              <w:spacing w:before="114" w:line="260" w:lineRule="auto"/>
              <w:ind w:left="121" w:right="214" w:firstLine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告编写</w:t>
            </w:r>
            <w:r>
              <w:rPr>
                <w:rFonts w:ascii="宋体" w:hAnsi="宋体" w:eastAsia="宋体" w:cs="宋体"/>
                <w:sz w:val="24"/>
                <w:szCs w:val="24"/>
              </w:rPr>
              <w:t>人</w:t>
            </w:r>
          </w:p>
        </w:tc>
        <w:tc>
          <w:tcPr>
            <w:tcW w:w="640" w:type="dxa"/>
          </w:tcPr>
          <w:p w14:paraId="3FFD3D0D">
            <w:pPr>
              <w:pStyle w:val="6"/>
            </w:pPr>
          </w:p>
        </w:tc>
        <w:tc>
          <w:tcPr>
            <w:tcW w:w="1387" w:type="dxa"/>
          </w:tcPr>
          <w:p w14:paraId="2A1C616A">
            <w:pPr>
              <w:pStyle w:val="6"/>
            </w:pPr>
          </w:p>
        </w:tc>
      </w:tr>
      <w:tr w14:paraId="70D0FB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9" w:hRule="atLeast"/>
        </w:trPr>
        <w:tc>
          <w:tcPr>
            <w:tcW w:w="1756" w:type="dxa"/>
          </w:tcPr>
          <w:p w14:paraId="043F785C">
            <w:pPr>
              <w:spacing w:before="78" w:line="218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编写服务报告</w:t>
            </w:r>
          </w:p>
        </w:tc>
        <w:tc>
          <w:tcPr>
            <w:tcW w:w="3694" w:type="dxa"/>
          </w:tcPr>
          <w:p w14:paraId="6A31F52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 w:right="0" w:firstLine="0"/>
              <w:jc w:val="left"/>
              <w:textAlignment w:val="baseline"/>
              <w:rPr>
                <w:rFonts w:ascii="宋体" w:hAnsi="宋体" w:eastAsia="宋体" w:cs="宋体"/>
                <w:spacing w:val="-6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运维服务报告应满足客户的需求，同时能够完整、及时、准确的反映出服务项目所使用软件、设备等的运行状态及趋势分析，为客户提供有价值的信息。</w:t>
            </w:r>
          </w:p>
          <w:p w14:paraId="747831F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 w:right="0" w:firstLine="0"/>
              <w:jc w:val="left"/>
              <w:textAlignment w:val="baseline"/>
              <w:rPr>
                <w:rFonts w:ascii="宋体" w:hAnsi="宋体" w:eastAsia="宋体" w:cs="宋体"/>
                <w:spacing w:val="-6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报告内容的完整性，包括时间、事件、数量、相关人员、环境和总结等；</w:t>
            </w:r>
          </w:p>
          <w:p w14:paraId="575E6D2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 w:right="0" w:firstLine="0"/>
              <w:jc w:val="left"/>
              <w:textAlignment w:val="baseline"/>
              <w:rPr>
                <w:rFonts w:ascii="宋体" w:hAnsi="宋体" w:eastAsia="宋体" w:cs="宋体"/>
                <w:spacing w:val="-6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报告的及时性，即生成报告的频率和有效期；</w:t>
            </w:r>
          </w:p>
          <w:p w14:paraId="6987DAD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 w:right="0" w:firstLine="0"/>
              <w:jc w:val="left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报告的服务客户所关心的信息，是否完整、准确。</w:t>
            </w:r>
          </w:p>
        </w:tc>
        <w:tc>
          <w:tcPr>
            <w:tcW w:w="1050" w:type="dxa"/>
          </w:tcPr>
          <w:p w14:paraId="28CC697C">
            <w:pPr>
              <w:spacing w:before="78" w:line="313" w:lineRule="auto"/>
              <w:ind w:left="120" w:right="39" w:hanging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服</w:t>
            </w:r>
            <w:r>
              <w:rPr>
                <w:rFonts w:ascii="宋体" w:hAnsi="宋体" w:eastAsia="宋体" w:cs="宋体"/>
                <w:spacing w:val="-2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务</w:t>
            </w:r>
            <w:r>
              <w:rPr>
                <w:rFonts w:ascii="宋体" w:hAnsi="宋体" w:eastAsia="宋体" w:cs="宋体"/>
                <w:spacing w:val="-2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报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告</w:t>
            </w:r>
            <w:r>
              <w:rPr>
                <w:rFonts w:ascii="宋体" w:hAnsi="宋体" w:eastAsia="宋体" w:cs="宋体"/>
                <w:spacing w:val="-2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编</w:t>
            </w:r>
            <w:r>
              <w:rPr>
                <w:rFonts w:ascii="宋体" w:hAnsi="宋体" w:eastAsia="宋体" w:cs="宋体"/>
                <w:spacing w:val="-1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写</w:t>
            </w:r>
            <w:r>
              <w:rPr>
                <w:rFonts w:ascii="宋体" w:hAnsi="宋体" w:eastAsia="宋体" w:cs="宋体"/>
                <w:sz w:val="24"/>
                <w:szCs w:val="24"/>
              </w:rPr>
              <w:t>人</w:t>
            </w:r>
          </w:p>
        </w:tc>
        <w:tc>
          <w:tcPr>
            <w:tcW w:w="640" w:type="dxa"/>
          </w:tcPr>
          <w:p w14:paraId="3B3F396B">
            <w:pPr>
              <w:pStyle w:val="6"/>
            </w:pPr>
          </w:p>
        </w:tc>
        <w:tc>
          <w:tcPr>
            <w:tcW w:w="1387" w:type="dxa"/>
          </w:tcPr>
          <w:p w14:paraId="099C1F36">
            <w:pPr>
              <w:spacing w:before="78" w:line="218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服务报告</w:t>
            </w:r>
          </w:p>
        </w:tc>
      </w:tr>
      <w:tr w14:paraId="6354CA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0" w:hRule="atLeast"/>
        </w:trPr>
        <w:tc>
          <w:tcPr>
            <w:tcW w:w="1756" w:type="dxa"/>
            <w:vMerge w:val="restart"/>
          </w:tcPr>
          <w:p w14:paraId="03BF7E20">
            <w:pPr>
              <w:pStyle w:val="6"/>
              <w:spacing w:line="443" w:lineRule="auto"/>
            </w:pPr>
          </w:p>
          <w:p w14:paraId="386236EF">
            <w:pPr>
              <w:spacing w:before="78" w:line="218" w:lineRule="auto"/>
              <w:ind w:left="1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服务报告评审</w:t>
            </w:r>
          </w:p>
        </w:tc>
        <w:tc>
          <w:tcPr>
            <w:tcW w:w="3694" w:type="dxa"/>
            <w:vMerge w:val="restart"/>
          </w:tcPr>
          <w:p w14:paraId="0218350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 w:right="0" w:firstLine="0"/>
              <w:jc w:val="left"/>
              <w:textAlignment w:val="baseline"/>
              <w:rPr>
                <w:rFonts w:ascii="宋体" w:hAnsi="宋体" w:eastAsia="宋体" w:cs="宋体"/>
                <w:spacing w:val="-6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服务报告编写人完成服务报告后，将报告提交到服务报告管理责任人审核，遇特别情况，需提交给公</w:t>
            </w:r>
          </w:p>
          <w:p w14:paraId="5E1BF9C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 w:right="0" w:firstLine="0"/>
              <w:jc w:val="left"/>
              <w:textAlignment w:val="baseline"/>
              <w:rPr>
                <w:rFonts w:ascii="宋体" w:hAnsi="宋体" w:eastAsia="宋体" w:cs="宋体"/>
                <w:spacing w:val="-6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司分管领导审核。</w:t>
            </w:r>
          </w:p>
          <w:p w14:paraId="5146FCC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 w:right="0" w:firstLine="0"/>
              <w:jc w:val="left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服务报告单的审评标准参照如下几点：报告格式正确、内容完整、报告是否在规定的时间段内完成、报告的服务客户所关心的信息是否描述清楚、报告中所使用的词语是否易于理解、客户对此次服务是否满意。</w:t>
            </w:r>
          </w:p>
        </w:tc>
        <w:tc>
          <w:tcPr>
            <w:tcW w:w="1050" w:type="dxa"/>
          </w:tcPr>
          <w:p w14:paraId="42552B0F">
            <w:pPr>
              <w:spacing w:before="119" w:line="219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服务报</w:t>
            </w:r>
          </w:p>
          <w:p w14:paraId="2F957B76">
            <w:pPr>
              <w:spacing w:before="120" w:line="218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告管理</w:t>
            </w:r>
          </w:p>
          <w:p w14:paraId="18A8AFFA">
            <w:pPr>
              <w:spacing w:before="122" w:line="208" w:lineRule="auto"/>
              <w:ind w:left="1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责任人</w:t>
            </w:r>
          </w:p>
        </w:tc>
        <w:tc>
          <w:tcPr>
            <w:tcW w:w="640" w:type="dxa"/>
          </w:tcPr>
          <w:p w14:paraId="3E7233BD">
            <w:pPr>
              <w:pStyle w:val="6"/>
            </w:pPr>
          </w:p>
        </w:tc>
        <w:tc>
          <w:tcPr>
            <w:tcW w:w="1387" w:type="dxa"/>
          </w:tcPr>
          <w:p w14:paraId="7FE1FB1D">
            <w:pPr>
              <w:pStyle w:val="6"/>
              <w:spacing w:line="443" w:lineRule="auto"/>
            </w:pPr>
          </w:p>
          <w:p w14:paraId="47C39243">
            <w:pPr>
              <w:spacing w:before="78" w:line="218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服务报告</w:t>
            </w:r>
          </w:p>
        </w:tc>
      </w:tr>
      <w:tr w14:paraId="21FAFF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6" w:hRule="atLeast"/>
        </w:trPr>
        <w:tc>
          <w:tcPr>
            <w:tcW w:w="1756" w:type="dxa"/>
            <w:vMerge w:val="continue"/>
          </w:tcPr>
          <w:p w14:paraId="440BE8C0">
            <w:pPr>
              <w:pStyle w:val="6"/>
            </w:pPr>
          </w:p>
        </w:tc>
        <w:tc>
          <w:tcPr>
            <w:tcW w:w="3694" w:type="dxa"/>
            <w:vMerge w:val="continue"/>
          </w:tcPr>
          <w:p w14:paraId="09705352">
            <w:pPr>
              <w:spacing w:before="121" w:line="295" w:lineRule="auto"/>
              <w:ind w:left="115" w:right="34" w:firstLine="1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1050" w:type="dxa"/>
          </w:tcPr>
          <w:p w14:paraId="18E44A58">
            <w:pPr>
              <w:pStyle w:val="6"/>
            </w:pPr>
          </w:p>
        </w:tc>
        <w:tc>
          <w:tcPr>
            <w:tcW w:w="640" w:type="dxa"/>
          </w:tcPr>
          <w:p w14:paraId="020F6E9D">
            <w:pPr>
              <w:pStyle w:val="6"/>
            </w:pPr>
          </w:p>
        </w:tc>
        <w:tc>
          <w:tcPr>
            <w:tcW w:w="1387" w:type="dxa"/>
          </w:tcPr>
          <w:p w14:paraId="1C78464D">
            <w:pPr>
              <w:pStyle w:val="6"/>
            </w:pPr>
          </w:p>
        </w:tc>
      </w:tr>
      <w:tr w14:paraId="1CF316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3" w:hRule="atLeast"/>
        </w:trPr>
        <w:tc>
          <w:tcPr>
            <w:tcW w:w="1756" w:type="dxa"/>
          </w:tcPr>
          <w:p w14:paraId="2932AF51">
            <w:pPr>
              <w:pStyle w:val="6"/>
              <w:spacing w:line="438" w:lineRule="auto"/>
            </w:pPr>
          </w:p>
          <w:p w14:paraId="11AF9E16">
            <w:pPr>
              <w:spacing w:before="78" w:line="218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提交服务报告</w:t>
            </w:r>
          </w:p>
        </w:tc>
        <w:tc>
          <w:tcPr>
            <w:tcW w:w="3694" w:type="dxa"/>
          </w:tcPr>
          <w:p w14:paraId="4EB9E3B8">
            <w:pPr>
              <w:pStyle w:val="6"/>
              <w:spacing w:line="241" w:lineRule="auto"/>
            </w:pPr>
          </w:p>
          <w:p w14:paraId="473F2D38">
            <w:pPr>
              <w:spacing w:before="78" w:line="312" w:lineRule="auto"/>
              <w:ind w:left="117" w:right="163" w:firstLine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经审核后，发送给客户及公司管理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层。</w:t>
            </w:r>
          </w:p>
        </w:tc>
        <w:tc>
          <w:tcPr>
            <w:tcW w:w="1050" w:type="dxa"/>
          </w:tcPr>
          <w:p w14:paraId="56D32297">
            <w:pPr>
              <w:spacing w:before="117" w:line="219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服务报</w:t>
            </w:r>
          </w:p>
          <w:p w14:paraId="20B6BA8D">
            <w:pPr>
              <w:spacing w:before="120" w:line="258" w:lineRule="auto"/>
              <w:ind w:left="121" w:right="214" w:firstLine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告编写</w:t>
            </w:r>
            <w:r>
              <w:rPr>
                <w:rFonts w:ascii="宋体" w:hAnsi="宋体" w:eastAsia="宋体" w:cs="宋体"/>
                <w:sz w:val="24"/>
                <w:szCs w:val="24"/>
              </w:rPr>
              <w:t>人</w:t>
            </w:r>
          </w:p>
        </w:tc>
        <w:tc>
          <w:tcPr>
            <w:tcW w:w="640" w:type="dxa"/>
          </w:tcPr>
          <w:p w14:paraId="13A39B99">
            <w:pPr>
              <w:pStyle w:val="6"/>
            </w:pPr>
          </w:p>
        </w:tc>
        <w:tc>
          <w:tcPr>
            <w:tcW w:w="1387" w:type="dxa"/>
          </w:tcPr>
          <w:p w14:paraId="0FA0BD34">
            <w:pPr>
              <w:pStyle w:val="6"/>
              <w:spacing w:line="438" w:lineRule="auto"/>
            </w:pPr>
          </w:p>
          <w:p w14:paraId="797CEAA0">
            <w:pPr>
              <w:spacing w:before="78" w:line="218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服务报告</w:t>
            </w:r>
          </w:p>
        </w:tc>
      </w:tr>
      <w:tr w14:paraId="31070C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7" w:hRule="atLeast"/>
        </w:trPr>
        <w:tc>
          <w:tcPr>
            <w:tcW w:w="1756" w:type="dxa"/>
          </w:tcPr>
          <w:p w14:paraId="27743214">
            <w:pPr>
              <w:pStyle w:val="6"/>
              <w:spacing w:line="442" w:lineRule="auto"/>
            </w:pPr>
          </w:p>
          <w:p w14:paraId="7F22037F">
            <w:pPr>
              <w:spacing w:before="78" w:line="218" w:lineRule="auto"/>
              <w:ind w:left="1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服务报告归档</w:t>
            </w:r>
          </w:p>
        </w:tc>
        <w:tc>
          <w:tcPr>
            <w:tcW w:w="3694" w:type="dxa"/>
          </w:tcPr>
          <w:p w14:paraId="07C9E51B">
            <w:pPr>
              <w:pStyle w:val="6"/>
              <w:spacing w:line="442" w:lineRule="auto"/>
            </w:pPr>
          </w:p>
          <w:p w14:paraId="01508064">
            <w:pPr>
              <w:spacing w:before="78" w:line="218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对服务报告进行归档保存。</w:t>
            </w:r>
          </w:p>
        </w:tc>
        <w:tc>
          <w:tcPr>
            <w:tcW w:w="1050" w:type="dxa"/>
          </w:tcPr>
          <w:p w14:paraId="67D691EC">
            <w:pPr>
              <w:spacing w:before="118" w:line="219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服务报</w:t>
            </w:r>
          </w:p>
          <w:p w14:paraId="613AEDB4">
            <w:pPr>
              <w:spacing w:before="115" w:line="261" w:lineRule="auto"/>
              <w:ind w:left="121" w:right="214" w:firstLine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告编写</w:t>
            </w:r>
            <w:r>
              <w:rPr>
                <w:rFonts w:ascii="宋体" w:hAnsi="宋体" w:eastAsia="宋体" w:cs="宋体"/>
                <w:sz w:val="24"/>
                <w:szCs w:val="24"/>
              </w:rPr>
              <w:t>人</w:t>
            </w:r>
          </w:p>
        </w:tc>
        <w:tc>
          <w:tcPr>
            <w:tcW w:w="640" w:type="dxa"/>
          </w:tcPr>
          <w:p w14:paraId="147F6A63">
            <w:pPr>
              <w:pStyle w:val="6"/>
            </w:pPr>
          </w:p>
        </w:tc>
        <w:tc>
          <w:tcPr>
            <w:tcW w:w="1387" w:type="dxa"/>
          </w:tcPr>
          <w:p w14:paraId="69F89017">
            <w:pPr>
              <w:pStyle w:val="6"/>
              <w:spacing w:line="442" w:lineRule="auto"/>
            </w:pPr>
          </w:p>
          <w:p w14:paraId="5FE924BD">
            <w:pPr>
              <w:spacing w:before="78" w:line="218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服务报告</w:t>
            </w:r>
          </w:p>
        </w:tc>
      </w:tr>
    </w:tbl>
    <w:p w14:paraId="200FF31A">
      <w:pPr>
        <w:spacing w:before="101" w:line="226" w:lineRule="auto"/>
        <w:ind w:left="135"/>
        <w:outlineLvl w:val="0"/>
        <w:rPr>
          <w:rFonts w:ascii="黑体" w:hAnsi="黑体" w:eastAsia="黑体" w:cs="黑体"/>
          <w:sz w:val="31"/>
          <w:szCs w:val="31"/>
        </w:rPr>
      </w:pPr>
      <w:bookmarkStart w:id="12" w:name="bookmark11"/>
      <w:bookmarkEnd w:id="12"/>
      <w:r>
        <w:rPr>
          <w:rFonts w:ascii="黑体" w:hAnsi="黑体" w:eastAsia="黑体" w:cs="黑体"/>
          <w:b/>
          <w:bCs/>
          <w:spacing w:val="-1"/>
          <w:sz w:val="31"/>
          <w:szCs w:val="31"/>
        </w:rPr>
        <w:t>7</w:t>
      </w:r>
      <w:r>
        <w:rPr>
          <w:rFonts w:ascii="黑体" w:hAnsi="黑体" w:eastAsia="黑体" w:cs="黑体"/>
          <w:spacing w:val="2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31"/>
          <w:szCs w:val="31"/>
        </w:rPr>
        <w:t>流程指标</w:t>
      </w:r>
    </w:p>
    <w:p w14:paraId="5B70A770">
      <w:pPr>
        <w:spacing w:before="78" w:line="364" w:lineRule="auto"/>
        <w:ind w:left="131" w:right="384" w:firstLine="48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为保证服务报告管理流程的有效性，定义以</w:t>
      </w:r>
      <w:r>
        <w:rPr>
          <w:rFonts w:ascii="宋体" w:hAnsi="宋体" w:eastAsia="宋体" w:cs="宋体"/>
          <w:spacing w:val="-1"/>
          <w:sz w:val="24"/>
          <w:szCs w:val="24"/>
        </w:rPr>
        <w:t>下关键绩效指标（KPI）和其他相关评价标准用以衡量服务报告管理流程的有效性和效率：</w:t>
      </w:r>
    </w:p>
    <w:p w14:paraId="23E6D59A">
      <w:pPr>
        <w:spacing w:line="363" w:lineRule="auto"/>
        <w:ind w:left="136" w:right="384" w:firstLine="47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服务报告按时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提交</w:t>
      </w:r>
      <w:r>
        <w:rPr>
          <w:rFonts w:ascii="宋体" w:hAnsi="宋体" w:eastAsia="宋体" w:cs="宋体"/>
          <w:sz w:val="24"/>
          <w:szCs w:val="24"/>
        </w:rPr>
        <w:t>率（100%）=（当期内按时提</w:t>
      </w:r>
      <w:r>
        <w:rPr>
          <w:rFonts w:ascii="宋体" w:hAnsi="宋体" w:eastAsia="宋体" w:cs="宋体"/>
          <w:spacing w:val="-1"/>
          <w:sz w:val="24"/>
          <w:szCs w:val="24"/>
        </w:rPr>
        <w:t>交的报告数/当期内需提</w:t>
      </w:r>
      <w:r>
        <w:rPr>
          <w:rFonts w:ascii="宋体" w:hAnsi="宋体" w:eastAsia="宋体" w:cs="宋体"/>
          <w:spacing w:val="-2"/>
          <w:sz w:val="24"/>
          <w:szCs w:val="24"/>
        </w:rPr>
        <w:t>交的报告数）*100%</w:t>
      </w:r>
    </w:p>
    <w:p w14:paraId="2659D0D9">
      <w:pPr>
        <w:spacing w:before="102" w:line="226" w:lineRule="auto"/>
        <w:ind w:left="130"/>
        <w:outlineLvl w:val="0"/>
        <w:rPr>
          <w:rFonts w:ascii="黑体" w:hAnsi="黑体" w:eastAsia="黑体" w:cs="黑体"/>
          <w:sz w:val="31"/>
          <w:szCs w:val="31"/>
        </w:rPr>
      </w:pPr>
      <w:bookmarkStart w:id="13" w:name="bookmark12"/>
      <w:bookmarkEnd w:id="13"/>
      <w:r>
        <w:rPr>
          <w:rFonts w:ascii="黑体" w:hAnsi="黑体" w:eastAsia="黑体" w:cs="黑体"/>
          <w:b/>
          <w:bCs/>
          <w:spacing w:val="2"/>
          <w:sz w:val="31"/>
          <w:szCs w:val="31"/>
        </w:rPr>
        <w:t>8</w:t>
      </w:r>
      <w:r>
        <w:rPr>
          <w:rFonts w:ascii="黑体" w:hAnsi="黑体" w:eastAsia="黑体" w:cs="黑体"/>
          <w:spacing w:val="2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流程持续改进</w:t>
      </w:r>
    </w:p>
    <w:p w14:paraId="36BB4034">
      <w:pPr>
        <w:spacing w:before="78" w:line="295" w:lineRule="auto"/>
        <w:ind w:left="1030" w:right="176" w:hanging="408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流程负责人定期开展服务报告管理流程回顾工作，召开回顾会议，与流</w:t>
      </w:r>
      <w:r>
        <w:rPr>
          <w:rFonts w:ascii="宋体" w:hAnsi="宋体" w:eastAsia="宋体" w:cs="宋体"/>
          <w:spacing w:val="-1"/>
          <w:sz w:val="24"/>
          <w:szCs w:val="24"/>
        </w:rPr>
        <w:t>程相关人员讨论流程实施及流程改进措施。</w:t>
      </w:r>
    </w:p>
    <w:p w14:paraId="1BB1D2BA">
      <w:pPr>
        <w:spacing w:before="177" w:line="295" w:lineRule="auto"/>
        <w:ind w:left="1030" w:right="176" w:hanging="408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流程负责人根据会议讨论的内容，进一步制定流程改进点，同时将对流</w:t>
      </w:r>
      <w:r>
        <w:rPr>
          <w:rFonts w:ascii="宋体" w:hAnsi="宋体" w:eastAsia="宋体" w:cs="宋体"/>
          <w:spacing w:val="-1"/>
          <w:sz w:val="24"/>
          <w:szCs w:val="24"/>
        </w:rPr>
        <w:t>程的改进写进服务改进计划。</w:t>
      </w:r>
    </w:p>
    <w:p w14:paraId="5B51CB19">
      <w:pPr>
        <w:spacing w:before="178" w:line="239" w:lineRule="auto"/>
        <w:ind w:left="622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1"/>
          <w:sz w:val="24"/>
          <w:szCs w:val="24"/>
        </w:rPr>
        <w:t>n</w:t>
      </w:r>
      <w:r>
        <w:rPr>
          <w:rFonts w:ascii="Wingdings" w:hAnsi="Wingdings" w:eastAsia="Wingdings" w:cs="Wingdings"/>
          <w:spacing w:val="-5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执行改进计划：流程负责人组织协调相关人员，执行流程改进计划。</w:t>
      </w:r>
    </w:p>
    <w:sectPr>
      <w:footerReference r:id="rId8" w:type="default"/>
      <w:pgSz w:w="11910" w:h="16840"/>
      <w:pgMar w:top="877" w:right="1685" w:bottom="1196" w:left="1677" w:header="0" w:footer="98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77DEEA">
    <w:pPr>
      <w:spacing w:line="209" w:lineRule="auto"/>
      <w:ind w:left="3650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1"/>
        <w:sz w:val="18"/>
        <w:szCs w:val="18"/>
      </w:rPr>
      <w:t>第</w:t>
    </w:r>
    <w:r>
      <w:rPr>
        <w:rFonts w:ascii="宋体" w:hAnsi="宋体" w:eastAsia="宋体" w:cs="宋体"/>
        <w:spacing w:val="-21"/>
        <w:sz w:val="18"/>
        <w:szCs w:val="18"/>
      </w:rPr>
      <w:t xml:space="preserve"> </w:t>
    </w:r>
    <w:r>
      <w:rPr>
        <w:rFonts w:ascii="宋体" w:hAnsi="宋体" w:eastAsia="宋体" w:cs="宋体"/>
        <w:spacing w:val="-11"/>
        <w:sz w:val="18"/>
        <w:szCs w:val="18"/>
      </w:rPr>
      <w:t>1</w:t>
    </w:r>
    <w:r>
      <w:rPr>
        <w:rFonts w:ascii="宋体" w:hAnsi="宋体" w:eastAsia="宋体" w:cs="宋体"/>
        <w:spacing w:val="-39"/>
        <w:sz w:val="18"/>
        <w:szCs w:val="18"/>
      </w:rPr>
      <w:t xml:space="preserve"> </w:t>
    </w:r>
    <w:r>
      <w:rPr>
        <w:rFonts w:ascii="宋体" w:hAnsi="宋体" w:eastAsia="宋体" w:cs="宋体"/>
        <w:spacing w:val="-11"/>
        <w:sz w:val="18"/>
        <w:szCs w:val="18"/>
      </w:rPr>
      <w:t>页，共</w:t>
    </w:r>
    <w:r>
      <w:rPr>
        <w:rFonts w:ascii="宋体" w:hAnsi="宋体" w:eastAsia="宋体" w:cs="宋体"/>
        <w:spacing w:val="-16"/>
        <w:sz w:val="18"/>
        <w:szCs w:val="18"/>
      </w:rPr>
      <w:t xml:space="preserve"> </w:t>
    </w:r>
    <w:r>
      <w:rPr>
        <w:rFonts w:ascii="Calibri" w:hAnsi="Calibri" w:eastAsia="Calibri" w:cs="Calibri"/>
        <w:spacing w:val="-11"/>
        <w:sz w:val="18"/>
        <w:szCs w:val="18"/>
      </w:rPr>
      <w:t>8</w:t>
    </w:r>
    <w:r>
      <w:rPr>
        <w:rFonts w:ascii="Calibri" w:hAnsi="Calibri" w:eastAsia="Calibri" w:cs="Calibri"/>
        <w:spacing w:val="12"/>
        <w:sz w:val="18"/>
        <w:szCs w:val="18"/>
      </w:rPr>
      <w:t xml:space="preserve"> </w:t>
    </w:r>
    <w:r>
      <w:rPr>
        <w:rFonts w:ascii="宋体" w:hAnsi="宋体" w:eastAsia="宋体" w:cs="宋体"/>
        <w:spacing w:val="-11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CCA6C1">
    <w:pPr>
      <w:spacing w:line="209" w:lineRule="auto"/>
      <w:ind w:left="3650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9"/>
        <w:sz w:val="18"/>
        <w:szCs w:val="18"/>
      </w:rPr>
      <w:t>第</w:t>
    </w:r>
    <w:r>
      <w:rPr>
        <w:rFonts w:ascii="宋体" w:hAnsi="宋体" w:eastAsia="宋体" w:cs="宋体"/>
        <w:spacing w:val="-35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2</w:t>
    </w:r>
    <w:r>
      <w:rPr>
        <w:rFonts w:ascii="宋体" w:hAnsi="宋体" w:eastAsia="宋体" w:cs="宋体"/>
        <w:spacing w:val="-39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页，共</w:t>
    </w:r>
    <w:r>
      <w:rPr>
        <w:rFonts w:ascii="宋体" w:hAnsi="宋体" w:eastAsia="宋体" w:cs="宋体"/>
        <w:spacing w:val="-16"/>
        <w:sz w:val="18"/>
        <w:szCs w:val="18"/>
      </w:rPr>
      <w:t xml:space="preserve"> </w:t>
    </w:r>
    <w:r>
      <w:rPr>
        <w:rFonts w:ascii="Calibri" w:hAnsi="Calibri" w:eastAsia="Calibri" w:cs="Calibri"/>
        <w:spacing w:val="-9"/>
        <w:sz w:val="18"/>
        <w:szCs w:val="18"/>
      </w:rPr>
      <w:t>8</w:t>
    </w:r>
    <w:r>
      <w:rPr>
        <w:rFonts w:ascii="Calibri" w:hAnsi="Calibri" w:eastAsia="Calibri" w:cs="Calibri"/>
        <w:spacing w:val="12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892A1">
    <w:pPr>
      <w:spacing w:line="209" w:lineRule="auto"/>
      <w:ind w:left="3740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9"/>
        <w:sz w:val="18"/>
        <w:szCs w:val="18"/>
      </w:rPr>
      <w:t>第</w:t>
    </w:r>
    <w:r>
      <w:rPr>
        <w:rFonts w:ascii="宋体" w:hAnsi="宋体" w:eastAsia="宋体" w:cs="宋体"/>
        <w:spacing w:val="-35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3</w:t>
    </w:r>
    <w:r>
      <w:rPr>
        <w:rFonts w:ascii="宋体" w:hAnsi="宋体" w:eastAsia="宋体" w:cs="宋体"/>
        <w:spacing w:val="-39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页，共</w:t>
    </w:r>
    <w:r>
      <w:rPr>
        <w:rFonts w:ascii="宋体" w:hAnsi="宋体" w:eastAsia="宋体" w:cs="宋体"/>
        <w:spacing w:val="-16"/>
        <w:sz w:val="18"/>
        <w:szCs w:val="18"/>
      </w:rPr>
      <w:t xml:space="preserve"> </w:t>
    </w:r>
    <w:r>
      <w:rPr>
        <w:rFonts w:ascii="Calibri" w:hAnsi="Calibri" w:eastAsia="Calibri" w:cs="Calibri"/>
        <w:spacing w:val="-9"/>
        <w:sz w:val="18"/>
        <w:szCs w:val="18"/>
      </w:rPr>
      <w:t>8</w:t>
    </w:r>
    <w:r>
      <w:rPr>
        <w:rFonts w:ascii="Calibri" w:hAnsi="Calibri" w:eastAsia="Calibri" w:cs="Calibri"/>
        <w:spacing w:val="12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3A9D9">
    <w:pPr>
      <w:spacing w:line="209" w:lineRule="auto"/>
      <w:ind w:left="3650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9"/>
        <w:sz w:val="18"/>
        <w:szCs w:val="18"/>
      </w:rPr>
      <w:t>第</w:t>
    </w:r>
    <w:r>
      <w:rPr>
        <w:rFonts w:ascii="宋体" w:hAnsi="宋体" w:eastAsia="宋体" w:cs="宋体"/>
        <w:spacing w:val="-35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8</w:t>
    </w:r>
    <w:r>
      <w:rPr>
        <w:rFonts w:ascii="宋体" w:hAnsi="宋体" w:eastAsia="宋体" w:cs="宋体"/>
        <w:spacing w:val="-39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页，共</w:t>
    </w:r>
    <w:r>
      <w:rPr>
        <w:rFonts w:ascii="宋体" w:hAnsi="宋体" w:eastAsia="宋体" w:cs="宋体"/>
        <w:spacing w:val="-16"/>
        <w:sz w:val="18"/>
        <w:szCs w:val="18"/>
      </w:rPr>
      <w:t xml:space="preserve"> </w:t>
    </w:r>
    <w:r>
      <w:rPr>
        <w:rFonts w:ascii="Calibri" w:hAnsi="Calibri" w:eastAsia="Calibri" w:cs="Calibri"/>
        <w:spacing w:val="-9"/>
        <w:sz w:val="18"/>
        <w:szCs w:val="18"/>
      </w:rPr>
      <w:t>8</w:t>
    </w:r>
    <w:r>
      <w:rPr>
        <w:rFonts w:ascii="Calibri" w:hAnsi="Calibri" w:eastAsia="Calibri" w:cs="Calibri"/>
        <w:spacing w:val="12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75C1AB8"/>
    <w:rsid w:val="227625C6"/>
    <w:rsid w:val="3B2C2F74"/>
    <w:rsid w:val="53252B97"/>
    <w:rsid w:val="55747599"/>
    <w:rsid w:val="5B7D1A1D"/>
    <w:rsid w:val="5CB0143D"/>
    <w:rsid w:val="66992E9F"/>
    <w:rsid w:val="737071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after="200"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1985</Words>
  <Characters>2061</Characters>
  <Lines>0</Lines>
  <Paragraphs>0</Paragraphs>
  <TotalTime>2</TotalTime>
  <ScaleCrop>false</ScaleCrop>
  <LinksUpToDate>false</LinksUpToDate>
  <CharactersWithSpaces>2156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2022-11-30T11:24:00Z</dcterms:created>
  <dc:creator>LoriChen</dc:creator>
  <cp:lastModifiedBy>郝宇</cp:lastModifiedBy>
  <dcterms:modified xsi:type="dcterms:W3CDTF">2025-10-04T18:12:11Z</dcterms:modified>
  <dc:title>ITSS体系文件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2025-09-29T03:03:07Z</vt:filetime>
  </property>
  <property fmtid="{D5CDD505-2E9C-101B-9397-08002B2CF9AE}" pid="3" name="CRO">
    <vt:lpwstr>wqlLaW5nc29mdCBQREYgdG8gV1BTIDExNQ</vt:lpwstr>
  </property>
  <property fmtid="{D5CDD505-2E9C-101B-9397-08002B2CF9AE}" pid="4" name="KSOTemplateDocerSaveRecord">
    <vt:lpwstr>eyJoZGlkIjoiMDY5NmFjMmM4ZTljMGJiZDAxN2JmYTc0NGI0NmFiNDgiLCJ1c2VySWQiOiIxMDc1MzgyOSJ9</vt:lpwstr>
  </property>
  <property fmtid="{D5CDD505-2E9C-101B-9397-08002B2CF9AE}" pid="5" name="KSOProductBuildVer">
    <vt:lpwstr>2052-12.1.0.23125</vt:lpwstr>
  </property>
  <property fmtid="{D5CDD505-2E9C-101B-9397-08002B2CF9AE}" pid="6" name="ICV">
    <vt:lpwstr>ACA6E4E84E994CDE8493549A6624F5A8_12</vt:lpwstr>
  </property>
</Properties>
</file>