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568D2A">
      <w:pPr>
        <w:spacing w:line="392" w:lineRule="exact"/>
      </w:pPr>
      <w:r>
        <w:rPr>
          <w:position w:val="-7"/>
        </w:rPr>
        <w:drawing>
          <wp:inline distT="0" distB="0" distL="0" distR="0">
            <wp:extent cx="685165" cy="24892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20836">
      <w:pPr>
        <w:pStyle w:val="2"/>
        <w:spacing w:line="270" w:lineRule="auto"/>
      </w:pPr>
    </w:p>
    <w:p w14:paraId="199F6B22">
      <w:pPr>
        <w:pStyle w:val="2"/>
        <w:spacing w:line="270" w:lineRule="auto"/>
      </w:pPr>
    </w:p>
    <w:p w14:paraId="1BDA88D4">
      <w:pPr>
        <w:pStyle w:val="2"/>
        <w:spacing w:line="271" w:lineRule="auto"/>
      </w:pPr>
    </w:p>
    <w:p w14:paraId="2B37E2D1">
      <w:pPr>
        <w:pStyle w:val="2"/>
        <w:spacing w:line="271" w:lineRule="auto"/>
      </w:pPr>
    </w:p>
    <w:p w14:paraId="62145F49">
      <w:pPr>
        <w:pStyle w:val="2"/>
        <w:spacing w:line="271" w:lineRule="auto"/>
      </w:pPr>
    </w:p>
    <w:p w14:paraId="49292D23">
      <w:pPr>
        <w:spacing w:before="139" w:line="225" w:lineRule="auto"/>
        <w:ind w:left="1099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2E33941E">
      <w:pPr>
        <w:pStyle w:val="2"/>
        <w:spacing w:line="314" w:lineRule="auto"/>
      </w:pPr>
    </w:p>
    <w:p w14:paraId="71269440">
      <w:pPr>
        <w:pStyle w:val="2"/>
        <w:spacing w:line="315" w:lineRule="auto"/>
      </w:pPr>
    </w:p>
    <w:p w14:paraId="03673BAE">
      <w:pPr>
        <w:spacing w:before="139" w:line="225" w:lineRule="auto"/>
        <w:ind w:left="2875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2"/>
          <w:sz w:val="43"/>
          <w:szCs w:val="43"/>
        </w:rPr>
        <w:t>变更管理流程</w:t>
      </w:r>
    </w:p>
    <w:p w14:paraId="50BAD93E">
      <w:pPr>
        <w:pStyle w:val="2"/>
        <w:spacing w:line="249" w:lineRule="auto"/>
      </w:pPr>
    </w:p>
    <w:p w14:paraId="626A19F6">
      <w:pPr>
        <w:pStyle w:val="2"/>
        <w:spacing w:line="249" w:lineRule="auto"/>
      </w:pPr>
    </w:p>
    <w:p w14:paraId="1280EFCF">
      <w:pPr>
        <w:pStyle w:val="2"/>
        <w:spacing w:line="249" w:lineRule="auto"/>
      </w:pPr>
    </w:p>
    <w:p w14:paraId="120FA391">
      <w:pPr>
        <w:pStyle w:val="2"/>
        <w:spacing w:line="249" w:lineRule="auto"/>
      </w:pPr>
    </w:p>
    <w:p w14:paraId="3B17BC6B">
      <w:pPr>
        <w:pStyle w:val="2"/>
        <w:spacing w:line="249" w:lineRule="auto"/>
      </w:pPr>
    </w:p>
    <w:p w14:paraId="6BB37010">
      <w:pPr>
        <w:pStyle w:val="2"/>
        <w:spacing w:line="249" w:lineRule="auto"/>
      </w:pPr>
    </w:p>
    <w:p w14:paraId="1118F0C5">
      <w:pPr>
        <w:pStyle w:val="2"/>
        <w:spacing w:line="249" w:lineRule="auto"/>
      </w:pPr>
    </w:p>
    <w:p w14:paraId="00BBD80D">
      <w:pPr>
        <w:pStyle w:val="2"/>
        <w:spacing w:line="250" w:lineRule="auto"/>
      </w:pPr>
    </w:p>
    <w:p w14:paraId="1080BC8D">
      <w:pPr>
        <w:pStyle w:val="2"/>
        <w:spacing w:line="250" w:lineRule="auto"/>
      </w:pPr>
    </w:p>
    <w:p w14:paraId="7DB4B6CE">
      <w:pPr>
        <w:spacing w:before="98" w:line="221" w:lineRule="auto"/>
        <w:ind w:left="2887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运维部</w:t>
      </w:r>
    </w:p>
    <w:p w14:paraId="641504A6">
      <w:pPr>
        <w:spacing w:before="269" w:line="221" w:lineRule="auto"/>
        <w:ind w:left="2878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z w:val="30"/>
          <w:szCs w:val="30"/>
        </w:rPr>
        <w:t>编制时间：</w:t>
      </w:r>
      <w:r>
        <w:rPr>
          <w:rFonts w:ascii="黑体" w:hAnsi="黑体" w:eastAsia="黑体" w:cs="黑体"/>
          <w:spacing w:val="36"/>
          <w:sz w:val="30"/>
          <w:szCs w:val="30"/>
        </w:rPr>
        <w:t xml:space="preserve"> </w:t>
      </w:r>
      <w:r>
        <w:rPr>
          <w:rFonts w:ascii="Calibri" w:hAnsi="Calibri" w:eastAsia="Calibri" w:cs="Calibri"/>
          <w:b/>
          <w:bCs/>
          <w:sz w:val="30"/>
          <w:szCs w:val="30"/>
        </w:rPr>
        <w:t>2025年1月8日</w:t>
      </w:r>
      <w:r>
        <w:rPr>
          <w:rFonts w:ascii="黑体" w:hAnsi="黑体" w:eastAsia="黑体" w:cs="黑体"/>
          <w:b/>
          <w:bCs/>
          <w:sz w:val="30"/>
          <w:szCs w:val="30"/>
        </w:rPr>
        <w:t>版</w:t>
      </w:r>
    </w:p>
    <w:p w14:paraId="2857EBD5">
      <w:pPr>
        <w:spacing w:before="270" w:line="222" w:lineRule="auto"/>
        <w:ind w:left="2881"/>
        <w:rPr>
          <w:rFonts w:ascii="Calibri" w:hAnsi="Calibri" w:eastAsia="Calibri" w:cs="Calibri"/>
          <w:sz w:val="30"/>
          <w:szCs w:val="30"/>
        </w:rPr>
      </w:pP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本名称：</w:t>
      </w:r>
      <w:r>
        <w:rPr>
          <w:rFonts w:ascii="Calibri" w:hAnsi="Calibri" w:eastAsia="Calibri" w:cs="Calibri"/>
          <w:b/>
          <w:bCs/>
          <w:spacing w:val="-2"/>
          <w:sz w:val="30"/>
          <w:szCs w:val="30"/>
        </w:rPr>
        <w:t>CYYH-ITSS-15-06</w:t>
      </w:r>
    </w:p>
    <w:p w14:paraId="1EEB5AF5">
      <w:pPr>
        <w:spacing w:before="270" w:line="222" w:lineRule="auto"/>
        <w:ind w:left="288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文件起草人：张延山</w:t>
      </w:r>
    </w:p>
    <w:p w14:paraId="3919BF8C">
      <w:pPr>
        <w:spacing w:before="268" w:line="222" w:lineRule="auto"/>
        <w:ind w:left="288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文件审核人：姜晓建</w:t>
      </w:r>
    </w:p>
    <w:p w14:paraId="0C1AE3D8">
      <w:pPr>
        <w:spacing w:before="269" w:line="221" w:lineRule="auto"/>
        <w:ind w:left="288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文件审批人：谢晓彤</w:t>
      </w:r>
    </w:p>
    <w:p w14:paraId="5E1D1875">
      <w:pPr>
        <w:spacing w:before="274" w:line="221" w:lineRule="auto"/>
        <w:ind w:left="2878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生效时间：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 xml:space="preserve">  2025年1月8日</w:t>
      </w:r>
    </w:p>
    <w:p w14:paraId="7A6EF887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877" w:right="1786" w:bottom="990" w:left="1779" w:header="0" w:footer="755" w:gutter="0"/>
          <w:cols w:space="720" w:num="1"/>
        </w:sectPr>
      </w:pPr>
    </w:p>
    <w:p w14:paraId="2EC890A5">
      <w:pPr>
        <w:spacing w:line="392" w:lineRule="exact"/>
      </w:pPr>
      <w:r>
        <w:rPr>
          <w:position w:val="-7"/>
        </w:rPr>
        <w:drawing>
          <wp:inline distT="0" distB="0" distL="0" distR="0">
            <wp:extent cx="685165" cy="24892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D332">
      <w:pPr>
        <w:spacing w:before="320" w:line="222" w:lineRule="auto"/>
        <w:ind w:left="3649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0A128EFE">
      <w:pPr>
        <w:spacing w:line="108" w:lineRule="exact"/>
      </w:pPr>
    </w:p>
    <w:tbl>
      <w:tblPr>
        <w:tblStyle w:val="5"/>
        <w:tblW w:w="8508" w:type="dxa"/>
        <w:tblInd w:w="161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7407B3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7E108D0F">
            <w:pPr>
              <w:spacing w:before="178" w:line="222" w:lineRule="auto"/>
              <w:ind w:left="23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36DFF0AC">
            <w:pPr>
              <w:spacing w:before="178" w:line="222" w:lineRule="auto"/>
              <w:ind w:left="366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52CBEBC3">
            <w:pPr>
              <w:spacing w:before="178" w:line="222" w:lineRule="auto"/>
              <w:ind w:left="43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28BD4C94">
            <w:pPr>
              <w:spacing w:before="178" w:line="223" w:lineRule="auto"/>
              <w:ind w:left="44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1F992B40">
            <w:pPr>
              <w:spacing w:before="177" w:line="222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40A9D0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</w:tcPr>
          <w:p w14:paraId="0AD13A93">
            <w:pPr>
              <w:spacing w:before="177" w:line="241" w:lineRule="auto"/>
              <w:ind w:left="31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47B1FFD0">
            <w:pPr>
              <w:spacing w:before="178" w:line="223" w:lineRule="auto"/>
              <w:ind w:left="560" w:right="26" w:hanging="42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 w14:paraId="695AD702">
            <w:pPr>
              <w:spacing w:before="177" w:line="223" w:lineRule="auto"/>
              <w:ind w:left="445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 w14:paraId="6340B947">
            <w:pPr>
              <w:spacing w:before="177" w:line="222" w:lineRule="auto"/>
              <w:ind w:left="495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6225B930">
            <w:pPr>
              <w:spacing w:before="177" w:line="241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2025.1.8</w:t>
            </w:r>
          </w:p>
        </w:tc>
      </w:tr>
      <w:tr w14:paraId="40DC72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2C6B449A">
            <w:pPr>
              <w:pStyle w:val="6"/>
            </w:pPr>
          </w:p>
        </w:tc>
        <w:tc>
          <w:tcPr>
            <w:tcW w:w="1843" w:type="dxa"/>
          </w:tcPr>
          <w:p w14:paraId="1742F89B">
            <w:pPr>
              <w:pStyle w:val="6"/>
            </w:pPr>
          </w:p>
        </w:tc>
        <w:tc>
          <w:tcPr>
            <w:tcW w:w="1693" w:type="dxa"/>
          </w:tcPr>
          <w:p w14:paraId="6AFB710D">
            <w:pPr>
              <w:pStyle w:val="6"/>
            </w:pPr>
          </w:p>
        </w:tc>
        <w:tc>
          <w:tcPr>
            <w:tcW w:w="1693" w:type="dxa"/>
          </w:tcPr>
          <w:p w14:paraId="5D7E1B43">
            <w:pPr>
              <w:pStyle w:val="6"/>
            </w:pPr>
          </w:p>
        </w:tc>
        <w:tc>
          <w:tcPr>
            <w:tcW w:w="1697" w:type="dxa"/>
          </w:tcPr>
          <w:p w14:paraId="33BEF3CE">
            <w:pPr>
              <w:pStyle w:val="6"/>
            </w:pPr>
          </w:p>
        </w:tc>
      </w:tr>
      <w:tr w14:paraId="3592B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4004D23F">
            <w:pPr>
              <w:pStyle w:val="6"/>
            </w:pPr>
          </w:p>
        </w:tc>
        <w:tc>
          <w:tcPr>
            <w:tcW w:w="1843" w:type="dxa"/>
          </w:tcPr>
          <w:p w14:paraId="0F2722CC">
            <w:pPr>
              <w:pStyle w:val="6"/>
            </w:pPr>
          </w:p>
        </w:tc>
        <w:tc>
          <w:tcPr>
            <w:tcW w:w="1693" w:type="dxa"/>
          </w:tcPr>
          <w:p w14:paraId="5B052980">
            <w:pPr>
              <w:pStyle w:val="6"/>
            </w:pPr>
          </w:p>
        </w:tc>
        <w:tc>
          <w:tcPr>
            <w:tcW w:w="1693" w:type="dxa"/>
          </w:tcPr>
          <w:p w14:paraId="72A52D07">
            <w:pPr>
              <w:pStyle w:val="6"/>
            </w:pPr>
          </w:p>
        </w:tc>
        <w:tc>
          <w:tcPr>
            <w:tcW w:w="1697" w:type="dxa"/>
          </w:tcPr>
          <w:p w14:paraId="527515C4">
            <w:pPr>
              <w:pStyle w:val="6"/>
            </w:pPr>
          </w:p>
        </w:tc>
      </w:tr>
      <w:tr w14:paraId="6D4EE3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5A58B593">
            <w:pPr>
              <w:pStyle w:val="6"/>
            </w:pPr>
          </w:p>
        </w:tc>
        <w:tc>
          <w:tcPr>
            <w:tcW w:w="1843" w:type="dxa"/>
          </w:tcPr>
          <w:p w14:paraId="02F06387">
            <w:pPr>
              <w:pStyle w:val="6"/>
            </w:pPr>
          </w:p>
        </w:tc>
        <w:tc>
          <w:tcPr>
            <w:tcW w:w="1693" w:type="dxa"/>
          </w:tcPr>
          <w:p w14:paraId="489DF698">
            <w:pPr>
              <w:pStyle w:val="6"/>
            </w:pPr>
          </w:p>
        </w:tc>
        <w:tc>
          <w:tcPr>
            <w:tcW w:w="1693" w:type="dxa"/>
          </w:tcPr>
          <w:p w14:paraId="293D042A">
            <w:pPr>
              <w:pStyle w:val="6"/>
            </w:pPr>
          </w:p>
        </w:tc>
        <w:tc>
          <w:tcPr>
            <w:tcW w:w="1697" w:type="dxa"/>
          </w:tcPr>
          <w:p w14:paraId="471FAA33">
            <w:pPr>
              <w:pStyle w:val="6"/>
            </w:pPr>
          </w:p>
        </w:tc>
      </w:tr>
      <w:tr w14:paraId="773F9F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59349CF3">
            <w:pPr>
              <w:pStyle w:val="6"/>
            </w:pPr>
          </w:p>
        </w:tc>
        <w:tc>
          <w:tcPr>
            <w:tcW w:w="1843" w:type="dxa"/>
          </w:tcPr>
          <w:p w14:paraId="6447A1D5">
            <w:pPr>
              <w:pStyle w:val="6"/>
            </w:pPr>
          </w:p>
        </w:tc>
        <w:tc>
          <w:tcPr>
            <w:tcW w:w="1693" w:type="dxa"/>
          </w:tcPr>
          <w:p w14:paraId="7F79B8CD">
            <w:pPr>
              <w:pStyle w:val="6"/>
            </w:pPr>
          </w:p>
        </w:tc>
        <w:tc>
          <w:tcPr>
            <w:tcW w:w="1693" w:type="dxa"/>
          </w:tcPr>
          <w:p w14:paraId="5EDAA1A0">
            <w:pPr>
              <w:pStyle w:val="6"/>
            </w:pPr>
          </w:p>
        </w:tc>
        <w:tc>
          <w:tcPr>
            <w:tcW w:w="1697" w:type="dxa"/>
          </w:tcPr>
          <w:p w14:paraId="58DEB630">
            <w:pPr>
              <w:pStyle w:val="6"/>
            </w:pPr>
          </w:p>
        </w:tc>
      </w:tr>
      <w:tr w14:paraId="412F81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6C7E5597">
            <w:pPr>
              <w:pStyle w:val="6"/>
            </w:pPr>
          </w:p>
        </w:tc>
        <w:tc>
          <w:tcPr>
            <w:tcW w:w="1843" w:type="dxa"/>
          </w:tcPr>
          <w:p w14:paraId="0DFD31F4">
            <w:pPr>
              <w:pStyle w:val="6"/>
            </w:pPr>
          </w:p>
        </w:tc>
        <w:tc>
          <w:tcPr>
            <w:tcW w:w="1693" w:type="dxa"/>
          </w:tcPr>
          <w:p w14:paraId="07A450CF">
            <w:pPr>
              <w:pStyle w:val="6"/>
            </w:pPr>
          </w:p>
        </w:tc>
        <w:tc>
          <w:tcPr>
            <w:tcW w:w="1693" w:type="dxa"/>
          </w:tcPr>
          <w:p w14:paraId="04D9D8E8">
            <w:pPr>
              <w:pStyle w:val="6"/>
            </w:pPr>
          </w:p>
        </w:tc>
        <w:tc>
          <w:tcPr>
            <w:tcW w:w="1697" w:type="dxa"/>
          </w:tcPr>
          <w:p w14:paraId="1F700005">
            <w:pPr>
              <w:pStyle w:val="6"/>
            </w:pPr>
          </w:p>
        </w:tc>
      </w:tr>
      <w:tr w14:paraId="7B419A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3C37CB89">
            <w:pPr>
              <w:pStyle w:val="6"/>
            </w:pPr>
          </w:p>
        </w:tc>
        <w:tc>
          <w:tcPr>
            <w:tcW w:w="1843" w:type="dxa"/>
          </w:tcPr>
          <w:p w14:paraId="0A369391">
            <w:pPr>
              <w:pStyle w:val="6"/>
            </w:pPr>
          </w:p>
        </w:tc>
        <w:tc>
          <w:tcPr>
            <w:tcW w:w="1693" w:type="dxa"/>
          </w:tcPr>
          <w:p w14:paraId="11DD732E">
            <w:pPr>
              <w:pStyle w:val="6"/>
            </w:pPr>
          </w:p>
        </w:tc>
        <w:tc>
          <w:tcPr>
            <w:tcW w:w="1693" w:type="dxa"/>
          </w:tcPr>
          <w:p w14:paraId="11FA358A">
            <w:pPr>
              <w:pStyle w:val="6"/>
            </w:pPr>
          </w:p>
        </w:tc>
        <w:tc>
          <w:tcPr>
            <w:tcW w:w="1697" w:type="dxa"/>
          </w:tcPr>
          <w:p w14:paraId="343FB4BF">
            <w:pPr>
              <w:pStyle w:val="6"/>
            </w:pPr>
          </w:p>
        </w:tc>
      </w:tr>
      <w:tr w14:paraId="21113B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4384E2A3">
            <w:pPr>
              <w:pStyle w:val="6"/>
            </w:pPr>
          </w:p>
        </w:tc>
        <w:tc>
          <w:tcPr>
            <w:tcW w:w="1843" w:type="dxa"/>
          </w:tcPr>
          <w:p w14:paraId="5BDE47D1">
            <w:pPr>
              <w:pStyle w:val="6"/>
            </w:pPr>
          </w:p>
        </w:tc>
        <w:tc>
          <w:tcPr>
            <w:tcW w:w="1693" w:type="dxa"/>
          </w:tcPr>
          <w:p w14:paraId="15E68E86">
            <w:pPr>
              <w:pStyle w:val="6"/>
            </w:pPr>
          </w:p>
        </w:tc>
        <w:tc>
          <w:tcPr>
            <w:tcW w:w="1693" w:type="dxa"/>
          </w:tcPr>
          <w:p w14:paraId="4758F7D3">
            <w:pPr>
              <w:pStyle w:val="6"/>
            </w:pPr>
          </w:p>
        </w:tc>
        <w:tc>
          <w:tcPr>
            <w:tcW w:w="1697" w:type="dxa"/>
          </w:tcPr>
          <w:p w14:paraId="00A2009E">
            <w:pPr>
              <w:pStyle w:val="6"/>
            </w:pPr>
          </w:p>
        </w:tc>
      </w:tr>
    </w:tbl>
    <w:p w14:paraId="1AA035D9">
      <w:pPr>
        <w:pStyle w:val="2"/>
      </w:pPr>
    </w:p>
    <w:p w14:paraId="27D9187B">
      <w:pPr>
        <w:sectPr>
          <w:footerReference r:id="rId6" w:type="default"/>
          <w:pgSz w:w="11910" w:h="16840"/>
          <w:pgMar w:top="877" w:right="1457" w:bottom="990" w:left="1779" w:header="0" w:footer="755" w:gutter="0"/>
          <w:cols w:space="720" w:num="1"/>
        </w:sectPr>
      </w:pPr>
    </w:p>
    <w:p w14:paraId="28F44CC7">
      <w:pPr>
        <w:spacing w:line="392" w:lineRule="exact"/>
        <w:ind w:firstLine="91"/>
      </w:pPr>
      <w:r>
        <w:rPr>
          <w:position w:val="-7"/>
        </w:rPr>
        <w:drawing>
          <wp:inline distT="0" distB="0" distL="0" distR="0">
            <wp:extent cx="685165" cy="24892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宋体" w:hAnsi="宋体" w:eastAsia="宋体" w:cs="宋体"/>
          <w:sz w:val="24"/>
          <w:szCs w:val="24"/>
        </w:rPr>
        <w:id w:val="1421838076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z w:val="24"/>
          <w:szCs w:val="24"/>
        </w:rPr>
      </w:sdtEndPr>
      <w:sdtContent>
        <w:p w14:paraId="69F688C6">
          <w:pPr>
            <w:spacing w:before="186" w:line="221" w:lineRule="auto"/>
            <w:ind w:left="4083"/>
            <w:rPr>
              <w:rFonts w:ascii="宋体" w:hAnsi="宋体" w:eastAsia="宋体" w:cs="宋体"/>
              <w:sz w:val="24"/>
              <w:szCs w:val="24"/>
            </w:rPr>
          </w:pPr>
          <w:r>
            <w:rPr>
              <w:rFonts w:ascii="宋体" w:hAnsi="宋体" w:eastAsia="宋体" w:cs="宋体"/>
              <w:spacing w:val="-28"/>
              <w:sz w:val="24"/>
              <w:szCs w:val="24"/>
            </w:rPr>
            <w:t>目录</w:t>
          </w:r>
        </w:p>
        <w:p w14:paraId="0282FD5B">
          <w:pPr>
            <w:tabs>
              <w:tab w:val="right" w:leader="dot" w:pos="8542"/>
            </w:tabs>
            <w:spacing w:before="177" w:line="185" w:lineRule="auto"/>
            <w:ind w:left="18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8"/>
              <w:sz w:val="24"/>
              <w:szCs w:val="24"/>
            </w:rPr>
            <w:t>1</w:t>
          </w:r>
          <w:r>
            <w:rPr>
              <w:rFonts w:ascii="宋体" w:hAnsi="宋体" w:eastAsia="宋体" w:cs="宋体"/>
              <w:spacing w:val="1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8"/>
              <w:sz w:val="24"/>
              <w:szCs w:val="24"/>
            </w:rPr>
            <w:t>文档简介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42659751">
          <w:pPr>
            <w:tabs>
              <w:tab w:val="right" w:leader="dot" w:pos="8542"/>
            </w:tabs>
            <w:spacing w:before="227" w:line="185" w:lineRule="auto"/>
            <w:ind w:left="3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2</w:t>
          </w:r>
          <w:r>
            <w:rPr>
              <w:rFonts w:ascii="宋体" w:hAnsi="宋体" w:eastAsia="宋体" w:cs="宋体"/>
              <w:spacing w:val="1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适用范围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054FD359">
          <w:pPr>
            <w:tabs>
              <w:tab w:val="right" w:leader="dot" w:pos="8542"/>
            </w:tabs>
            <w:spacing w:before="225" w:line="185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3</w:t>
          </w:r>
          <w:r>
            <w:rPr>
              <w:rFonts w:ascii="宋体" w:hAnsi="宋体" w:eastAsia="宋体" w:cs="宋体"/>
              <w:spacing w:val="1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流程目标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09CA22C5">
          <w:pPr>
            <w:tabs>
              <w:tab w:val="right" w:leader="dot" w:pos="8542"/>
            </w:tabs>
            <w:spacing w:before="227" w:line="185" w:lineRule="auto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4</w:t>
          </w:r>
          <w:r>
            <w:rPr>
              <w:rFonts w:ascii="宋体" w:hAnsi="宋体" w:eastAsia="宋体" w:cs="宋体"/>
              <w:spacing w:val="1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流程策略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470B2997">
          <w:pPr>
            <w:tabs>
              <w:tab w:val="right" w:leader="dot" w:pos="8542"/>
            </w:tabs>
            <w:spacing w:before="228" w:line="185" w:lineRule="auto"/>
            <w:ind w:left="439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4.1 变更类型策略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21C61FD9">
          <w:pPr>
            <w:tabs>
              <w:tab w:val="right" w:leader="dot" w:pos="8542"/>
            </w:tabs>
            <w:spacing w:before="225" w:line="185" w:lineRule="auto"/>
            <w:ind w:left="439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4.2 变更评估策略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67A78EE0">
          <w:pPr>
            <w:tabs>
              <w:tab w:val="right" w:leader="dot" w:pos="8542"/>
            </w:tabs>
            <w:spacing w:before="227" w:line="185" w:lineRule="auto"/>
            <w:ind w:left="439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4.3 裁剪策略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5A2C78D4">
          <w:pPr>
            <w:tabs>
              <w:tab w:val="right" w:leader="dot" w:pos="8542"/>
            </w:tabs>
            <w:spacing w:before="226" w:line="184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 流程角色和职责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7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0958A070">
          <w:pPr>
            <w:tabs>
              <w:tab w:val="right" w:leader="dot" w:pos="8542"/>
            </w:tabs>
            <w:spacing w:before="226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宋体" w:hAnsi="宋体" w:eastAsia="宋体" w:cs="宋体"/>
              <w:sz w:val="24"/>
              <w:szCs w:val="24"/>
            </w:rPr>
            <w:t>5.1 变更顾问委员会（CAB）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58E83AA9">
          <w:pPr>
            <w:tabs>
              <w:tab w:val="right" w:leader="dot" w:pos="8542"/>
            </w:tabs>
            <w:spacing w:before="227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5.2 服务台专员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450F871B">
          <w:pPr>
            <w:tabs>
              <w:tab w:val="right" w:leader="dot" w:pos="8542"/>
            </w:tabs>
            <w:spacing w:before="228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5.3 变更实施人员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278D5BDF">
          <w:pPr>
            <w:tabs>
              <w:tab w:val="right" w:leader="dot" w:pos="8542"/>
            </w:tabs>
            <w:spacing w:before="225" w:line="185" w:lineRule="auto"/>
            <w:ind w:left="2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6</w:t>
          </w:r>
          <w:r>
            <w:rPr>
              <w:rFonts w:ascii="宋体" w:hAnsi="宋体" w:eastAsia="宋体" w:cs="宋体"/>
              <w:spacing w:val="1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流程描述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fldChar w:fldCharType="end"/>
          </w:r>
        </w:p>
        <w:p w14:paraId="63C3ADE4">
          <w:pPr>
            <w:tabs>
              <w:tab w:val="right" w:leader="dot" w:pos="8542"/>
            </w:tabs>
            <w:spacing w:before="227" w:line="185" w:lineRule="auto"/>
            <w:ind w:left="6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7</w:t>
          </w:r>
          <w:r>
            <w:rPr>
              <w:rFonts w:ascii="宋体" w:hAnsi="宋体" w:eastAsia="宋体" w:cs="宋体"/>
              <w:spacing w:val="1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6"/>
              <w:sz w:val="24"/>
              <w:szCs w:val="24"/>
            </w:rPr>
            <w:t>流程指标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8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fldChar w:fldCharType="end"/>
          </w:r>
        </w:p>
        <w:p w14:paraId="213C418C">
          <w:pPr>
            <w:tabs>
              <w:tab w:val="right" w:leader="dot" w:pos="8542"/>
            </w:tabs>
            <w:spacing w:before="226" w:line="219" w:lineRule="auto"/>
            <w:ind w:left="1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8 流程持续改进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8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9</w:t>
          </w:r>
          <w:r>
            <w:fldChar w:fldCharType="end"/>
          </w:r>
        </w:p>
      </w:sdtContent>
    </w:sdt>
    <w:p w14:paraId="09661CB0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10" w:h="16840"/>
          <w:pgMar w:top="877" w:right="1678" w:bottom="990" w:left="1688" w:header="0" w:footer="756" w:gutter="0"/>
          <w:cols w:space="720" w:num="1"/>
        </w:sectPr>
      </w:pPr>
    </w:p>
    <w:p w14:paraId="62E74520">
      <w:pPr>
        <w:spacing w:line="392" w:lineRule="exact"/>
      </w:pPr>
      <w:r>
        <w:rPr>
          <w:position w:val="-7"/>
        </w:rPr>
        <w:drawing>
          <wp:inline distT="0" distB="0" distL="0" distR="0">
            <wp:extent cx="685165" cy="24892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371" cy="24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CA99">
      <w:pPr>
        <w:spacing w:before="199" w:line="227" w:lineRule="auto"/>
        <w:ind w:left="48"/>
        <w:outlineLvl w:val="0"/>
        <w:rPr>
          <w:rFonts w:ascii="黑体" w:hAnsi="黑体" w:eastAsia="黑体" w:cs="黑体"/>
          <w:sz w:val="31"/>
          <w:szCs w:val="31"/>
        </w:rPr>
      </w:pPr>
      <w:bookmarkStart w:id="0" w:name="bookmark1"/>
      <w:bookmarkEnd w:id="0"/>
      <w:r>
        <w:rPr>
          <w:rFonts w:ascii="黑体" w:hAnsi="黑体" w:eastAsia="黑体" w:cs="黑体"/>
          <w:b/>
          <w:bCs/>
          <w:spacing w:val="-4"/>
          <w:sz w:val="31"/>
          <w:szCs w:val="31"/>
        </w:rPr>
        <w:t>1</w:t>
      </w:r>
      <w:r>
        <w:rPr>
          <w:rFonts w:ascii="黑体" w:hAnsi="黑体" w:eastAsia="黑体" w:cs="黑体"/>
          <w:spacing w:val="-50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31"/>
          <w:szCs w:val="31"/>
        </w:rPr>
        <w:t>文档简介</w:t>
      </w:r>
    </w:p>
    <w:p w14:paraId="78718BBA">
      <w:pPr>
        <w:spacing w:before="78" w:line="219" w:lineRule="auto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本文档定义了变更管理流程，主要内容包括：</w:t>
      </w:r>
    </w:p>
    <w:p w14:paraId="122D5FC7">
      <w:pPr>
        <w:spacing w:before="78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流程目标，描述变更管理流程所要达到的目标；</w:t>
      </w:r>
    </w:p>
    <w:p w14:paraId="46F1CF12">
      <w:pPr>
        <w:spacing w:before="162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流程描述，包括流程图、活动描述及输入输出；</w:t>
      </w:r>
    </w:p>
    <w:p w14:paraId="07587053">
      <w:pPr>
        <w:spacing w:before="158" w:line="296" w:lineRule="auto"/>
        <w:ind w:left="933" w:right="216" w:hanging="413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流程角色和职责，描述流程中主要的角色，以及角色所担负的职责和需具备的技能要求；</w:t>
      </w:r>
    </w:p>
    <w:p w14:paraId="15537F5A">
      <w:pPr>
        <w:spacing w:before="177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流程指标，定义了衡量流程管理绩效的指标；</w:t>
      </w:r>
    </w:p>
    <w:p w14:paraId="3520A0F6">
      <w:pPr>
        <w:spacing w:before="162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流程持续改进，定义流程回顾和改进方法。</w:t>
      </w:r>
    </w:p>
    <w:p w14:paraId="4ADF87AC">
      <w:pPr>
        <w:spacing w:before="102" w:line="228" w:lineRule="auto"/>
        <w:ind w:left="29"/>
        <w:outlineLvl w:val="0"/>
        <w:rPr>
          <w:rFonts w:ascii="黑体" w:hAnsi="黑体" w:eastAsia="黑体" w:cs="黑体"/>
          <w:sz w:val="31"/>
          <w:szCs w:val="31"/>
        </w:rPr>
      </w:pPr>
      <w:bookmarkStart w:id="1" w:name="bookmark2"/>
      <w:bookmarkEnd w:id="1"/>
      <w:r>
        <w:rPr>
          <w:rFonts w:ascii="黑体" w:hAnsi="黑体" w:eastAsia="黑体" w:cs="黑体"/>
          <w:b/>
          <w:bCs/>
          <w:sz w:val="31"/>
          <w:szCs w:val="31"/>
        </w:rPr>
        <w:t>2</w:t>
      </w:r>
      <w:r>
        <w:rPr>
          <w:rFonts w:ascii="黑体" w:hAnsi="黑体" w:eastAsia="黑体" w:cs="黑体"/>
          <w:spacing w:val="28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z w:val="31"/>
          <w:szCs w:val="31"/>
        </w:rPr>
        <w:t>适用范围</w:t>
      </w:r>
    </w:p>
    <w:p w14:paraId="78A0D835">
      <w:pPr>
        <w:spacing w:before="79" w:line="364" w:lineRule="auto"/>
        <w:ind w:left="34" w:right="304" w:firstLine="47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变更管理流程适用的范围主要是运维服务，服务</w:t>
      </w:r>
      <w:r>
        <w:rPr>
          <w:rFonts w:ascii="宋体" w:hAnsi="宋体" w:eastAsia="宋体" w:cs="宋体"/>
          <w:spacing w:val="-1"/>
          <w:sz w:val="24"/>
          <w:szCs w:val="24"/>
        </w:rPr>
        <w:t>模式包括驻场式及非驻场</w:t>
      </w:r>
      <w:r>
        <w:rPr>
          <w:rFonts w:ascii="宋体" w:hAnsi="宋体" w:eastAsia="宋体" w:cs="宋体"/>
          <w:spacing w:val="-2"/>
          <w:sz w:val="24"/>
          <w:szCs w:val="24"/>
        </w:rPr>
        <w:t>式。业务线条包括：</w:t>
      </w:r>
    </w:p>
    <w:p w14:paraId="1385A93B">
      <w:pPr>
        <w:spacing w:before="144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硬件运维服务业务线；</w:t>
      </w:r>
    </w:p>
    <w:p w14:paraId="6B887D25">
      <w:pPr>
        <w:spacing w:before="160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软件运维服务业务线。</w:t>
      </w:r>
    </w:p>
    <w:p w14:paraId="2FC1F650">
      <w:pPr>
        <w:spacing w:before="101" w:line="226" w:lineRule="auto"/>
        <w:ind w:left="32"/>
        <w:outlineLvl w:val="0"/>
        <w:rPr>
          <w:rFonts w:ascii="黑体" w:hAnsi="黑体" w:eastAsia="黑体" w:cs="黑体"/>
          <w:sz w:val="31"/>
          <w:szCs w:val="31"/>
        </w:rPr>
      </w:pPr>
      <w:bookmarkStart w:id="2" w:name="bookmark3"/>
      <w:bookmarkEnd w:id="2"/>
      <w:r>
        <w:rPr>
          <w:rFonts w:ascii="黑体" w:hAnsi="黑体" w:eastAsia="黑体" w:cs="黑体"/>
          <w:b/>
          <w:bCs/>
          <w:sz w:val="31"/>
          <w:szCs w:val="31"/>
        </w:rPr>
        <w:t>3</w:t>
      </w:r>
      <w:r>
        <w:rPr>
          <w:rFonts w:ascii="黑体" w:hAnsi="黑体" w:eastAsia="黑体" w:cs="黑体"/>
          <w:spacing w:val="26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z w:val="31"/>
          <w:szCs w:val="31"/>
        </w:rPr>
        <w:t>流程目标</w:t>
      </w:r>
    </w:p>
    <w:p w14:paraId="116589CE">
      <w:pPr>
        <w:spacing w:before="79" w:line="364" w:lineRule="auto"/>
        <w:ind w:left="30" w:firstLine="479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通过变更管理流程，可以规范各类变更的实施过程，进而保证变更操作实施对</w:t>
      </w:r>
      <w:r>
        <w:rPr>
          <w:rFonts w:ascii="宋体" w:hAnsi="宋体" w:eastAsia="宋体" w:cs="宋体"/>
          <w:spacing w:val="-5"/>
          <w:sz w:val="24"/>
          <w:szCs w:val="24"/>
        </w:rPr>
        <w:t>外部客户项目环境及业务带来的风险降到最低，提升服</w:t>
      </w:r>
      <w:r>
        <w:rPr>
          <w:rFonts w:ascii="宋体" w:hAnsi="宋体" w:eastAsia="宋体" w:cs="宋体"/>
          <w:spacing w:val="-6"/>
          <w:sz w:val="24"/>
          <w:szCs w:val="24"/>
        </w:rPr>
        <w:t>务质量，为业务的快速发展</w:t>
      </w:r>
      <w:r>
        <w:rPr>
          <w:rFonts w:ascii="宋体" w:hAnsi="宋体" w:eastAsia="宋体" w:cs="宋体"/>
          <w:spacing w:val="-3"/>
          <w:sz w:val="24"/>
          <w:szCs w:val="24"/>
        </w:rPr>
        <w:t>提供支撑。</w:t>
      </w:r>
    </w:p>
    <w:p w14:paraId="0885300C">
      <w:pPr>
        <w:spacing w:before="101" w:line="226" w:lineRule="auto"/>
        <w:ind w:left="23"/>
        <w:outlineLvl w:val="0"/>
        <w:rPr>
          <w:rFonts w:ascii="黑体" w:hAnsi="黑体" w:eastAsia="黑体" w:cs="黑体"/>
          <w:sz w:val="31"/>
          <w:szCs w:val="31"/>
        </w:rPr>
      </w:pPr>
      <w:bookmarkStart w:id="3" w:name="bookmark4"/>
      <w:bookmarkEnd w:id="3"/>
      <w:bookmarkStart w:id="4" w:name="bookmark5"/>
      <w:bookmarkEnd w:id="4"/>
      <w:r>
        <w:rPr>
          <w:rFonts w:ascii="黑体" w:hAnsi="黑体" w:eastAsia="黑体" w:cs="黑体"/>
          <w:b/>
          <w:bCs/>
          <w:spacing w:val="1"/>
          <w:sz w:val="31"/>
          <w:szCs w:val="31"/>
        </w:rPr>
        <w:t>4</w:t>
      </w:r>
      <w:r>
        <w:rPr>
          <w:rFonts w:ascii="黑体" w:hAnsi="黑体" w:eastAsia="黑体" w:cs="黑体"/>
          <w:spacing w:val="67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1"/>
          <w:sz w:val="31"/>
          <w:szCs w:val="31"/>
        </w:rPr>
        <w:t>流程策略</w:t>
      </w:r>
    </w:p>
    <w:p w14:paraId="29F52C26">
      <w:pPr>
        <w:spacing w:before="98" w:line="221" w:lineRule="auto"/>
        <w:ind w:left="23"/>
        <w:outlineLvl w:val="1"/>
        <w:rPr>
          <w:rFonts w:ascii="黑体" w:hAnsi="黑体" w:eastAsia="黑体" w:cs="黑体"/>
          <w:sz w:val="30"/>
          <w:szCs w:val="30"/>
        </w:rPr>
      </w:pPr>
      <w:bookmarkStart w:id="5" w:name="bookmark15"/>
      <w:bookmarkEnd w:id="5"/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4.1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变更类型策略</w:t>
      </w:r>
    </w:p>
    <w:p w14:paraId="786E3A27">
      <w:pPr>
        <w:spacing w:before="78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8"/>
          <w:sz w:val="24"/>
          <w:szCs w:val="24"/>
        </w:rPr>
        <w:t>n</w:t>
      </w:r>
      <w:r>
        <w:rPr>
          <w:rFonts w:ascii="Wingdings" w:hAnsi="Wingdings" w:eastAsia="Wingdings" w:cs="Wingdings"/>
          <w:spacing w:val="-4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8"/>
          <w:sz w:val="24"/>
          <w:szCs w:val="24"/>
        </w:rPr>
        <w:t>紧急变更</w:t>
      </w:r>
    </w:p>
    <w:p w14:paraId="5B5B4748">
      <w:pPr>
        <w:spacing w:before="78" w:line="364" w:lineRule="auto"/>
        <w:ind w:left="29" w:firstLine="486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紧急变更指的是如果不进行变更，会立即或正在</w:t>
      </w:r>
      <w:r>
        <w:rPr>
          <w:rFonts w:ascii="宋体" w:hAnsi="宋体" w:eastAsia="宋体" w:cs="宋体"/>
          <w:spacing w:val="-6"/>
          <w:sz w:val="24"/>
          <w:szCs w:val="24"/>
        </w:rPr>
        <w:t>严重影响业务运行、导致严重</w:t>
      </w:r>
      <w:r>
        <w:rPr>
          <w:rFonts w:ascii="宋体" w:hAnsi="宋体" w:eastAsia="宋体" w:cs="宋体"/>
          <w:spacing w:val="-7"/>
          <w:sz w:val="24"/>
          <w:szCs w:val="24"/>
        </w:rPr>
        <w:t xml:space="preserve">影响 </w:t>
      </w:r>
      <w:r>
        <w:rPr>
          <w:rFonts w:ascii="Calibri" w:hAnsi="Calibri" w:eastAsia="Calibri" w:cs="Calibri"/>
          <w:spacing w:val="-7"/>
          <w:sz w:val="24"/>
          <w:szCs w:val="24"/>
        </w:rPr>
        <w:t>SLA</w:t>
      </w:r>
      <w:r>
        <w:rPr>
          <w:rFonts w:ascii="Calibri" w:hAnsi="Calibri" w:eastAsia="Calibri" w:cs="Calibri"/>
          <w:spacing w:val="40"/>
          <w:w w:val="10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的变更。紧急变更的实施往往无法获得足够的相关人员的</w:t>
      </w:r>
      <w:r>
        <w:rPr>
          <w:rFonts w:ascii="宋体" w:hAnsi="宋体" w:eastAsia="宋体" w:cs="宋体"/>
          <w:spacing w:val="-8"/>
          <w:sz w:val="24"/>
          <w:szCs w:val="24"/>
        </w:rPr>
        <w:t>参与和充分的测</w:t>
      </w:r>
      <w:r>
        <w:rPr>
          <w:rFonts w:ascii="宋体" w:hAnsi="宋体" w:eastAsia="宋体" w:cs="宋体"/>
          <w:spacing w:val="-1"/>
          <w:sz w:val="24"/>
          <w:szCs w:val="24"/>
        </w:rPr>
        <w:t>试，因此针对紧急变更需要采取特别的紧急处理流程。</w:t>
      </w:r>
    </w:p>
    <w:p w14:paraId="633B330D">
      <w:pPr>
        <w:spacing w:before="143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7"/>
          <w:sz w:val="24"/>
          <w:szCs w:val="24"/>
        </w:rPr>
        <w:t>n</w:t>
      </w:r>
      <w:r>
        <w:rPr>
          <w:rFonts w:ascii="Wingdings" w:hAnsi="Wingdings" w:eastAsia="Wingdings" w:cs="Wingdings"/>
          <w:spacing w:val="-4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重大变更</w:t>
      </w:r>
    </w:p>
    <w:p w14:paraId="075A65F4">
      <w:pPr>
        <w:spacing w:before="79" w:line="365" w:lineRule="auto"/>
        <w:ind w:left="32" w:right="7" w:firstLine="48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指涉及影响范围较大（影响业务的运行）、紧急程度较高（需要在某个时间</w:t>
      </w:r>
      <w:r>
        <w:rPr>
          <w:rFonts w:ascii="宋体" w:hAnsi="宋体" w:eastAsia="宋体" w:cs="宋体"/>
          <w:spacing w:val="-5"/>
          <w:sz w:val="24"/>
          <w:szCs w:val="24"/>
        </w:rPr>
        <w:t>内完成实施）、实施风险较高（操作实施失误会导致较大影响）、</w:t>
      </w:r>
      <w:r>
        <w:rPr>
          <w:rFonts w:ascii="宋体" w:hAnsi="宋体" w:eastAsia="宋体" w:cs="宋体"/>
          <w:spacing w:val="-6"/>
          <w:sz w:val="24"/>
          <w:szCs w:val="24"/>
        </w:rPr>
        <w:t>实施较复杂的变</w:t>
      </w:r>
      <w:r>
        <w:rPr>
          <w:rFonts w:ascii="宋体" w:hAnsi="宋体" w:eastAsia="宋体" w:cs="宋体"/>
          <w:spacing w:val="-7"/>
          <w:sz w:val="24"/>
          <w:szCs w:val="24"/>
        </w:rPr>
        <w:t>更。</w:t>
      </w:r>
    </w:p>
    <w:p w14:paraId="5867ADC1">
      <w:pPr>
        <w:spacing w:before="143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8"/>
          <w:sz w:val="24"/>
          <w:szCs w:val="24"/>
        </w:rPr>
        <w:t>n</w:t>
      </w:r>
      <w:r>
        <w:rPr>
          <w:rFonts w:ascii="Wingdings" w:hAnsi="Wingdings" w:eastAsia="Wingdings" w:cs="Wingdings"/>
          <w:spacing w:val="-4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8"/>
          <w:sz w:val="24"/>
          <w:szCs w:val="24"/>
        </w:rPr>
        <w:t>常规变更</w:t>
      </w:r>
    </w:p>
    <w:p w14:paraId="34E6EC4F">
      <w:pPr>
        <w:spacing w:before="79" w:line="365" w:lineRule="auto"/>
        <w:ind w:left="28" w:right="213" w:firstLine="48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指涉及影响范围较小（不影响业务的运行）、紧急程度较低（不需要立即实</w:t>
      </w:r>
      <w:r>
        <w:rPr>
          <w:rFonts w:ascii="宋体" w:hAnsi="宋体" w:eastAsia="宋体" w:cs="宋体"/>
          <w:spacing w:val="-9"/>
          <w:sz w:val="24"/>
          <w:szCs w:val="24"/>
        </w:rPr>
        <w:t>施）、实施风险较小（不会带来重大后果）、实施较简单的变更。</w:t>
      </w:r>
    </w:p>
    <w:p w14:paraId="4A301CC8">
      <w:pPr>
        <w:spacing w:before="140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7"/>
          <w:sz w:val="24"/>
          <w:szCs w:val="24"/>
        </w:rPr>
        <w:t>n</w:t>
      </w:r>
      <w:r>
        <w:rPr>
          <w:rFonts w:ascii="Wingdings" w:hAnsi="Wingdings" w:eastAsia="Wingdings" w:cs="Wingdings"/>
          <w:spacing w:val="-4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标准变更</w:t>
      </w:r>
    </w:p>
    <w:p w14:paraId="6FC8D6B9">
      <w:pPr>
        <w:spacing w:before="79" w:line="366" w:lineRule="auto"/>
        <w:ind w:left="29" w:right="114" w:firstLine="48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指的是那些经常发生、有着基本固定流程、并已被授权可直接执行的变更。</w:t>
      </w:r>
      <w:r>
        <w:rPr>
          <w:rFonts w:ascii="宋体" w:hAnsi="宋体" w:eastAsia="宋体" w:cs="宋体"/>
          <w:sz w:val="24"/>
          <w:szCs w:val="24"/>
        </w:rPr>
        <w:t>变更类型与技术支持合同相关，如有合同定</w:t>
      </w:r>
      <w:r>
        <w:rPr>
          <w:rFonts w:ascii="宋体" w:hAnsi="宋体" w:eastAsia="宋体" w:cs="宋体"/>
          <w:spacing w:val="-1"/>
          <w:sz w:val="24"/>
          <w:szCs w:val="24"/>
        </w:rPr>
        <w:t>义，则以合同定义为准。</w:t>
      </w:r>
    </w:p>
    <w:p w14:paraId="5F593DF9">
      <w:pPr>
        <w:spacing w:before="146" w:line="222" w:lineRule="auto"/>
        <w:ind w:left="23"/>
        <w:outlineLvl w:val="1"/>
        <w:rPr>
          <w:rFonts w:ascii="黑体" w:hAnsi="黑体" w:eastAsia="黑体" w:cs="黑体"/>
          <w:sz w:val="30"/>
          <w:szCs w:val="30"/>
        </w:rPr>
      </w:pPr>
      <w:bookmarkStart w:id="6" w:name="bookmark6"/>
      <w:bookmarkEnd w:id="6"/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4.2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变更评估策略</w:t>
      </w:r>
    </w:p>
    <w:tbl>
      <w:tblPr>
        <w:tblStyle w:val="5"/>
        <w:tblW w:w="8305" w:type="dxa"/>
        <w:tblInd w:w="29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46"/>
        <w:gridCol w:w="1475"/>
        <w:gridCol w:w="5184"/>
      </w:tblGrid>
      <w:tr w14:paraId="602E93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1646" w:type="dxa"/>
            <w:tcBorders>
              <w:top w:val="single" w:color="000000" w:sz="6" w:space="0"/>
              <w:left w:val="single" w:color="000000" w:sz="6" w:space="0"/>
            </w:tcBorders>
            <w:shd w:val="clear" w:color="auto" w:fill="818181"/>
          </w:tcPr>
          <w:p w14:paraId="342BF24B">
            <w:pPr>
              <w:spacing w:before="175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变更类型</w:t>
            </w:r>
          </w:p>
        </w:tc>
        <w:tc>
          <w:tcPr>
            <w:tcW w:w="1475" w:type="dxa"/>
            <w:tcBorders>
              <w:top w:val="single" w:color="000000" w:sz="6" w:space="0"/>
              <w:right w:val="single" w:color="000000" w:sz="6" w:space="0"/>
            </w:tcBorders>
            <w:shd w:val="clear" w:color="auto" w:fill="818181"/>
          </w:tcPr>
          <w:p w14:paraId="7D5D71A6">
            <w:pPr>
              <w:spacing w:before="174" w:line="218" w:lineRule="auto"/>
              <w:ind w:lef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评估成员</w:t>
            </w:r>
          </w:p>
        </w:tc>
        <w:tc>
          <w:tcPr>
            <w:tcW w:w="5184" w:type="dxa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shd w:val="clear" w:color="auto" w:fill="818181"/>
          </w:tcPr>
          <w:p w14:paraId="21C0DDA7">
            <w:pPr>
              <w:spacing w:before="174" w:line="221" w:lineRule="auto"/>
              <w:ind w:left="2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成员组成</w:t>
            </w:r>
          </w:p>
        </w:tc>
      </w:tr>
      <w:tr w14:paraId="1CB6D0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4" w:hRule="atLeast"/>
        </w:trPr>
        <w:tc>
          <w:tcPr>
            <w:tcW w:w="1646" w:type="dxa"/>
            <w:tcBorders>
              <w:left w:val="single" w:color="000000" w:sz="6" w:space="0"/>
            </w:tcBorders>
          </w:tcPr>
          <w:p w14:paraId="0F3205DD">
            <w:pPr>
              <w:spacing w:before="241" w:line="219" w:lineRule="auto"/>
              <w:ind w:left="3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紧急变更</w:t>
            </w:r>
          </w:p>
        </w:tc>
        <w:tc>
          <w:tcPr>
            <w:tcW w:w="1475" w:type="dxa"/>
            <w:tcBorders>
              <w:right w:val="single" w:color="000000" w:sz="6" w:space="0"/>
            </w:tcBorders>
          </w:tcPr>
          <w:p w14:paraId="4D278EDA">
            <w:pPr>
              <w:spacing w:before="276" w:line="185" w:lineRule="auto"/>
              <w:ind w:left="5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ECBA</w:t>
            </w:r>
          </w:p>
        </w:tc>
        <w:tc>
          <w:tcPr>
            <w:tcW w:w="5184" w:type="dxa"/>
            <w:tcBorders>
              <w:left w:val="single" w:color="000000" w:sz="6" w:space="0"/>
              <w:right w:val="single" w:color="000000" w:sz="6" w:space="0"/>
            </w:tcBorders>
          </w:tcPr>
          <w:p w14:paraId="3D235AC5">
            <w:pPr>
              <w:spacing w:before="136" w:line="253" w:lineRule="auto"/>
              <w:ind w:left="120" w:right="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部门经理、项目经理、运维技术支持、变更实施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人员</w:t>
            </w:r>
          </w:p>
        </w:tc>
      </w:tr>
      <w:tr w14:paraId="0E1194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1646" w:type="dxa"/>
            <w:tcBorders>
              <w:left w:val="single" w:color="000000" w:sz="6" w:space="0"/>
            </w:tcBorders>
          </w:tcPr>
          <w:p w14:paraId="4B9B1BA5">
            <w:pPr>
              <w:spacing w:before="101" w:line="220" w:lineRule="auto"/>
              <w:ind w:left="3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重大变更</w:t>
            </w:r>
          </w:p>
        </w:tc>
        <w:tc>
          <w:tcPr>
            <w:tcW w:w="1475" w:type="dxa"/>
            <w:tcBorders>
              <w:right w:val="single" w:color="000000" w:sz="6" w:space="0"/>
            </w:tcBorders>
          </w:tcPr>
          <w:p w14:paraId="4DF5ADB2">
            <w:pPr>
              <w:spacing w:before="137" w:line="185" w:lineRule="auto"/>
              <w:ind w:left="5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CBA</w:t>
            </w:r>
          </w:p>
        </w:tc>
        <w:tc>
          <w:tcPr>
            <w:tcW w:w="5184" w:type="dxa"/>
            <w:tcBorders>
              <w:left w:val="single" w:color="000000" w:sz="6" w:space="0"/>
              <w:right w:val="single" w:color="000000" w:sz="6" w:space="0"/>
            </w:tcBorders>
          </w:tcPr>
          <w:p w14:paraId="184A1E2B">
            <w:pPr>
              <w:spacing w:before="102" w:line="21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项目经理、运维技术支持、变更实施人员</w:t>
            </w:r>
          </w:p>
        </w:tc>
      </w:tr>
      <w:tr w14:paraId="44BEEA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" w:hRule="atLeast"/>
        </w:trPr>
        <w:tc>
          <w:tcPr>
            <w:tcW w:w="1646" w:type="dxa"/>
            <w:tcBorders>
              <w:left w:val="single" w:color="000000" w:sz="6" w:space="0"/>
            </w:tcBorders>
          </w:tcPr>
          <w:p w14:paraId="281C7DC4">
            <w:pPr>
              <w:spacing w:before="100" w:line="220" w:lineRule="auto"/>
              <w:ind w:left="3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常规变更</w:t>
            </w:r>
          </w:p>
        </w:tc>
        <w:tc>
          <w:tcPr>
            <w:tcW w:w="1475" w:type="dxa"/>
            <w:tcBorders>
              <w:right w:val="single" w:color="000000" w:sz="6" w:space="0"/>
            </w:tcBorders>
          </w:tcPr>
          <w:p w14:paraId="67660892">
            <w:pPr>
              <w:spacing w:before="136" w:line="185" w:lineRule="auto"/>
              <w:ind w:left="56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CBA</w:t>
            </w:r>
          </w:p>
        </w:tc>
        <w:tc>
          <w:tcPr>
            <w:tcW w:w="5184" w:type="dxa"/>
            <w:tcBorders>
              <w:left w:val="single" w:color="000000" w:sz="6" w:space="0"/>
              <w:right w:val="single" w:color="000000" w:sz="6" w:space="0"/>
            </w:tcBorders>
          </w:tcPr>
          <w:p w14:paraId="28844B7E">
            <w:pPr>
              <w:spacing w:before="101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运维技术支持、变更实施人员</w:t>
            </w:r>
          </w:p>
        </w:tc>
      </w:tr>
      <w:tr w14:paraId="3A8EA5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1646" w:type="dxa"/>
            <w:tcBorders>
              <w:left w:val="single" w:color="000000" w:sz="6" w:space="0"/>
            </w:tcBorders>
          </w:tcPr>
          <w:p w14:paraId="6C33834D">
            <w:pPr>
              <w:spacing w:before="102" w:line="220" w:lineRule="auto"/>
              <w:ind w:left="3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标准变更</w:t>
            </w:r>
          </w:p>
        </w:tc>
        <w:tc>
          <w:tcPr>
            <w:tcW w:w="1475" w:type="dxa"/>
            <w:tcBorders>
              <w:right w:val="single" w:color="000000" w:sz="6" w:space="0"/>
            </w:tcBorders>
          </w:tcPr>
          <w:p w14:paraId="2D2390B3">
            <w:pPr>
              <w:spacing w:before="215" w:line="163" w:lineRule="exact"/>
              <w:ind w:left="68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</w:t>
            </w:r>
          </w:p>
        </w:tc>
        <w:tc>
          <w:tcPr>
            <w:tcW w:w="5184" w:type="dxa"/>
            <w:tcBorders>
              <w:left w:val="single" w:color="000000" w:sz="6" w:space="0"/>
              <w:right w:val="single" w:color="000000" w:sz="6" w:space="0"/>
            </w:tcBorders>
          </w:tcPr>
          <w:p w14:paraId="168D6420">
            <w:pPr>
              <w:spacing w:before="215" w:line="163" w:lineRule="exact"/>
              <w:ind w:left="2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t>-</w:t>
            </w:r>
          </w:p>
        </w:tc>
      </w:tr>
    </w:tbl>
    <w:p w14:paraId="67FD5F4D">
      <w:pPr>
        <w:spacing w:before="115" w:line="218" w:lineRule="auto"/>
        <w:ind w:left="509"/>
      </w:pPr>
      <w:r>
        <w:rPr>
          <w:rFonts w:ascii="宋体" w:hAnsi="宋体" w:eastAsia="宋体" w:cs="宋体"/>
          <w:sz w:val="24"/>
          <w:szCs w:val="24"/>
        </w:rPr>
        <w:t>变更评估策略与技术支持合同相关，如有合同定</w:t>
      </w:r>
      <w:r>
        <w:rPr>
          <w:rFonts w:ascii="宋体" w:hAnsi="宋体" w:eastAsia="宋体" w:cs="宋体"/>
          <w:spacing w:val="-1"/>
          <w:sz w:val="24"/>
          <w:szCs w:val="24"/>
        </w:rPr>
        <w:t>义，则以合同定义为准。</w:t>
      </w:r>
    </w:p>
    <w:p w14:paraId="52264024">
      <w:pPr>
        <w:spacing w:before="325" w:line="221" w:lineRule="auto"/>
        <w:ind w:left="23"/>
        <w:outlineLvl w:val="1"/>
        <w:rPr>
          <w:rFonts w:ascii="黑体" w:hAnsi="黑体" w:eastAsia="黑体" w:cs="黑体"/>
          <w:sz w:val="30"/>
          <w:szCs w:val="30"/>
        </w:rPr>
      </w:pPr>
      <w:bookmarkStart w:id="7" w:name="bookmark7"/>
      <w:bookmarkEnd w:id="7"/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4.3</w:t>
      </w:r>
      <w:r>
        <w:rPr>
          <w:rFonts w:ascii="黑体" w:hAnsi="黑体" w:eastAsia="黑体" w:cs="黑体"/>
          <w:spacing w:val="15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裁剪策略</w:t>
      </w:r>
    </w:p>
    <w:p w14:paraId="5ABDA8A2">
      <w:pPr>
        <w:spacing w:before="78" w:line="365" w:lineRule="auto"/>
        <w:ind w:left="30" w:firstLine="48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项目经理应和客户商定变更的类型、评估策略。项目经理可根据项目环境裁剪本过程，报经公司管理层批准。</w:t>
      </w:r>
    </w:p>
    <w:p w14:paraId="07BE3A4D">
      <w:pPr>
        <w:spacing w:before="101" w:line="226" w:lineRule="auto"/>
        <w:ind w:left="25"/>
        <w:outlineLvl w:val="0"/>
        <w:rPr>
          <w:rFonts w:ascii="黑体" w:hAnsi="黑体" w:eastAsia="黑体" w:cs="黑体"/>
          <w:sz w:val="31"/>
          <w:szCs w:val="31"/>
        </w:rPr>
      </w:pPr>
      <w:bookmarkStart w:id="8" w:name="bookmark8"/>
      <w:bookmarkEnd w:id="8"/>
      <w:r>
        <w:rPr>
          <w:rFonts w:ascii="黑体" w:hAnsi="黑体" w:eastAsia="黑体" w:cs="黑体"/>
          <w:b/>
          <w:bCs/>
          <w:spacing w:val="3"/>
          <w:sz w:val="31"/>
          <w:szCs w:val="31"/>
        </w:rPr>
        <w:t>5</w:t>
      </w:r>
      <w:r>
        <w:rPr>
          <w:rFonts w:ascii="黑体" w:hAnsi="黑体" w:eastAsia="黑体" w:cs="黑体"/>
          <w:spacing w:val="31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3"/>
          <w:sz w:val="31"/>
          <w:szCs w:val="31"/>
        </w:rPr>
        <w:t>流程角色和职责</w:t>
      </w:r>
    </w:p>
    <w:p w14:paraId="4A76DE7D">
      <w:pPr>
        <w:spacing w:before="98" w:line="221" w:lineRule="auto"/>
        <w:ind w:left="24"/>
        <w:outlineLvl w:val="1"/>
        <w:rPr>
          <w:rFonts w:ascii="黑体" w:hAnsi="黑体" w:eastAsia="黑体" w:cs="黑体"/>
          <w:sz w:val="30"/>
          <w:szCs w:val="30"/>
        </w:rPr>
      </w:pPr>
      <w:bookmarkStart w:id="9" w:name="bookmark9"/>
      <w:bookmarkEnd w:id="9"/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5.1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变更顾问委员会（CAB）</w:t>
      </w:r>
    </w:p>
    <w:p w14:paraId="4A2AD516">
      <w:pPr>
        <w:spacing w:before="79" w:line="238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"/>
          <w:sz w:val="24"/>
          <w:szCs w:val="24"/>
        </w:rPr>
        <w:t>n</w:t>
      </w:r>
      <w:r>
        <w:rPr>
          <w:rFonts w:ascii="Wingdings" w:hAnsi="Wingdings" w:eastAsia="Wingdings" w:cs="Wingdings"/>
          <w:spacing w:val="-5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针对具体变更请求，评估是否批准通过并分派</w:t>
      </w:r>
      <w:r>
        <w:rPr>
          <w:rFonts w:ascii="宋体" w:hAnsi="宋体" w:eastAsia="宋体" w:cs="宋体"/>
          <w:spacing w:val="-2"/>
          <w:sz w:val="24"/>
          <w:szCs w:val="24"/>
        </w:rPr>
        <w:t>相应资源；</w:t>
      </w:r>
    </w:p>
    <w:p w14:paraId="476FB6E3">
      <w:pPr>
        <w:spacing w:before="163" w:line="238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9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9"/>
          <w:sz w:val="24"/>
          <w:szCs w:val="24"/>
        </w:rPr>
        <w:t>回顾评审所有提交的变更请求，并确保它们的潜在影响和风险得到评估；</w:t>
      </w:r>
    </w:p>
    <w:p w14:paraId="273D8060">
      <w:pPr>
        <w:spacing w:before="161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4"/>
          <w:sz w:val="24"/>
          <w:szCs w:val="24"/>
        </w:rPr>
        <w:t>回顾评审所有已执行的变更，确保满足变更目的；</w:t>
      </w:r>
    </w:p>
    <w:p w14:paraId="0DA2BD92">
      <w:pPr>
        <w:spacing w:before="162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"/>
          <w:sz w:val="24"/>
          <w:szCs w:val="24"/>
        </w:rPr>
        <w:t>n</w:t>
      </w:r>
      <w:r>
        <w:rPr>
          <w:rFonts w:ascii="Wingdings" w:hAnsi="Wingdings" w:eastAsia="Wingdings" w:cs="Wingdings"/>
          <w:spacing w:val="-4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0"/>
          <w:sz w:val="24"/>
          <w:szCs w:val="24"/>
        </w:rPr>
        <w:t>参加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0"/>
          <w:sz w:val="24"/>
          <w:szCs w:val="24"/>
        </w:rPr>
        <w:t>CAB 会议和紧急</w:t>
      </w:r>
      <w:r>
        <w:rPr>
          <w:rFonts w:ascii="宋体" w:hAnsi="宋体" w:eastAsia="宋体" w:cs="宋体"/>
          <w:spacing w:val="-2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0"/>
          <w:sz w:val="24"/>
          <w:szCs w:val="24"/>
        </w:rPr>
        <w:t>CAB 会议；</w:t>
      </w:r>
    </w:p>
    <w:p w14:paraId="5C3A2F7A">
      <w:pPr>
        <w:spacing w:before="160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指导服务台专员确定变更类型及变更计划。</w:t>
      </w:r>
    </w:p>
    <w:p w14:paraId="06FBB540">
      <w:pPr>
        <w:spacing w:before="98" w:line="221" w:lineRule="auto"/>
        <w:ind w:left="24"/>
        <w:outlineLvl w:val="1"/>
        <w:rPr>
          <w:rFonts w:ascii="黑体" w:hAnsi="黑体" w:eastAsia="黑体" w:cs="黑体"/>
          <w:sz w:val="30"/>
          <w:szCs w:val="30"/>
        </w:rPr>
      </w:pPr>
      <w:bookmarkStart w:id="10" w:name="bookmark10"/>
      <w:bookmarkEnd w:id="10"/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5.2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服务台专员</w:t>
      </w:r>
    </w:p>
    <w:p w14:paraId="74BEE3FA">
      <w:pPr>
        <w:spacing w:before="79" w:line="293" w:lineRule="auto"/>
        <w:ind w:left="869" w:right="120" w:hanging="349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3"/>
          <w:sz w:val="24"/>
          <w:szCs w:val="24"/>
        </w:rPr>
        <w:t>负责受理、记录变更请求，收集、记录相关信息，包括变更需求具体描</w:t>
      </w:r>
      <w:r>
        <w:rPr>
          <w:rFonts w:ascii="宋体" w:hAnsi="宋体" w:eastAsia="宋体" w:cs="宋体"/>
          <w:spacing w:val="-1"/>
          <w:sz w:val="24"/>
          <w:szCs w:val="24"/>
        </w:rPr>
        <w:t>述及相关环境信息等；</w:t>
      </w:r>
    </w:p>
    <w:p w14:paraId="7CDD295E">
      <w:pPr>
        <w:spacing w:before="172" w:line="293" w:lineRule="auto"/>
        <w:ind w:left="873" w:right="120" w:hanging="353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3"/>
          <w:sz w:val="24"/>
          <w:szCs w:val="24"/>
        </w:rPr>
        <w:t>负责对变更进行识别分类，并分派变更实施任务给相应工程师，对工程</w:t>
      </w:r>
      <w:r>
        <w:rPr>
          <w:rFonts w:ascii="宋体" w:hAnsi="宋体" w:eastAsia="宋体" w:cs="宋体"/>
          <w:spacing w:val="-1"/>
          <w:sz w:val="24"/>
          <w:szCs w:val="24"/>
        </w:rPr>
        <w:t>师进行协调，充分了解各工程师的工作负载及进度情况；</w:t>
      </w:r>
    </w:p>
    <w:p w14:paraId="330D726B">
      <w:pPr>
        <w:spacing w:before="170" w:line="294" w:lineRule="auto"/>
        <w:ind w:left="870" w:right="120" w:hanging="35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"/>
          <w:sz w:val="24"/>
          <w:szCs w:val="24"/>
        </w:rPr>
        <w:t>n</w:t>
      </w:r>
      <w:r>
        <w:rPr>
          <w:rFonts w:ascii="Wingdings" w:hAnsi="Wingdings" w:eastAsia="Wingdings" w:cs="Wingdings"/>
          <w:spacing w:val="-4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对工程师的变更实施过程进行管控，确保遵守相关流程、管理制度及工</w:t>
      </w:r>
      <w:r>
        <w:rPr>
          <w:rFonts w:ascii="宋体" w:hAnsi="宋体" w:eastAsia="宋体" w:cs="宋体"/>
          <w:spacing w:val="-2"/>
          <w:sz w:val="24"/>
          <w:szCs w:val="24"/>
        </w:rPr>
        <w:t>作规范要求。</w:t>
      </w:r>
    </w:p>
    <w:p w14:paraId="3E67309C">
      <w:pPr>
        <w:spacing w:before="97" w:line="221" w:lineRule="auto"/>
        <w:ind w:left="24"/>
        <w:outlineLvl w:val="1"/>
        <w:rPr>
          <w:rFonts w:ascii="黑体" w:hAnsi="黑体" w:eastAsia="黑体" w:cs="黑体"/>
          <w:sz w:val="30"/>
          <w:szCs w:val="30"/>
        </w:rPr>
      </w:pPr>
      <w:bookmarkStart w:id="11" w:name="bookmark11"/>
      <w:bookmarkEnd w:id="11"/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5.3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变更实施人员</w:t>
      </w:r>
    </w:p>
    <w:p w14:paraId="5AB9309B">
      <w:pPr>
        <w:spacing w:before="78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制定变更实施方案、变更实施计划；</w:t>
      </w:r>
    </w:p>
    <w:p w14:paraId="75A5155C">
      <w:pPr>
        <w:spacing w:before="159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纪录变更实施相关的信息，确保文档的完整性；</w:t>
      </w:r>
    </w:p>
    <w:p w14:paraId="62C1D897">
      <w:pPr>
        <w:spacing w:before="162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5"/>
          <w:sz w:val="24"/>
          <w:szCs w:val="24"/>
        </w:rPr>
        <w:t>n</w:t>
      </w:r>
      <w:r>
        <w:rPr>
          <w:rFonts w:ascii="Wingdings" w:hAnsi="Wingdings" w:eastAsia="Wingdings" w:cs="Wingdings"/>
          <w:spacing w:val="-3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负责实施和测试；</w:t>
      </w:r>
    </w:p>
    <w:p w14:paraId="6543483A">
      <w:pPr>
        <w:spacing w:before="160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变更完成后，进行监控，并记录监控结果；</w:t>
      </w:r>
    </w:p>
    <w:p w14:paraId="388659E2">
      <w:pPr>
        <w:spacing w:before="162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3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与服务台专员沟通，通报变更实施的进度和结果；</w:t>
      </w:r>
    </w:p>
    <w:p w14:paraId="0AF46066">
      <w:pPr>
        <w:spacing w:before="265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"/>
          <w:sz w:val="24"/>
          <w:szCs w:val="24"/>
        </w:rPr>
        <w:t>n</w:t>
      </w:r>
      <w:r>
        <w:rPr>
          <w:rFonts w:ascii="Wingdings" w:hAnsi="Wingdings" w:eastAsia="Wingdings" w:cs="Wingdings"/>
          <w:spacing w:val="-5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对变更实施过程的经验进行总结，形成知识文档提交到知识库中。</w:t>
      </w:r>
    </w:p>
    <w:p w14:paraId="1BD2D5B3">
      <w:pPr>
        <w:spacing w:before="101" w:line="226" w:lineRule="auto"/>
        <w:ind w:left="31"/>
        <w:outlineLvl w:val="0"/>
        <w:rPr>
          <w:rFonts w:ascii="黑体" w:hAnsi="黑体" w:eastAsia="黑体" w:cs="黑体"/>
          <w:sz w:val="31"/>
          <w:szCs w:val="31"/>
        </w:rPr>
      </w:pPr>
      <w:bookmarkStart w:id="12" w:name="bookmark12"/>
      <w:bookmarkEnd w:id="12"/>
      <w:r>
        <w:rPr>
          <w:rFonts w:ascii="黑体" w:hAnsi="黑体" w:eastAsia="黑体" w:cs="黑体"/>
          <w:b/>
          <w:bCs/>
          <w:sz w:val="31"/>
          <w:szCs w:val="31"/>
        </w:rPr>
        <w:t>6</w:t>
      </w:r>
      <w:r>
        <w:rPr>
          <w:rFonts w:ascii="黑体" w:hAnsi="黑体" w:eastAsia="黑体" w:cs="黑体"/>
          <w:spacing w:val="27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z w:val="31"/>
          <w:szCs w:val="31"/>
        </w:rPr>
        <w:t>流程描述</w:t>
      </w:r>
    </w:p>
    <w:p w14:paraId="60AD0A72">
      <w:pPr>
        <w:spacing w:before="98" w:line="221" w:lineRule="auto"/>
        <w:ind w:left="3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6.1</w:t>
      </w:r>
      <w:r>
        <w:rPr>
          <w:rFonts w:ascii="黑体" w:hAnsi="黑体" w:eastAsia="黑体" w:cs="黑体"/>
          <w:spacing w:val="18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流程图</w:t>
      </w:r>
    </w:p>
    <w:p w14:paraId="3C46DCE0">
      <w:pPr>
        <w:pStyle w:val="2"/>
        <w:spacing w:line="336" w:lineRule="auto"/>
      </w:pPr>
      <w:r>
        <w:drawing>
          <wp:inline distT="0" distB="0" distL="114300" distR="114300">
            <wp:extent cx="5293995" cy="3115310"/>
            <wp:effectExtent l="0" t="0" r="9525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3995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A81A1">
      <w:pPr>
        <w:spacing w:before="98" w:line="221" w:lineRule="auto"/>
        <w:ind w:left="30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6.2</w:t>
      </w:r>
      <w:r>
        <w:rPr>
          <w:rFonts w:ascii="黑体" w:hAnsi="黑体" w:eastAsia="黑体" w:cs="黑体"/>
          <w:spacing w:val="22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流程说明</w:t>
      </w:r>
    </w:p>
    <w:tbl>
      <w:tblPr>
        <w:tblStyle w:val="5"/>
        <w:tblW w:w="8265" w:type="dxa"/>
        <w:tblInd w:w="4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89"/>
        <w:gridCol w:w="3903"/>
        <w:gridCol w:w="1168"/>
        <w:gridCol w:w="899"/>
        <w:gridCol w:w="906"/>
      </w:tblGrid>
      <w:tr w14:paraId="17CAB2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4" w:hRule="atLeast"/>
        </w:trPr>
        <w:tc>
          <w:tcPr>
            <w:tcW w:w="1389" w:type="dxa"/>
            <w:shd w:val="clear" w:color="auto" w:fill="818181"/>
          </w:tcPr>
          <w:p w14:paraId="0424F031">
            <w:pPr>
              <w:spacing w:before="213" w:line="220" w:lineRule="auto"/>
              <w:ind w:left="4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活动</w:t>
            </w:r>
          </w:p>
        </w:tc>
        <w:tc>
          <w:tcPr>
            <w:tcW w:w="3903" w:type="dxa"/>
            <w:shd w:val="clear" w:color="auto" w:fill="818181"/>
          </w:tcPr>
          <w:p w14:paraId="2082077A">
            <w:pPr>
              <w:spacing w:before="214" w:line="221" w:lineRule="auto"/>
              <w:ind w:left="17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描述</w:t>
            </w:r>
          </w:p>
        </w:tc>
        <w:tc>
          <w:tcPr>
            <w:tcW w:w="1168" w:type="dxa"/>
            <w:shd w:val="clear" w:color="auto" w:fill="818181"/>
          </w:tcPr>
          <w:p w14:paraId="62D4A66D">
            <w:pPr>
              <w:spacing w:before="214" w:line="219" w:lineRule="auto"/>
              <w:ind w:left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责任人</w:t>
            </w:r>
          </w:p>
        </w:tc>
        <w:tc>
          <w:tcPr>
            <w:tcW w:w="899" w:type="dxa"/>
            <w:shd w:val="clear" w:color="auto" w:fill="818181"/>
          </w:tcPr>
          <w:p w14:paraId="2BA230B9">
            <w:pPr>
              <w:spacing w:before="214" w:line="219" w:lineRule="auto"/>
              <w:ind w:left="2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输入</w:t>
            </w:r>
          </w:p>
        </w:tc>
        <w:tc>
          <w:tcPr>
            <w:tcW w:w="906" w:type="dxa"/>
            <w:shd w:val="clear" w:color="auto" w:fill="818181"/>
          </w:tcPr>
          <w:p w14:paraId="35217B2B">
            <w:pPr>
              <w:spacing w:before="214" w:line="219" w:lineRule="auto"/>
              <w:ind w:left="2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输出</w:t>
            </w:r>
          </w:p>
        </w:tc>
      </w:tr>
      <w:tr w14:paraId="28A679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6" w:hRule="atLeast"/>
        </w:trPr>
        <w:tc>
          <w:tcPr>
            <w:tcW w:w="1389" w:type="dxa"/>
          </w:tcPr>
          <w:p w14:paraId="2C8FF5F1">
            <w:pPr>
              <w:spacing w:before="188" w:line="22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更</w:t>
            </w:r>
            <w:r>
              <w:rPr>
                <w:rFonts w:ascii="宋体" w:hAnsi="宋体" w:eastAsia="宋体" w:cs="宋体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确</w:t>
            </w:r>
            <w:r>
              <w:rPr>
                <w:rFonts w:ascii="宋体" w:hAnsi="宋体" w:eastAsia="宋体" w:cs="宋体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认</w:t>
            </w:r>
          </w:p>
          <w:p w14:paraId="469003DF">
            <w:pPr>
              <w:spacing w:before="114" w:line="291" w:lineRule="auto"/>
              <w:ind w:left="120" w:right="83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受</w:t>
            </w:r>
            <w:r>
              <w:rPr>
                <w:rFonts w:ascii="宋体" w:hAnsi="宋体" w:eastAsia="宋体" w:cs="宋体"/>
                <w:spacing w:val="-3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理</w:t>
            </w:r>
            <w:r>
              <w:rPr>
                <w:rFonts w:ascii="宋体" w:hAnsi="宋体" w:eastAsia="宋体" w:cs="宋体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和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记</w:t>
            </w:r>
            <w:r>
              <w:rPr>
                <w:rFonts w:ascii="宋体" w:hAnsi="宋体" w:eastAsia="宋体" w:cs="宋体"/>
                <w:sz w:val="24"/>
                <w:szCs w:val="24"/>
              </w:rPr>
              <w:t>录</w:t>
            </w:r>
          </w:p>
        </w:tc>
        <w:tc>
          <w:tcPr>
            <w:tcW w:w="3903" w:type="dxa"/>
          </w:tcPr>
          <w:p w14:paraId="553B0B8B">
            <w:pPr>
              <w:spacing w:before="191" w:line="296" w:lineRule="auto"/>
              <w:ind w:left="118" w:right="189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接受变更请求,检查变更请求的完整性和正确性，将变更请求登记到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《变更记录表》当中</w:t>
            </w:r>
          </w:p>
        </w:tc>
        <w:tc>
          <w:tcPr>
            <w:tcW w:w="1168" w:type="dxa"/>
          </w:tcPr>
          <w:p w14:paraId="521296D2">
            <w:pPr>
              <w:pStyle w:val="6"/>
              <w:spacing w:line="318" w:lineRule="auto"/>
            </w:pPr>
          </w:p>
          <w:p w14:paraId="6ECE2701">
            <w:pPr>
              <w:spacing w:before="78" w:line="314" w:lineRule="auto"/>
              <w:ind w:left="117" w:righ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服务台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899" w:type="dxa"/>
          </w:tcPr>
          <w:p w14:paraId="57959621">
            <w:pPr>
              <w:pStyle w:val="6"/>
              <w:spacing w:line="318" w:lineRule="auto"/>
            </w:pPr>
          </w:p>
          <w:p w14:paraId="0ACCF627">
            <w:pPr>
              <w:spacing w:before="78" w:line="314" w:lineRule="auto"/>
              <w:ind w:left="118" w:right="96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请求</w:t>
            </w:r>
          </w:p>
        </w:tc>
        <w:tc>
          <w:tcPr>
            <w:tcW w:w="906" w:type="dxa"/>
          </w:tcPr>
          <w:p w14:paraId="6053C49E">
            <w:pPr>
              <w:spacing w:before="192" w:line="221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</w:t>
            </w:r>
          </w:p>
          <w:p w14:paraId="63C9BB67">
            <w:pPr>
              <w:spacing w:before="111" w:line="290" w:lineRule="auto"/>
              <w:ind w:left="120" w:right="1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记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录</w:t>
            </w:r>
            <w:r>
              <w:rPr>
                <w:rFonts w:ascii="宋体" w:hAnsi="宋体" w:eastAsia="宋体" w:cs="宋体"/>
                <w:sz w:val="24"/>
                <w:szCs w:val="24"/>
              </w:rPr>
              <w:t>表</w:t>
            </w:r>
          </w:p>
        </w:tc>
      </w:tr>
      <w:tr w14:paraId="600E20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9" w:hRule="atLeast"/>
        </w:trPr>
        <w:tc>
          <w:tcPr>
            <w:tcW w:w="1389" w:type="dxa"/>
          </w:tcPr>
          <w:p w14:paraId="1C9CA68F">
            <w:pPr>
              <w:pStyle w:val="6"/>
              <w:spacing w:line="413" w:lineRule="auto"/>
            </w:pPr>
          </w:p>
          <w:p w14:paraId="7072FF0D">
            <w:pPr>
              <w:spacing w:before="78" w:line="314" w:lineRule="auto"/>
              <w:ind w:left="120" w:right="159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36"/>
                <w:sz w:val="24"/>
                <w:szCs w:val="24"/>
              </w:rPr>
              <w:t>变更类型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>识别</w:t>
            </w:r>
          </w:p>
        </w:tc>
        <w:tc>
          <w:tcPr>
            <w:tcW w:w="3903" w:type="dxa"/>
          </w:tcPr>
          <w:p w14:paraId="57DD404B">
            <w:pPr>
              <w:spacing w:before="293" w:line="312" w:lineRule="auto"/>
              <w:ind w:left="120" w:right="9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按照变更类型策略定义识别判断变更类型，按照变更评估要求分别提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交给不同人员进行变更评估</w:t>
            </w:r>
          </w:p>
        </w:tc>
        <w:tc>
          <w:tcPr>
            <w:tcW w:w="1168" w:type="dxa"/>
          </w:tcPr>
          <w:p w14:paraId="298FEE35">
            <w:pPr>
              <w:pStyle w:val="6"/>
              <w:spacing w:line="413" w:lineRule="auto"/>
            </w:pPr>
          </w:p>
          <w:p w14:paraId="107A4A73">
            <w:pPr>
              <w:spacing w:before="78" w:line="314" w:lineRule="auto"/>
              <w:ind w:left="117" w:righ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服务台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899" w:type="dxa"/>
          </w:tcPr>
          <w:p w14:paraId="6966E88C">
            <w:pPr>
              <w:spacing w:before="293" w:line="22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</w:t>
            </w:r>
          </w:p>
          <w:p w14:paraId="0C259E94">
            <w:pPr>
              <w:spacing w:before="113" w:line="315" w:lineRule="auto"/>
              <w:ind w:left="119" w:right="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记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录</w:t>
            </w:r>
            <w:r>
              <w:rPr>
                <w:rFonts w:ascii="宋体" w:hAnsi="宋体" w:eastAsia="宋体" w:cs="宋体"/>
                <w:sz w:val="24"/>
                <w:szCs w:val="24"/>
              </w:rPr>
              <w:t>表</w:t>
            </w:r>
          </w:p>
        </w:tc>
        <w:tc>
          <w:tcPr>
            <w:tcW w:w="906" w:type="dxa"/>
          </w:tcPr>
          <w:p w14:paraId="33E8890A">
            <w:pPr>
              <w:spacing w:before="293" w:line="221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</w:t>
            </w:r>
          </w:p>
          <w:p w14:paraId="06192C19">
            <w:pPr>
              <w:spacing w:before="113" w:line="315" w:lineRule="auto"/>
              <w:ind w:left="120" w:right="1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记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录</w:t>
            </w:r>
            <w:r>
              <w:rPr>
                <w:rFonts w:ascii="宋体" w:hAnsi="宋体" w:eastAsia="宋体" w:cs="宋体"/>
                <w:sz w:val="24"/>
                <w:szCs w:val="24"/>
              </w:rPr>
              <w:t>表</w:t>
            </w:r>
          </w:p>
        </w:tc>
      </w:tr>
      <w:tr w14:paraId="4E3802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1389" w:type="dxa"/>
          </w:tcPr>
          <w:p w14:paraId="59285EB9">
            <w:pPr>
              <w:pStyle w:val="6"/>
              <w:spacing w:line="264" w:lineRule="auto"/>
            </w:pPr>
          </w:p>
          <w:p w14:paraId="4B2B0572">
            <w:pPr>
              <w:spacing w:before="78" w:line="315" w:lineRule="auto"/>
              <w:ind w:left="119" w:right="1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36"/>
                <w:sz w:val="24"/>
                <w:szCs w:val="24"/>
              </w:rPr>
              <w:t>评估是否批准变更</w:t>
            </w:r>
          </w:p>
        </w:tc>
        <w:tc>
          <w:tcPr>
            <w:tcW w:w="3903" w:type="dxa"/>
          </w:tcPr>
          <w:p w14:paraId="12714330">
            <w:pPr>
              <w:pStyle w:val="6"/>
              <w:spacing w:line="266" w:lineRule="auto"/>
            </w:pPr>
          </w:p>
          <w:p w14:paraId="4CF28578">
            <w:pPr>
              <w:spacing w:before="78" w:line="313" w:lineRule="auto"/>
              <w:ind w:left="119" w:right="429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变更评估人员对变更请求进行分析，评估是否通过批准变更</w:t>
            </w:r>
          </w:p>
        </w:tc>
        <w:tc>
          <w:tcPr>
            <w:tcW w:w="1168" w:type="dxa"/>
          </w:tcPr>
          <w:p w14:paraId="4B40EA1E">
            <w:pPr>
              <w:pStyle w:val="6"/>
              <w:spacing w:line="250" w:lineRule="auto"/>
            </w:pPr>
          </w:p>
          <w:p w14:paraId="4BC6253D">
            <w:pPr>
              <w:pStyle w:val="6"/>
              <w:spacing w:line="250" w:lineRule="auto"/>
            </w:pPr>
          </w:p>
          <w:p w14:paraId="328C9BF1">
            <w:pPr>
              <w:spacing w:before="78" w:line="185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CAB</w:t>
            </w:r>
          </w:p>
        </w:tc>
        <w:tc>
          <w:tcPr>
            <w:tcW w:w="899" w:type="dxa"/>
          </w:tcPr>
          <w:p w14:paraId="2AFD5B0D">
            <w:pPr>
              <w:spacing w:before="143" w:line="22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</w:t>
            </w:r>
          </w:p>
          <w:p w14:paraId="7B47E3FF">
            <w:pPr>
              <w:spacing w:before="113" w:line="270" w:lineRule="auto"/>
              <w:ind w:left="119" w:right="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记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录</w:t>
            </w:r>
            <w:r>
              <w:rPr>
                <w:rFonts w:ascii="宋体" w:hAnsi="宋体" w:eastAsia="宋体" w:cs="宋体"/>
                <w:sz w:val="24"/>
                <w:szCs w:val="24"/>
              </w:rPr>
              <w:t>表</w:t>
            </w:r>
          </w:p>
        </w:tc>
        <w:tc>
          <w:tcPr>
            <w:tcW w:w="906" w:type="dxa"/>
          </w:tcPr>
          <w:p w14:paraId="0A647563">
            <w:pPr>
              <w:spacing w:before="143" w:line="221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</w:t>
            </w:r>
          </w:p>
          <w:p w14:paraId="772DAD17">
            <w:pPr>
              <w:spacing w:before="113" w:line="270" w:lineRule="auto"/>
              <w:ind w:left="120" w:right="1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记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录</w:t>
            </w:r>
            <w:r>
              <w:rPr>
                <w:rFonts w:ascii="宋体" w:hAnsi="宋体" w:eastAsia="宋体" w:cs="宋体"/>
                <w:sz w:val="24"/>
                <w:szCs w:val="24"/>
              </w:rPr>
              <w:t>表</w:t>
            </w:r>
          </w:p>
        </w:tc>
      </w:tr>
      <w:tr w14:paraId="38F799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1" w:hRule="atLeast"/>
        </w:trPr>
        <w:tc>
          <w:tcPr>
            <w:tcW w:w="1389" w:type="dxa"/>
          </w:tcPr>
          <w:p w14:paraId="4BC12A9D">
            <w:pPr>
              <w:pStyle w:val="6"/>
              <w:spacing w:line="264" w:lineRule="auto"/>
            </w:pPr>
          </w:p>
          <w:p w14:paraId="25B9793E">
            <w:pPr>
              <w:spacing w:before="78" w:line="314" w:lineRule="auto"/>
              <w:ind w:left="131" w:right="159" w:hanging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35"/>
                <w:sz w:val="24"/>
                <w:szCs w:val="24"/>
              </w:rPr>
              <w:t>获取客户</w:t>
            </w:r>
            <w:r>
              <w:rPr>
                <w:rFonts w:ascii="宋体" w:hAnsi="宋体" w:eastAsia="宋体" w:cs="宋体"/>
                <w:spacing w:val="32"/>
                <w:sz w:val="24"/>
                <w:szCs w:val="24"/>
              </w:rPr>
              <w:t>审批授权</w:t>
            </w:r>
          </w:p>
        </w:tc>
        <w:tc>
          <w:tcPr>
            <w:tcW w:w="3903" w:type="dxa"/>
          </w:tcPr>
          <w:p w14:paraId="1A95179D">
            <w:pPr>
              <w:pStyle w:val="6"/>
              <w:spacing w:line="264" w:lineRule="auto"/>
            </w:pPr>
          </w:p>
          <w:p w14:paraId="3C86FFEB">
            <w:pPr>
              <w:spacing w:before="78" w:line="314" w:lineRule="auto"/>
              <w:ind w:left="118" w:right="189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在客户内部通过审批流程，获得客户对变更实施的审批授权</w:t>
            </w:r>
          </w:p>
        </w:tc>
        <w:tc>
          <w:tcPr>
            <w:tcW w:w="1168" w:type="dxa"/>
          </w:tcPr>
          <w:p w14:paraId="65342B94">
            <w:pPr>
              <w:spacing w:before="139" w:line="221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变更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实施人</w:t>
            </w:r>
            <w:r>
              <w:rPr>
                <w:rFonts w:ascii="宋体" w:hAnsi="宋体" w:eastAsia="宋体" w:cs="宋体"/>
                <w:sz w:val="24"/>
                <w:szCs w:val="24"/>
              </w:rPr>
              <w:t>员</w:t>
            </w:r>
          </w:p>
        </w:tc>
        <w:tc>
          <w:tcPr>
            <w:tcW w:w="899" w:type="dxa"/>
          </w:tcPr>
          <w:p w14:paraId="622EA937">
            <w:pPr>
              <w:pStyle w:val="6"/>
            </w:pPr>
          </w:p>
        </w:tc>
        <w:tc>
          <w:tcPr>
            <w:tcW w:w="906" w:type="dxa"/>
          </w:tcPr>
          <w:p w14:paraId="464C49E9">
            <w:pPr>
              <w:pStyle w:val="6"/>
            </w:pPr>
          </w:p>
        </w:tc>
      </w:tr>
      <w:tr w14:paraId="6367DD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04" w:hRule="atLeast"/>
        </w:trPr>
        <w:tc>
          <w:tcPr>
            <w:tcW w:w="1389" w:type="dxa"/>
          </w:tcPr>
          <w:p w14:paraId="749A90FF">
            <w:pPr>
              <w:spacing w:before="117" w:line="221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通</w:t>
            </w:r>
            <w:r>
              <w:rPr>
                <w:rFonts w:ascii="宋体" w:hAnsi="宋体" w:eastAsia="宋体" w:cs="宋体"/>
                <w:spacing w:val="-2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知</w:t>
            </w:r>
            <w:r>
              <w:rPr>
                <w:rFonts w:ascii="宋体" w:hAnsi="宋体" w:eastAsia="宋体" w:cs="宋体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更</w:t>
            </w:r>
          </w:p>
          <w:p w14:paraId="53836123">
            <w:pPr>
              <w:spacing w:before="116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发</w:t>
            </w:r>
            <w:r>
              <w:rPr>
                <w:rFonts w:ascii="宋体" w:hAnsi="宋体" w:eastAsia="宋体" w:cs="宋体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起</w:t>
            </w:r>
            <w:r>
              <w:rPr>
                <w:rFonts w:ascii="宋体" w:hAnsi="宋体" w:eastAsia="宋体" w:cs="宋体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人</w:t>
            </w:r>
            <w:r>
              <w:rPr>
                <w:rFonts w:ascii="宋体" w:hAnsi="宋体" w:eastAsia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并</w:t>
            </w:r>
          </w:p>
          <w:p w14:paraId="7A8DB755">
            <w:pPr>
              <w:spacing w:before="119" w:line="257" w:lineRule="auto"/>
              <w:ind w:left="122" w:right="1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35"/>
                <w:sz w:val="24"/>
                <w:szCs w:val="24"/>
              </w:rPr>
              <w:t>说明变更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关闭原因</w:t>
            </w:r>
          </w:p>
        </w:tc>
        <w:tc>
          <w:tcPr>
            <w:tcW w:w="3903" w:type="dxa"/>
          </w:tcPr>
          <w:p w14:paraId="3F1F6F6D">
            <w:pPr>
              <w:pStyle w:val="6"/>
              <w:spacing w:line="439" w:lineRule="auto"/>
            </w:pPr>
          </w:p>
          <w:p w14:paraId="6D3E22C0">
            <w:pPr>
              <w:spacing w:before="78" w:line="313" w:lineRule="auto"/>
              <w:ind w:left="117" w:right="189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将变更不批准通过的原因详细告知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变更发起人</w:t>
            </w:r>
          </w:p>
        </w:tc>
        <w:tc>
          <w:tcPr>
            <w:tcW w:w="1168" w:type="dxa"/>
          </w:tcPr>
          <w:p w14:paraId="50FDEDEC">
            <w:pPr>
              <w:pStyle w:val="6"/>
              <w:spacing w:line="439" w:lineRule="auto"/>
            </w:pPr>
          </w:p>
          <w:p w14:paraId="0BC3211F">
            <w:pPr>
              <w:spacing w:before="78" w:line="313" w:lineRule="auto"/>
              <w:ind w:left="117" w:righ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服务台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专员</w:t>
            </w:r>
          </w:p>
        </w:tc>
        <w:tc>
          <w:tcPr>
            <w:tcW w:w="899" w:type="dxa"/>
          </w:tcPr>
          <w:p w14:paraId="7B78144D">
            <w:pPr>
              <w:pStyle w:val="6"/>
            </w:pPr>
          </w:p>
        </w:tc>
        <w:tc>
          <w:tcPr>
            <w:tcW w:w="906" w:type="dxa"/>
          </w:tcPr>
          <w:p w14:paraId="3540F78A">
            <w:pPr>
              <w:pStyle w:val="6"/>
            </w:pPr>
          </w:p>
        </w:tc>
      </w:tr>
      <w:tr w14:paraId="7C0C13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04" w:hRule="atLeast"/>
        </w:trPr>
        <w:tc>
          <w:tcPr>
            <w:tcW w:w="1389" w:type="dxa"/>
          </w:tcPr>
          <w:p w14:paraId="56F79E77">
            <w:pPr>
              <w:pStyle w:val="6"/>
              <w:spacing w:line="241" w:lineRule="auto"/>
            </w:pPr>
          </w:p>
          <w:p w14:paraId="7CF6A9DD">
            <w:pPr>
              <w:spacing w:before="78" w:line="317" w:lineRule="auto"/>
              <w:ind w:left="119" w:right="72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变更测试、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实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施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及</w:t>
            </w:r>
            <w:r>
              <w:rPr>
                <w:rFonts w:ascii="宋体" w:hAnsi="宋体" w:eastAsia="宋体" w:cs="宋体"/>
                <w:spacing w:val="-3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验</w:t>
            </w:r>
            <w:r>
              <w:rPr>
                <w:rFonts w:ascii="宋体" w:hAnsi="宋体" w:eastAsia="宋体" w:cs="宋体"/>
                <w:sz w:val="24"/>
                <w:szCs w:val="24"/>
              </w:rPr>
              <w:t>证</w:t>
            </w:r>
          </w:p>
        </w:tc>
        <w:tc>
          <w:tcPr>
            <w:tcW w:w="3903" w:type="dxa"/>
          </w:tcPr>
          <w:p w14:paraId="75779025">
            <w:pPr>
              <w:spacing w:before="117" w:line="284" w:lineRule="auto"/>
              <w:ind w:left="123" w:right="49" w:hanging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准备变更实施工作，包括方案编写、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资源协调及测试等，按照变更方案实施变更操作和验证，并评估是否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需要触发发布管理流程</w:t>
            </w:r>
          </w:p>
        </w:tc>
        <w:tc>
          <w:tcPr>
            <w:tcW w:w="1168" w:type="dxa"/>
          </w:tcPr>
          <w:p w14:paraId="6C28C1E3">
            <w:pPr>
              <w:pStyle w:val="6"/>
            </w:pPr>
          </w:p>
          <w:p w14:paraId="46980DCC">
            <w:pPr>
              <w:spacing w:before="78" w:line="221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变更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实施人</w:t>
            </w:r>
            <w:r>
              <w:rPr>
                <w:rFonts w:ascii="宋体" w:hAnsi="宋体" w:eastAsia="宋体" w:cs="宋体"/>
                <w:sz w:val="24"/>
                <w:szCs w:val="24"/>
              </w:rPr>
              <w:t>员</w:t>
            </w:r>
          </w:p>
        </w:tc>
        <w:tc>
          <w:tcPr>
            <w:tcW w:w="899" w:type="dxa"/>
          </w:tcPr>
          <w:p w14:paraId="12572F23">
            <w:pPr>
              <w:pStyle w:val="6"/>
            </w:pPr>
          </w:p>
          <w:p w14:paraId="26CDFBD2">
            <w:pPr>
              <w:spacing w:before="78" w:line="313" w:lineRule="auto"/>
              <w:ind w:left="120" w:right="9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更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实</w:t>
            </w:r>
            <w:r>
              <w:rPr>
                <w:rFonts w:ascii="宋体" w:hAnsi="宋体" w:eastAsia="宋体" w:cs="宋体"/>
                <w:spacing w:val="9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施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方案</w:t>
            </w:r>
          </w:p>
        </w:tc>
        <w:tc>
          <w:tcPr>
            <w:tcW w:w="906" w:type="dxa"/>
          </w:tcPr>
          <w:p w14:paraId="217CD595">
            <w:pPr>
              <w:pStyle w:val="6"/>
              <w:spacing w:line="241" w:lineRule="auto"/>
            </w:pPr>
          </w:p>
          <w:p w14:paraId="7AAA865B">
            <w:pPr>
              <w:spacing w:before="78" w:line="312" w:lineRule="auto"/>
              <w:ind w:left="119" w:right="102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实</w:t>
            </w:r>
            <w:r>
              <w:rPr>
                <w:rFonts w:ascii="宋体" w:hAnsi="宋体" w:eastAsia="宋体" w:cs="宋体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施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报告</w:t>
            </w:r>
          </w:p>
        </w:tc>
      </w:tr>
      <w:tr w14:paraId="0B3D11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3" w:hRule="atLeast"/>
        </w:trPr>
        <w:tc>
          <w:tcPr>
            <w:tcW w:w="1389" w:type="dxa"/>
          </w:tcPr>
          <w:p w14:paraId="71BA75FA">
            <w:pPr>
              <w:pStyle w:val="6"/>
              <w:spacing w:line="443" w:lineRule="auto"/>
            </w:pPr>
          </w:p>
          <w:p w14:paraId="113471C4">
            <w:pPr>
              <w:spacing w:before="78" w:line="219" w:lineRule="auto"/>
              <w:ind w:left="1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回退操作</w:t>
            </w:r>
          </w:p>
        </w:tc>
        <w:tc>
          <w:tcPr>
            <w:tcW w:w="3903" w:type="dxa"/>
          </w:tcPr>
          <w:p w14:paraId="1C514C9A">
            <w:pPr>
              <w:pStyle w:val="6"/>
            </w:pPr>
          </w:p>
          <w:p w14:paraId="0E03542B">
            <w:pPr>
              <w:spacing w:before="78" w:line="314" w:lineRule="auto"/>
              <w:ind w:left="119" w:right="189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对于变更操作实施失败的，按照方案准备的回退进行回滚操作</w:t>
            </w:r>
          </w:p>
        </w:tc>
        <w:tc>
          <w:tcPr>
            <w:tcW w:w="1168" w:type="dxa"/>
          </w:tcPr>
          <w:p w14:paraId="03C17728">
            <w:pPr>
              <w:spacing w:before="117" w:line="221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变更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实施人</w:t>
            </w:r>
            <w:r>
              <w:rPr>
                <w:rFonts w:ascii="宋体" w:hAnsi="宋体" w:eastAsia="宋体" w:cs="宋体"/>
                <w:sz w:val="24"/>
                <w:szCs w:val="24"/>
              </w:rPr>
              <w:t>员</w:t>
            </w:r>
          </w:p>
        </w:tc>
        <w:tc>
          <w:tcPr>
            <w:tcW w:w="899" w:type="dxa"/>
          </w:tcPr>
          <w:p w14:paraId="4741D292">
            <w:pPr>
              <w:spacing w:before="117" w:line="22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</w:t>
            </w:r>
          </w:p>
          <w:p w14:paraId="759E44E7">
            <w:pPr>
              <w:spacing w:before="114" w:line="259" w:lineRule="auto"/>
              <w:ind w:left="121" w:right="96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实</w:t>
            </w:r>
            <w:r>
              <w:rPr>
                <w:rFonts w:ascii="宋体" w:hAnsi="宋体" w:eastAsia="宋体" w:cs="宋体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施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方案</w:t>
            </w:r>
          </w:p>
        </w:tc>
        <w:tc>
          <w:tcPr>
            <w:tcW w:w="906" w:type="dxa"/>
          </w:tcPr>
          <w:p w14:paraId="72E65577">
            <w:pPr>
              <w:spacing w:before="117" w:line="221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</w:t>
            </w:r>
          </w:p>
          <w:p w14:paraId="630B14E8">
            <w:pPr>
              <w:spacing w:before="114" w:line="259" w:lineRule="auto"/>
              <w:ind w:left="119" w:right="102" w:firstLine="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实</w:t>
            </w:r>
            <w:r>
              <w:rPr>
                <w:rFonts w:ascii="宋体" w:hAnsi="宋体" w:eastAsia="宋体" w:cs="宋体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施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报告</w:t>
            </w:r>
          </w:p>
        </w:tc>
      </w:tr>
      <w:tr w14:paraId="2C9E96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4" w:hRule="atLeast"/>
        </w:trPr>
        <w:tc>
          <w:tcPr>
            <w:tcW w:w="1389" w:type="dxa"/>
          </w:tcPr>
          <w:p w14:paraId="4128FAEF">
            <w:pPr>
              <w:pStyle w:val="6"/>
              <w:spacing w:line="244" w:lineRule="auto"/>
            </w:pPr>
          </w:p>
          <w:p w14:paraId="3257FBA7">
            <w:pPr>
              <w:spacing w:before="78" w:line="312" w:lineRule="auto"/>
              <w:ind w:left="122" w:right="1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35"/>
                <w:sz w:val="24"/>
                <w:szCs w:val="24"/>
              </w:rPr>
              <w:t>更新配置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>项</w:t>
            </w:r>
            <w:r>
              <w:rPr>
                <w:rFonts w:ascii="宋体" w:hAnsi="宋体" w:eastAsia="宋体" w:cs="宋体"/>
                <w:spacing w:val="-6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>信息</w:t>
            </w:r>
          </w:p>
        </w:tc>
        <w:tc>
          <w:tcPr>
            <w:tcW w:w="3903" w:type="dxa"/>
          </w:tcPr>
          <w:p w14:paraId="339E06C9">
            <w:pPr>
              <w:pStyle w:val="6"/>
              <w:spacing w:line="243" w:lineRule="auto"/>
            </w:pPr>
          </w:p>
          <w:p w14:paraId="5F1F26A4">
            <w:pPr>
              <w:spacing w:before="78" w:line="313" w:lineRule="auto"/>
              <w:ind w:left="128" w:right="189" w:hanging="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将变更实施过程中的相应配置项信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息进行更新</w:t>
            </w:r>
          </w:p>
        </w:tc>
        <w:tc>
          <w:tcPr>
            <w:tcW w:w="1168" w:type="dxa"/>
          </w:tcPr>
          <w:p w14:paraId="52D48EB4">
            <w:pPr>
              <w:spacing w:before="119" w:line="221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变更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实施人</w:t>
            </w:r>
            <w:r>
              <w:rPr>
                <w:rFonts w:ascii="宋体" w:hAnsi="宋体" w:eastAsia="宋体" w:cs="宋体"/>
                <w:sz w:val="24"/>
                <w:szCs w:val="24"/>
              </w:rPr>
              <w:t>员</w:t>
            </w:r>
          </w:p>
        </w:tc>
        <w:tc>
          <w:tcPr>
            <w:tcW w:w="899" w:type="dxa"/>
          </w:tcPr>
          <w:p w14:paraId="132A6769">
            <w:pPr>
              <w:pStyle w:val="6"/>
            </w:pPr>
          </w:p>
        </w:tc>
        <w:tc>
          <w:tcPr>
            <w:tcW w:w="906" w:type="dxa"/>
          </w:tcPr>
          <w:p w14:paraId="6593405C">
            <w:pPr>
              <w:spacing w:before="119" w:line="223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</w:t>
            </w:r>
            <w:r>
              <w:rPr>
                <w:rFonts w:ascii="宋体" w:hAnsi="宋体" w:eastAsia="宋体" w:cs="宋体"/>
                <w:spacing w:val="9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置</w:t>
            </w:r>
          </w:p>
          <w:p w14:paraId="4F0413E3">
            <w:pPr>
              <w:spacing w:before="111" w:line="259" w:lineRule="auto"/>
              <w:ind w:left="131" w:right="102" w:hanging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项</w:t>
            </w:r>
            <w:r>
              <w:rPr>
                <w:rFonts w:ascii="宋体" w:hAnsi="宋体" w:eastAsia="宋体" w:cs="宋体"/>
                <w:spacing w:val="9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信</w:t>
            </w:r>
            <w:r>
              <w:rPr>
                <w:rFonts w:ascii="宋体" w:hAnsi="宋体" w:eastAsia="宋体" w:cs="宋体"/>
                <w:sz w:val="24"/>
                <w:szCs w:val="24"/>
              </w:rPr>
              <w:t>息</w:t>
            </w:r>
          </w:p>
        </w:tc>
      </w:tr>
      <w:tr w14:paraId="343F3A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4" w:hRule="atLeast"/>
        </w:trPr>
        <w:tc>
          <w:tcPr>
            <w:tcW w:w="1389" w:type="dxa"/>
          </w:tcPr>
          <w:p w14:paraId="2552DC7D">
            <w:pPr>
              <w:spacing w:before="121" w:line="275" w:lineRule="auto"/>
              <w:ind w:left="121" w:right="7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生</w:t>
            </w:r>
            <w:r>
              <w:rPr>
                <w:rFonts w:ascii="宋体" w:hAnsi="宋体" w:eastAsia="宋体" w:cs="宋体"/>
                <w:spacing w:val="-5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成</w:t>
            </w:r>
            <w:r>
              <w:rPr>
                <w:rFonts w:ascii="宋体" w:hAnsi="宋体" w:eastAsia="宋体" w:cs="宋体"/>
                <w:spacing w:val="-5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知识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文档，提交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知识库</w:t>
            </w:r>
          </w:p>
        </w:tc>
        <w:tc>
          <w:tcPr>
            <w:tcW w:w="3903" w:type="dxa"/>
          </w:tcPr>
          <w:p w14:paraId="65CD4364">
            <w:pPr>
              <w:pStyle w:val="6"/>
              <w:spacing w:line="245" w:lineRule="auto"/>
            </w:pPr>
          </w:p>
          <w:p w14:paraId="69C88923">
            <w:pPr>
              <w:spacing w:before="78" w:line="312" w:lineRule="auto"/>
              <w:ind w:left="120" w:right="189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总结变更实施过程的经验，形成知识文档提交到知识库</w:t>
            </w:r>
          </w:p>
        </w:tc>
        <w:tc>
          <w:tcPr>
            <w:tcW w:w="1168" w:type="dxa"/>
          </w:tcPr>
          <w:p w14:paraId="7ABE51DE">
            <w:pPr>
              <w:spacing w:before="119" w:line="221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变更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实</w:t>
            </w:r>
            <w:bookmarkStart w:id="15" w:name="_GoBack"/>
            <w:bookmarkEnd w:id="15"/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施人</w:t>
            </w:r>
            <w:r>
              <w:rPr>
                <w:rFonts w:ascii="宋体" w:hAnsi="宋体" w:eastAsia="宋体" w:cs="宋体"/>
                <w:sz w:val="24"/>
                <w:szCs w:val="24"/>
              </w:rPr>
              <w:t>员</w:t>
            </w:r>
          </w:p>
        </w:tc>
        <w:tc>
          <w:tcPr>
            <w:tcW w:w="899" w:type="dxa"/>
          </w:tcPr>
          <w:p w14:paraId="53742CE8">
            <w:pPr>
              <w:spacing w:before="119" w:line="22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</w:t>
            </w:r>
          </w:p>
          <w:p w14:paraId="25BDC656">
            <w:pPr>
              <w:spacing w:before="113" w:line="259" w:lineRule="auto"/>
              <w:ind w:left="118" w:right="96" w:firstLine="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实</w:t>
            </w:r>
            <w:r>
              <w:rPr>
                <w:rFonts w:ascii="宋体" w:hAnsi="宋体" w:eastAsia="宋体" w:cs="宋体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施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报告</w:t>
            </w:r>
          </w:p>
        </w:tc>
        <w:tc>
          <w:tcPr>
            <w:tcW w:w="906" w:type="dxa"/>
          </w:tcPr>
          <w:p w14:paraId="23C6A705">
            <w:pPr>
              <w:pStyle w:val="6"/>
              <w:spacing w:line="245" w:lineRule="auto"/>
            </w:pPr>
          </w:p>
          <w:p w14:paraId="2932F6A3">
            <w:pPr>
              <w:spacing w:before="78" w:line="312" w:lineRule="auto"/>
              <w:ind w:left="123" w:right="102" w:firstLine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知</w:t>
            </w:r>
            <w:r>
              <w:rPr>
                <w:rFonts w:ascii="宋体" w:hAnsi="宋体" w:eastAsia="宋体" w:cs="宋体"/>
                <w:spacing w:val="9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识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文档</w:t>
            </w:r>
          </w:p>
        </w:tc>
      </w:tr>
      <w:tr w14:paraId="6C572C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09" w:hRule="atLeast"/>
        </w:trPr>
        <w:tc>
          <w:tcPr>
            <w:tcW w:w="1389" w:type="dxa"/>
          </w:tcPr>
          <w:p w14:paraId="6D110904">
            <w:pPr>
              <w:pStyle w:val="6"/>
              <w:spacing w:line="442" w:lineRule="auto"/>
            </w:pPr>
          </w:p>
          <w:p w14:paraId="43B9E671">
            <w:pPr>
              <w:spacing w:before="78" w:line="313" w:lineRule="auto"/>
              <w:ind w:left="119" w:right="1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36"/>
                <w:sz w:val="24"/>
                <w:szCs w:val="24"/>
              </w:rPr>
              <w:t>变更回顾</w:t>
            </w:r>
            <w:r>
              <w:rPr>
                <w:rFonts w:ascii="宋体" w:hAnsi="宋体" w:eastAsia="宋体" w:cs="宋体"/>
                <w:spacing w:val="31"/>
                <w:sz w:val="24"/>
                <w:szCs w:val="24"/>
              </w:rPr>
              <w:t>评审</w:t>
            </w:r>
          </w:p>
        </w:tc>
        <w:tc>
          <w:tcPr>
            <w:tcW w:w="3903" w:type="dxa"/>
          </w:tcPr>
          <w:p w14:paraId="2B31A466">
            <w:pPr>
              <w:spacing w:before="122" w:line="284" w:lineRule="auto"/>
              <w:ind w:left="116" w:right="90" w:firstLine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按变更的风险级别由变更委员会对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>变更的绩效和改进记录进行评审，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评审结果应妥善保管并作为服务改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进计划的输入</w:t>
            </w:r>
          </w:p>
        </w:tc>
        <w:tc>
          <w:tcPr>
            <w:tcW w:w="1168" w:type="dxa"/>
          </w:tcPr>
          <w:p w14:paraId="7BB6D111">
            <w:pPr>
              <w:pStyle w:val="6"/>
              <w:spacing w:line="341" w:lineRule="auto"/>
            </w:pPr>
          </w:p>
          <w:p w14:paraId="3EBF462B">
            <w:pPr>
              <w:pStyle w:val="6"/>
              <w:spacing w:line="342" w:lineRule="auto"/>
            </w:pPr>
          </w:p>
          <w:p w14:paraId="4C584734">
            <w:pPr>
              <w:spacing w:before="78" w:line="185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CAB</w:t>
            </w:r>
          </w:p>
        </w:tc>
        <w:tc>
          <w:tcPr>
            <w:tcW w:w="899" w:type="dxa"/>
          </w:tcPr>
          <w:p w14:paraId="0F5D61EF">
            <w:pPr>
              <w:pStyle w:val="6"/>
              <w:spacing w:line="245" w:lineRule="auto"/>
            </w:pPr>
          </w:p>
          <w:p w14:paraId="28E64D58">
            <w:pPr>
              <w:spacing w:before="78" w:line="312" w:lineRule="auto"/>
              <w:ind w:left="118" w:right="96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实</w:t>
            </w:r>
            <w:r>
              <w:rPr>
                <w:rFonts w:ascii="宋体" w:hAnsi="宋体" w:eastAsia="宋体" w:cs="宋体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施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报告</w:t>
            </w:r>
          </w:p>
        </w:tc>
        <w:tc>
          <w:tcPr>
            <w:tcW w:w="906" w:type="dxa"/>
          </w:tcPr>
          <w:p w14:paraId="70B2A839">
            <w:pPr>
              <w:pStyle w:val="6"/>
              <w:spacing w:line="245" w:lineRule="auto"/>
            </w:pPr>
          </w:p>
          <w:p w14:paraId="1993D2B3">
            <w:pPr>
              <w:spacing w:before="78" w:line="312" w:lineRule="auto"/>
              <w:ind w:left="119" w:right="102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变</w:t>
            </w:r>
            <w:r>
              <w:rPr>
                <w:rFonts w:ascii="宋体" w:hAnsi="宋体" w:eastAsia="宋体" w:cs="宋体"/>
                <w:spacing w:val="9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更评  审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报告</w:t>
            </w:r>
          </w:p>
        </w:tc>
      </w:tr>
    </w:tbl>
    <w:p w14:paraId="6EDFD11F">
      <w:pPr>
        <w:spacing w:before="101" w:line="226" w:lineRule="auto"/>
        <w:ind w:left="33"/>
        <w:outlineLvl w:val="0"/>
        <w:rPr>
          <w:rFonts w:ascii="黑体" w:hAnsi="黑体" w:eastAsia="黑体" w:cs="黑体"/>
          <w:sz w:val="31"/>
          <w:szCs w:val="31"/>
        </w:rPr>
      </w:pPr>
      <w:bookmarkStart w:id="13" w:name="bookmark13"/>
      <w:bookmarkEnd w:id="13"/>
      <w:r>
        <w:rPr>
          <w:rFonts w:ascii="黑体" w:hAnsi="黑体" w:eastAsia="黑体" w:cs="黑体"/>
          <w:b/>
          <w:bCs/>
          <w:spacing w:val="-1"/>
          <w:sz w:val="31"/>
          <w:szCs w:val="31"/>
        </w:rPr>
        <w:t>7</w:t>
      </w:r>
      <w:r>
        <w:rPr>
          <w:rFonts w:ascii="黑体" w:hAnsi="黑体" w:eastAsia="黑体" w:cs="黑体"/>
          <w:spacing w:val="29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-1"/>
          <w:sz w:val="31"/>
          <w:szCs w:val="31"/>
        </w:rPr>
        <w:t>流程指标</w:t>
      </w:r>
    </w:p>
    <w:p w14:paraId="31AE97C7">
      <w:pPr>
        <w:spacing w:before="78" w:line="364" w:lineRule="auto"/>
        <w:ind w:left="28" w:right="43" w:firstLine="48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为保证变更管理流程的有效性，定义以下关键</w:t>
      </w:r>
      <w:r>
        <w:rPr>
          <w:rFonts w:ascii="宋体" w:hAnsi="宋体" w:eastAsia="宋体" w:cs="宋体"/>
          <w:spacing w:val="-1"/>
          <w:sz w:val="24"/>
          <w:szCs w:val="24"/>
        </w:rPr>
        <w:t>绩效指标（KPI）和其他相关评价标准用以衡量变更管理流程的有效性和效率：</w:t>
      </w:r>
    </w:p>
    <w:p w14:paraId="15287F24">
      <w:pPr>
        <w:spacing w:line="219" w:lineRule="auto"/>
        <w:ind w:left="50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变更成功率 = 1-(回退变更次数/变更</w:t>
      </w:r>
      <w:r>
        <w:rPr>
          <w:rFonts w:ascii="宋体" w:hAnsi="宋体" w:eastAsia="宋体" w:cs="宋体"/>
          <w:spacing w:val="-1"/>
          <w:sz w:val="24"/>
          <w:szCs w:val="24"/>
        </w:rPr>
        <w:t>次数总数)*100%。</w:t>
      </w:r>
    </w:p>
    <w:p w14:paraId="494832F3">
      <w:pPr>
        <w:spacing w:before="101" w:line="226" w:lineRule="auto"/>
        <w:ind w:left="28"/>
        <w:outlineLvl w:val="0"/>
        <w:rPr>
          <w:rFonts w:ascii="黑体" w:hAnsi="黑体" w:eastAsia="黑体" w:cs="黑体"/>
          <w:sz w:val="31"/>
          <w:szCs w:val="31"/>
        </w:rPr>
      </w:pPr>
      <w:bookmarkStart w:id="14" w:name="bookmark14"/>
      <w:bookmarkEnd w:id="14"/>
      <w:r>
        <w:rPr>
          <w:rFonts w:ascii="黑体" w:hAnsi="黑体" w:eastAsia="黑体" w:cs="黑体"/>
          <w:b/>
          <w:bCs/>
          <w:spacing w:val="2"/>
          <w:sz w:val="31"/>
          <w:szCs w:val="31"/>
        </w:rPr>
        <w:t>8</w:t>
      </w:r>
      <w:r>
        <w:rPr>
          <w:rFonts w:ascii="黑体" w:hAnsi="黑体" w:eastAsia="黑体" w:cs="黑体"/>
          <w:spacing w:val="29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2"/>
          <w:sz w:val="31"/>
          <w:szCs w:val="31"/>
        </w:rPr>
        <w:t>流程持续改进</w:t>
      </w:r>
    </w:p>
    <w:p w14:paraId="607EE62D">
      <w:pPr>
        <w:spacing w:before="78" w:line="295" w:lineRule="auto"/>
        <w:ind w:left="933" w:right="74" w:hanging="413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流程负责人定期开展变更管理流程回顾工作，召开回顾会议，与流程相</w:t>
      </w:r>
      <w:r>
        <w:rPr>
          <w:rFonts w:ascii="宋体" w:hAnsi="宋体" w:eastAsia="宋体" w:cs="宋体"/>
          <w:spacing w:val="-1"/>
          <w:sz w:val="24"/>
          <w:szCs w:val="24"/>
        </w:rPr>
        <w:t>关人员讨论流程实施及流程改进措施。</w:t>
      </w:r>
    </w:p>
    <w:p w14:paraId="1EFB06D4">
      <w:pPr>
        <w:spacing w:before="178" w:line="295" w:lineRule="auto"/>
        <w:ind w:left="928" w:right="74" w:hanging="408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流程负责人根据会议讨论的内容，进一步制定流程改进点，同时将对流</w:t>
      </w:r>
      <w:r>
        <w:rPr>
          <w:rFonts w:ascii="宋体" w:hAnsi="宋体" w:eastAsia="宋体" w:cs="宋体"/>
          <w:spacing w:val="-1"/>
          <w:sz w:val="24"/>
          <w:szCs w:val="24"/>
        </w:rPr>
        <w:t>程的改进写进服务改进计划。</w:t>
      </w:r>
    </w:p>
    <w:p w14:paraId="1034C03B">
      <w:pPr>
        <w:spacing w:before="179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"/>
          <w:sz w:val="24"/>
          <w:szCs w:val="24"/>
        </w:rPr>
        <w:t>n</w:t>
      </w:r>
      <w:r>
        <w:rPr>
          <w:rFonts w:ascii="Wingdings" w:hAnsi="Wingdings" w:eastAsia="Wingdings" w:cs="Wingdings"/>
          <w:spacing w:val="-5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执行改进计划：流程负责人组织协调相关人员，执行流程改进计划。</w:t>
      </w:r>
    </w:p>
    <w:sectPr>
      <w:footerReference r:id="rId8" w:type="default"/>
      <w:pgSz w:w="11910" w:h="16840"/>
      <w:pgMar w:top="877" w:right="1786" w:bottom="990" w:left="1779" w:header="0" w:footer="75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4B28DD">
    <w:pPr>
      <w:spacing w:line="230" w:lineRule="auto"/>
      <w:ind w:left="490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BBECCF">
    <w:pPr>
      <w:spacing w:line="230" w:lineRule="auto"/>
      <w:ind w:left="414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D1AD1F">
    <w:pPr>
      <w:spacing w:line="229" w:lineRule="auto"/>
      <w:ind w:left="4233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8C615B">
    <w:pPr>
      <w:spacing w:line="229" w:lineRule="auto"/>
      <w:ind w:left="413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347C91"/>
    <w:rsid w:val="084478E6"/>
    <w:rsid w:val="140E53FD"/>
    <w:rsid w:val="16E66CA8"/>
    <w:rsid w:val="1FFF5E42"/>
    <w:rsid w:val="72AE3C9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2213</Words>
  <Characters>2329</Characters>
  <Lines>0</Lines>
  <Paragraphs>0</Paragraphs>
  <TotalTime>3</TotalTime>
  <ScaleCrop>false</ScaleCrop>
  <LinksUpToDate>false</LinksUpToDate>
  <CharactersWithSpaces>2484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2022-11-30T11:27:00Z</dcterms:created>
  <dc:creator>LoriChen</dc:creator>
  <cp:lastModifiedBy>郝宇</cp:lastModifiedBy>
  <dcterms:modified xsi:type="dcterms:W3CDTF">2025-10-04T18:21:16Z</dcterms:modified>
  <dc:title>ITSS体系文件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2025-09-29T03:03:09Z</vt:filetime>
  </property>
  <property fmtid="{D5CDD505-2E9C-101B-9397-08002B2CF9AE}" pid="3" name="CRO">
    <vt:lpwstr>wqlLaW5nc29mdCBQREYgdG8gV1BTIDExNQ</vt:lpwstr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2052-12.1.0.23125</vt:lpwstr>
  </property>
  <property fmtid="{D5CDD505-2E9C-101B-9397-08002B2CF9AE}" pid="6" name="ICV">
    <vt:lpwstr>04A7D768A37E437E9B28B964FA81527F_12</vt:lpwstr>
  </property>
</Properties>
</file>