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7D7CA">
      <w:pPr>
        <w:pStyle w:val="26"/>
        <w:bidi w:val="0"/>
        <w:rPr>
          <w:rFonts w:hint="eastAsia"/>
        </w:rPr>
      </w:pPr>
      <w:bookmarkStart w:id="0" w:name="_Toc12295"/>
    </w:p>
    <w:p w14:paraId="45EC128A">
      <w:pPr>
        <w:pStyle w:val="26"/>
        <w:bidi w:val="0"/>
      </w:pPr>
      <w:r>
        <w:rPr>
          <w:rFonts w:hint="eastAsia"/>
        </w:rPr>
        <w:t>临夏回族自治州中医医院“智慧银医”项目</w:t>
      </w:r>
      <w:r>
        <w:t>应急预案</w:t>
      </w:r>
      <w:bookmarkEnd w:id="0"/>
    </w:p>
    <w:p w14:paraId="0F08A736">
      <w:pPr>
        <w:pStyle w:val="27"/>
        <w:bidi w:val="0"/>
      </w:pPr>
      <w:bookmarkStart w:id="1" w:name="_Toc7798"/>
      <w:r>
        <w:t>甘肃国邦信息科技有限公司</w:t>
      </w:r>
      <w:bookmarkEnd w:id="1"/>
    </w:p>
    <w:p w14:paraId="5FA49D43">
      <w:pPr>
        <w:spacing w:before="176" w:line="228" w:lineRule="auto"/>
        <w:ind w:left="3341"/>
        <w:rPr>
          <w:rFonts w:hint="default" w:ascii="仿宋" w:hAnsi="仿宋" w:eastAsia="仿宋" w:cs="仿宋"/>
          <w:sz w:val="31"/>
          <w:szCs w:val="31"/>
          <w:lang w:val="en-US" w:eastAsia="zh-CN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  <w:r>
        <w:rPr>
          <w:rFonts w:ascii="仿宋" w:hAnsi="仿宋" w:eastAsia="仿宋" w:cs="仿宋"/>
          <w:spacing w:val="-4"/>
          <w:sz w:val="31"/>
          <w:szCs w:val="31"/>
        </w:rPr>
        <w:t>2025</w:t>
      </w:r>
      <w:r>
        <w:rPr>
          <w:rFonts w:ascii="仿宋" w:hAnsi="仿宋" w:eastAsia="仿宋" w:cs="仿宋"/>
          <w:spacing w:val="-4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"/>
          <w:sz w:val="31"/>
          <w:szCs w:val="31"/>
        </w:rPr>
        <w:t>年</w:t>
      </w:r>
      <w:r>
        <w:rPr>
          <w:rFonts w:ascii="仿宋" w:hAnsi="仿宋" w:eastAsia="仿宋" w:cs="仿宋"/>
          <w:spacing w:val="-59"/>
          <w:sz w:val="31"/>
          <w:szCs w:val="31"/>
        </w:rPr>
        <w:t xml:space="preserve"> </w:t>
      </w:r>
      <w:r>
        <w:rPr>
          <w:rFonts w:hint="eastAsia" w:ascii="仿宋" w:hAnsi="仿宋" w:eastAsia="仿宋" w:cs="仿宋"/>
          <w:spacing w:val="-59"/>
          <w:sz w:val="31"/>
          <w:szCs w:val="31"/>
          <w:lang w:val="en-US" w:eastAsia="zh-CN"/>
        </w:rPr>
        <w:t>1</w:t>
      </w:r>
      <w:r>
        <w:rPr>
          <w:rFonts w:ascii="仿宋" w:hAnsi="仿宋" w:eastAsia="仿宋" w:cs="仿宋"/>
          <w:spacing w:val="-3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"/>
          <w:sz w:val="31"/>
          <w:szCs w:val="31"/>
        </w:rPr>
        <w:t>月</w:t>
      </w:r>
      <w:r>
        <w:rPr>
          <w:rFonts w:hint="eastAsia" w:ascii="仿宋" w:hAnsi="仿宋" w:eastAsia="仿宋" w:cs="仿宋"/>
          <w:spacing w:val="-4"/>
          <w:sz w:val="31"/>
          <w:szCs w:val="31"/>
          <w:lang w:val="en-US" w:eastAsia="zh-CN"/>
        </w:rPr>
        <w:t>3</w:t>
      </w:r>
      <w:r>
        <w:rPr>
          <w:rFonts w:hint="eastAsia" w:ascii="仿宋" w:hAnsi="仿宋" w:eastAsia="仿宋" w:cs="仿宋"/>
          <w:sz w:val="31"/>
          <w:szCs w:val="31"/>
          <w:lang w:val="en-US" w:eastAsia="zh-CN"/>
        </w:rPr>
        <w:t>日</w:t>
      </w:r>
    </w:p>
    <w:p w14:paraId="3EE0FD3E">
      <w:pPr>
        <w:spacing w:before="91" w:line="220" w:lineRule="auto"/>
        <w:ind w:left="3811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4464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3314F6D0">
      <w:pPr>
        <w:spacing w:line="131" w:lineRule="exact"/>
      </w:pPr>
    </w:p>
    <w:tbl>
      <w:tblPr>
        <w:tblStyle w:val="24"/>
        <w:tblW w:w="91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1"/>
        <w:gridCol w:w="1548"/>
        <w:gridCol w:w="2341"/>
        <w:gridCol w:w="1982"/>
        <w:gridCol w:w="1563"/>
      </w:tblGrid>
      <w:tr w14:paraId="662B4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1711" w:type="dxa"/>
          </w:tcPr>
          <w:p w14:paraId="6778CF83">
            <w:pPr>
              <w:pStyle w:val="25"/>
              <w:spacing w:before="125" w:line="325" w:lineRule="auto"/>
              <w:ind w:right="250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434" w:type="dxa"/>
            <w:gridSpan w:val="4"/>
          </w:tcPr>
          <w:p w14:paraId="644339FF">
            <w:pPr>
              <w:pStyle w:val="25"/>
              <w:spacing w:before="78" w:line="218" w:lineRule="auto"/>
              <w:ind w:left="112"/>
            </w:pPr>
            <w:r>
              <w:rPr>
                <w:rFonts w:hint="eastAsia"/>
                <w:spacing w:val="-1"/>
                <w:lang w:val="en-US" w:eastAsia="zh-CN"/>
              </w:rPr>
              <w:t>应急预案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YJYA</w:t>
            </w:r>
            <w:r>
              <w:rPr>
                <w:spacing w:val="-1"/>
              </w:rPr>
              <w:t>）</w:t>
            </w:r>
          </w:p>
        </w:tc>
      </w:tr>
      <w:tr w14:paraId="35F768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39EDF4B5">
            <w:pPr>
              <w:pStyle w:val="25"/>
              <w:spacing w:before="182" w:line="220" w:lineRule="auto"/>
              <w:ind w:left="114"/>
            </w:pPr>
            <w:r>
              <w:rPr>
                <w:spacing w:val="-3"/>
              </w:rPr>
              <w:t>编制单位</w:t>
            </w:r>
          </w:p>
        </w:tc>
        <w:tc>
          <w:tcPr>
            <w:tcW w:w="7434" w:type="dxa"/>
            <w:gridSpan w:val="4"/>
          </w:tcPr>
          <w:p w14:paraId="45C3FE34">
            <w:pPr>
              <w:pStyle w:val="25"/>
              <w:spacing w:before="182" w:line="219" w:lineRule="auto"/>
              <w:ind w:left="109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17F9A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5A4743F9">
            <w:pPr>
              <w:pStyle w:val="25"/>
              <w:spacing w:before="184" w:line="220" w:lineRule="auto"/>
              <w:ind w:left="114"/>
            </w:pPr>
            <w:r>
              <w:rPr>
                <w:spacing w:val="-3"/>
              </w:rPr>
              <w:t>文档密级</w:t>
            </w:r>
          </w:p>
        </w:tc>
        <w:tc>
          <w:tcPr>
            <w:tcW w:w="7434" w:type="dxa"/>
            <w:gridSpan w:val="4"/>
          </w:tcPr>
          <w:p w14:paraId="4011CCD7">
            <w:pPr>
              <w:pStyle w:val="25"/>
              <w:spacing w:before="184" w:line="220" w:lineRule="auto"/>
              <w:ind w:left="108"/>
            </w:pPr>
            <w:r>
              <w:rPr>
                <w:spacing w:val="-3"/>
              </w:rPr>
              <w:t>秘密</w:t>
            </w:r>
          </w:p>
        </w:tc>
      </w:tr>
      <w:tr w14:paraId="44546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63A2C4F4">
            <w:pPr>
              <w:pStyle w:val="25"/>
              <w:spacing w:before="186" w:line="219" w:lineRule="auto"/>
            </w:pPr>
            <w:r>
              <w:rPr>
                <w:spacing w:val="-3"/>
              </w:rPr>
              <w:t>文档版本</w:t>
            </w:r>
          </w:p>
        </w:tc>
        <w:tc>
          <w:tcPr>
            <w:tcW w:w="1548" w:type="dxa"/>
          </w:tcPr>
          <w:p w14:paraId="3968ABC4">
            <w:pPr>
              <w:pStyle w:val="25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</w:tcPr>
          <w:p w14:paraId="68C8DD1D">
            <w:pPr>
              <w:pStyle w:val="25"/>
              <w:spacing w:before="186" w:line="219" w:lineRule="auto"/>
              <w:ind w:left="695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</w:tcPr>
          <w:p w14:paraId="6CB6ABE0">
            <w:pPr>
              <w:pStyle w:val="25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</w:tcPr>
          <w:p w14:paraId="4571C797">
            <w:pPr>
              <w:pStyle w:val="25"/>
              <w:spacing w:before="187" w:line="220" w:lineRule="auto"/>
              <w:ind w:left="559"/>
            </w:pPr>
            <w:r>
              <w:rPr>
                <w:spacing w:val="-6"/>
              </w:rPr>
              <w:t>审核</w:t>
            </w:r>
          </w:p>
        </w:tc>
      </w:tr>
      <w:tr w14:paraId="13EF5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1711" w:type="dxa"/>
          </w:tcPr>
          <w:p w14:paraId="2BE0528E">
            <w:pPr>
              <w:pStyle w:val="25"/>
              <w:spacing w:before="162" w:line="239" w:lineRule="auto"/>
              <w:ind w:left="538"/>
            </w:pPr>
            <w:r>
              <w:rPr>
                <w:spacing w:val="-1"/>
              </w:rPr>
              <w:t>V1.0</w:t>
            </w:r>
          </w:p>
        </w:tc>
        <w:tc>
          <w:tcPr>
            <w:tcW w:w="1548" w:type="dxa"/>
          </w:tcPr>
          <w:p w14:paraId="5386625D">
            <w:pPr>
              <w:pStyle w:val="25"/>
              <w:spacing w:before="162"/>
              <w:ind w:left="313"/>
              <w:rPr>
                <w:rFonts w:hint="eastAsia" w:eastAsia="等线"/>
                <w:lang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</w:p>
        </w:tc>
        <w:tc>
          <w:tcPr>
            <w:tcW w:w="2341" w:type="dxa"/>
          </w:tcPr>
          <w:p w14:paraId="4C5D4008">
            <w:pPr>
              <w:pStyle w:val="25"/>
              <w:spacing w:before="128" w:line="219" w:lineRule="auto"/>
              <w:ind w:left="698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</w:tcPr>
          <w:p w14:paraId="3FB51985">
            <w:pPr>
              <w:pStyle w:val="25"/>
              <w:spacing w:before="128" w:line="220" w:lineRule="auto"/>
              <w:ind w:left="639"/>
            </w:pPr>
            <w:r>
              <w:rPr>
                <w:rFonts w:hint="eastAsia"/>
                <w:spacing w:val="-3"/>
              </w:rPr>
              <w:t>金文莉</w:t>
            </w:r>
          </w:p>
        </w:tc>
        <w:tc>
          <w:tcPr>
            <w:tcW w:w="1563" w:type="dxa"/>
          </w:tcPr>
          <w:p w14:paraId="3DB0AC6A">
            <w:pPr>
              <w:pStyle w:val="25"/>
              <w:spacing w:before="129" w:line="220" w:lineRule="auto"/>
              <w:ind w:left="43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黄益溪</w:t>
            </w:r>
          </w:p>
        </w:tc>
      </w:tr>
      <w:tr w14:paraId="0BACF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711" w:type="dxa"/>
          </w:tcPr>
          <w:p w14:paraId="041850A5">
            <w:pPr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 w14:paraId="2C1305FC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68FABA32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78E84F50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778F8C1D">
            <w:pPr>
              <w:rPr>
                <w:rFonts w:ascii="Arial"/>
                <w:sz w:val="21"/>
              </w:rPr>
            </w:pPr>
          </w:p>
        </w:tc>
      </w:tr>
      <w:tr w14:paraId="79189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11" w:type="dxa"/>
          </w:tcPr>
          <w:p w14:paraId="7E508A95">
            <w:pPr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 w14:paraId="1B8A8D26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5C48EF94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50FE3DFF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1C71EB28">
            <w:pPr>
              <w:rPr>
                <w:rFonts w:ascii="Arial"/>
                <w:sz w:val="21"/>
              </w:rPr>
            </w:pPr>
          </w:p>
        </w:tc>
      </w:tr>
    </w:tbl>
    <w:p w14:paraId="7AA0153D">
      <w:pPr>
        <w:bidi w:val="0"/>
        <w:rPr>
          <w:rFonts w:hint="eastAsia"/>
          <w:lang w:val="en-US" w:eastAsia="zh-CN"/>
        </w:rPr>
      </w:pPr>
    </w:p>
    <w:p w14:paraId="1005E9EC">
      <w:r>
        <w:br w:type="page"/>
      </w:r>
    </w:p>
    <w:p w14:paraId="7FF63B4B">
      <w:pPr>
        <w:pStyle w:val="12"/>
        <w:spacing w:line="356" w:lineRule="auto"/>
      </w:pPr>
    </w:p>
    <w:p w14:paraId="027B9616">
      <w:pPr>
        <w:pStyle w:val="12"/>
        <w:spacing w:line="357" w:lineRule="auto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5571"/>
        <w:docPartObj>
          <w:docPartGallery w:val="Table of Contents"/>
          <w:docPartUnique/>
        </w:docPartObj>
      </w:sdtPr>
      <w:sdtEndPr>
        <w:rPr>
          <w:rFonts w:ascii="仿宋" w:hAnsi="仿宋" w:eastAsia="仿宋" w:cs="仿宋"/>
          <w:snapToGrid w:val="0"/>
          <w:color w:val="000000"/>
          <w:kern w:val="0"/>
          <w:sz w:val="21"/>
          <w:szCs w:val="31"/>
          <w:lang w:val="en-US" w:eastAsia="en-US" w:bidi="ar-SA"/>
        </w:rPr>
      </w:sdtEndPr>
      <w:sdtContent>
        <w:p w14:paraId="739EAB7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27687F3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 w:val="31"/>
              <w:szCs w:val="31"/>
            </w:rPr>
            <w:fldChar w:fldCharType="begin"/>
          </w:r>
          <w:r>
            <w:rPr>
              <w:rFonts w:ascii="仿宋" w:hAnsi="仿宋" w:eastAsia="仿宋" w:cs="仿宋"/>
              <w:sz w:val="31"/>
              <w:szCs w:val="31"/>
            </w:rPr>
            <w:instrText xml:space="preserve">TOC \o "1-3" \h \u </w:instrText>
          </w:r>
          <w:r>
            <w:rPr>
              <w:rFonts w:ascii="仿宋" w:hAnsi="仿宋" w:eastAsia="仿宋" w:cs="仿宋"/>
              <w:sz w:val="31"/>
              <w:szCs w:val="31"/>
            </w:rPr>
            <w:fldChar w:fldCharType="separate"/>
          </w: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_Toc12295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eastAsia"/>
            </w:rPr>
            <w:t>临夏回族自治州中医医院“智慧银医”项目</w:t>
          </w:r>
          <w:r>
            <w:t>应急预案</w:t>
          </w:r>
          <w:r>
            <w:tab/>
          </w:r>
          <w:r>
            <w:fldChar w:fldCharType="begin"/>
          </w:r>
          <w:r>
            <w:instrText xml:space="preserve"> PAGEREF _Toc12295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7AF40D2A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_Toc7798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_Toc7798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55A15476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_Toc4464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_Toc4464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1A238479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_Toc16927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_Toc16927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168FE218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_Toc1516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_Toc1516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11E8D56C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_Toc8426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编制依据</w:t>
          </w:r>
          <w:r>
            <w:tab/>
          </w:r>
          <w:r>
            <w:fldChar w:fldCharType="begin"/>
          </w:r>
          <w:r>
            <w:instrText xml:space="preserve"> PAGEREF _Toc8426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37CD8AD2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_Toc9459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_Toc9459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394E5DD1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_Toc16701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工作原则</w:t>
          </w:r>
          <w:r>
            <w:tab/>
          </w:r>
          <w:r>
            <w:fldChar w:fldCharType="begin"/>
          </w:r>
          <w:r>
            <w:instrText xml:space="preserve"> PAGEREF _Toc16701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2F8FF6AB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_Toc15580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应急组织体系</w:t>
          </w:r>
          <w:r>
            <w:tab/>
          </w:r>
          <w:r>
            <w:fldChar w:fldCharType="begin"/>
          </w:r>
          <w:r>
            <w:instrText xml:space="preserve"> PAGEREF _Toc15580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1AF01647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_Toc15227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应急响应领导小组</w:t>
          </w:r>
          <w:r>
            <w:tab/>
          </w:r>
          <w:r>
            <w:fldChar w:fldCharType="begin"/>
          </w:r>
          <w:r>
            <w:instrText xml:space="preserve"> PAGEREF _Toc15227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5D2BF8AF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_Toc603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应急响应执行小组（技术小组）</w:t>
          </w:r>
          <w:r>
            <w:tab/>
          </w:r>
          <w:r>
            <w:fldChar w:fldCharType="begin"/>
          </w:r>
          <w:r>
            <w:instrText xml:space="preserve"> PAGEREF _Toc603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0A6BB0B5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_Toc24566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支持保障组</w:t>
          </w:r>
          <w:r>
            <w:tab/>
          </w:r>
          <w:r>
            <w:fldChar w:fldCharType="begin"/>
          </w:r>
          <w:r>
            <w:instrText xml:space="preserve"> PAGEREF _Toc24566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79A9EE30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_Toc289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专项应急预案</w:t>
          </w:r>
          <w:r>
            <w:tab/>
          </w:r>
          <w:r>
            <w:fldChar w:fldCharType="begin"/>
          </w:r>
          <w:r>
            <w:instrText xml:space="preserve"> PAGEREF _Toc289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1AB2F1EF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_Toc15774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网络核心配置丢失应急预案</w:t>
          </w:r>
          <w:r>
            <w:tab/>
          </w:r>
          <w:r>
            <w:fldChar w:fldCharType="begin"/>
          </w:r>
          <w:r>
            <w:instrText xml:space="preserve"> PAGEREF _Toc15774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55B14D28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_Toc32343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接入层交换机故障应急预案</w:t>
          </w:r>
          <w:r>
            <w:tab/>
          </w:r>
          <w:r>
            <w:fldChar w:fldCharType="begin"/>
          </w:r>
          <w:r>
            <w:instrText xml:space="preserve"> PAGEREF _Toc32343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7953B763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_Toc5899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核心服务器故障应急预案</w:t>
          </w:r>
          <w:r>
            <w:tab/>
          </w:r>
          <w:r>
            <w:fldChar w:fldCharType="begin"/>
          </w:r>
          <w:r>
            <w:instrText xml:space="preserve"> PAGEREF _Toc5899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3E43959A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_Toc17414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存储故障应急预案</w:t>
          </w:r>
          <w:r>
            <w:tab/>
          </w:r>
          <w:r>
            <w:fldChar w:fldCharType="begin"/>
          </w:r>
          <w:r>
            <w:instrText xml:space="preserve"> PAGEREF _Toc17414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55D3DDA0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_Toc196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华为云服务故障应急预案</w:t>
          </w:r>
          <w:r>
            <w:tab/>
          </w:r>
          <w:r>
            <w:fldChar w:fldCharType="begin"/>
          </w:r>
          <w:r>
            <w:instrText xml:space="preserve"> PAGEREF _Toc196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44817924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_Toc17579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应急响应流程</w:t>
          </w:r>
          <w:r>
            <w:tab/>
          </w:r>
          <w:r>
            <w:fldChar w:fldCharType="begin"/>
          </w:r>
          <w:r>
            <w:instrText xml:space="preserve"> PAGEREF _Toc17579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33DE8141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_Toc31489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4.1 通用响应流程</w:t>
          </w:r>
          <w:r>
            <w:tab/>
          </w:r>
          <w:r>
            <w:fldChar w:fldCharType="begin"/>
          </w:r>
          <w:r>
            <w:instrText xml:space="preserve"> PAGEREF _Toc31489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50C9A003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_Toc16524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通信与通报</w:t>
          </w:r>
          <w:r>
            <w:tab/>
          </w:r>
          <w:r>
            <w:fldChar w:fldCharType="begin"/>
          </w:r>
          <w:r>
            <w:instrText xml:space="preserve"> PAGEREF _Toc16524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12858128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_Toc10807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后期处置与恢复</w:t>
          </w:r>
          <w:r>
            <w:tab/>
          </w:r>
          <w:r>
            <w:fldChar w:fldCharType="begin"/>
          </w:r>
          <w:r>
            <w:instrText xml:space="preserve"> PAGEREF _Toc10807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2BF3798C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_Toc8835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事后评估</w:t>
          </w:r>
          <w:r>
            <w:tab/>
          </w:r>
          <w:r>
            <w:fldChar w:fldCharType="begin"/>
          </w:r>
          <w:r>
            <w:instrText xml:space="preserve"> PAGEREF _Toc8835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4AF36A19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_Toc11557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整改与恢复</w:t>
          </w:r>
          <w:r>
            <w:tab/>
          </w:r>
          <w:r>
            <w:fldChar w:fldCharType="begin"/>
          </w:r>
          <w:r>
            <w:instrText xml:space="preserve"> PAGEREF _Toc11557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5D4EE107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_Toc14430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预案管理</w:t>
          </w:r>
          <w:r>
            <w:tab/>
          </w:r>
          <w:r>
            <w:fldChar w:fldCharType="begin"/>
          </w:r>
          <w:r>
            <w:instrText xml:space="preserve"> PAGEREF _Toc14430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2B986CB8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_Toc17477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培训</w:t>
          </w:r>
          <w:r>
            <w:tab/>
          </w:r>
          <w:r>
            <w:fldChar w:fldCharType="begin"/>
          </w:r>
          <w:r>
            <w:instrText xml:space="preserve"> PAGEREF _Toc17477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469B652E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_Toc19207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演练</w:t>
          </w:r>
          <w:r>
            <w:tab/>
          </w:r>
          <w:r>
            <w:fldChar w:fldCharType="begin"/>
          </w:r>
          <w:r>
            <w:instrText xml:space="preserve"> PAGEREF _Toc19207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1A67B523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_Toc24014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rPr>
              <w:rFonts w:hint="eastAsia"/>
            </w:rPr>
            <w:t>修订</w:t>
          </w:r>
          <w:r>
            <w:tab/>
          </w:r>
          <w:r>
            <w:fldChar w:fldCharType="begin"/>
          </w:r>
          <w:r>
            <w:instrText xml:space="preserve"> PAGEREF _Toc24014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3702D416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_Toc32007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_Toc32007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07F6479D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_Toc29345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预案生效</w:t>
          </w:r>
          <w:r>
            <w:tab/>
          </w:r>
          <w:r>
            <w:fldChar w:fldCharType="begin"/>
          </w:r>
          <w:r>
            <w:instrText xml:space="preserve"> PAGEREF _Toc29345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5E7980C4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_Toc18991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_Toc18991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67B8D140">
          <w:pPr>
            <w:spacing w:line="228" w:lineRule="auto"/>
            <w:rPr>
              <w:rFonts w:ascii="仿宋" w:hAnsi="仿宋" w:eastAsia="仿宋" w:cs="仿宋"/>
              <w:snapToGrid w:val="0"/>
              <w:color w:val="000000"/>
              <w:kern w:val="0"/>
              <w:sz w:val="21"/>
              <w:szCs w:val="31"/>
              <w:lang w:val="en-US" w:eastAsia="en-US" w:bidi="ar-SA"/>
            </w:rPr>
          </w:pPr>
          <w:r>
            <w:rPr>
              <w:rFonts w:ascii="仿宋" w:hAnsi="仿宋" w:eastAsia="仿宋" w:cs="仿宋"/>
              <w:szCs w:val="31"/>
            </w:rPr>
            <w:fldChar w:fldCharType="end"/>
          </w:r>
        </w:p>
      </w:sdtContent>
    </w:sdt>
    <w:p w14:paraId="70CD26E9">
      <w:pPr>
        <w:spacing w:line="228" w:lineRule="auto"/>
        <w:rPr>
          <w:rFonts w:ascii="仿宋" w:hAnsi="仿宋" w:eastAsia="仿宋" w:cs="仿宋"/>
          <w:snapToGrid w:val="0"/>
          <w:color w:val="000000"/>
          <w:kern w:val="0"/>
          <w:sz w:val="21"/>
          <w:szCs w:val="31"/>
          <w:lang w:val="en-US" w:eastAsia="en-US" w:bidi="ar-SA"/>
        </w:rPr>
        <w:sectPr>
          <w:footerReference r:id="rId5" w:type="default"/>
          <w:pgSz w:w="11906" w:h="16838"/>
          <w:pgMar w:top="1431" w:right="1785" w:bottom="1661" w:left="1785" w:header="0" w:footer="1295" w:gutter="0"/>
          <w:cols w:space="720" w:num="1"/>
        </w:sectPr>
      </w:pPr>
    </w:p>
    <w:p w14:paraId="54173C95">
      <w:pPr>
        <w:pStyle w:val="28"/>
        <w:bidi w:val="0"/>
        <w:rPr>
          <w:rFonts w:hint="eastAsia"/>
        </w:rPr>
      </w:pPr>
      <w:bookmarkStart w:id="3" w:name="bookmark54"/>
      <w:bookmarkEnd w:id="3"/>
      <w:bookmarkStart w:id="4" w:name="_Toc16927"/>
      <w:r>
        <w:rPr>
          <w:rFonts w:hint="eastAsia"/>
        </w:rPr>
        <w:t>总则</w:t>
      </w:r>
      <w:bookmarkEnd w:id="4"/>
    </w:p>
    <w:p w14:paraId="75ED2CD2">
      <w:pPr>
        <w:pStyle w:val="30"/>
        <w:bidi w:val="0"/>
        <w:rPr>
          <w:rFonts w:hint="eastAsia"/>
        </w:rPr>
      </w:pPr>
      <w:bookmarkStart w:id="5" w:name="_Toc1516"/>
      <w:r>
        <w:rPr>
          <w:rFonts w:hint="eastAsia"/>
        </w:rPr>
        <w:t>目的</w:t>
      </w:r>
      <w:bookmarkEnd w:id="5"/>
    </w:p>
    <w:p w14:paraId="7C31DC98">
      <w:pPr>
        <w:pStyle w:val="29"/>
        <w:bidi w:val="0"/>
        <w:rPr>
          <w:rFonts w:hint="eastAsia"/>
        </w:rPr>
      </w:pPr>
      <w:r>
        <w:rPr>
          <w:rFonts w:hint="eastAsia"/>
        </w:rPr>
        <w:t>为保障临夏回族自治州中医医院“智慧银医”项目的稳定、安全运行，针对2025年度应急演练计划中明确的五大风险场景，制定本专项应急预案。旨在建立快速、有效、有序的应急响应机制，最大限度降低突发事件对医院业务的影响，确保患者服务连续性。</w:t>
      </w:r>
    </w:p>
    <w:p w14:paraId="3E6864E7">
      <w:pPr>
        <w:pStyle w:val="30"/>
        <w:bidi w:val="0"/>
        <w:rPr>
          <w:rFonts w:hint="eastAsia"/>
        </w:rPr>
      </w:pPr>
      <w:bookmarkStart w:id="6" w:name="_Toc8426"/>
      <w:r>
        <w:rPr>
          <w:rFonts w:hint="eastAsia"/>
        </w:rPr>
        <w:t>编制依据</w:t>
      </w:r>
      <w:bookmarkEnd w:id="6"/>
    </w:p>
    <w:p w14:paraId="336B177E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《信息安全技术 网络安全等级保护基本要求》（GB/T 22239-2019）</w:t>
      </w:r>
    </w:p>
    <w:p w14:paraId="49C55A7C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《信息技术服务 运行维护 第3部分：应急响应规范》（GB/T 28827.3-2012）</w:t>
      </w:r>
    </w:p>
    <w:p w14:paraId="621E5409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临夏回族自治州中医医院信息化管理制度</w:t>
      </w:r>
    </w:p>
    <w:p w14:paraId="58187464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甘肃国邦信息科技有限公司《应急管理制度》</w:t>
      </w:r>
    </w:p>
    <w:p w14:paraId="1F9790D2">
      <w:pPr>
        <w:pStyle w:val="30"/>
        <w:bidi w:val="0"/>
        <w:rPr>
          <w:rFonts w:hint="eastAsia"/>
        </w:rPr>
      </w:pPr>
      <w:bookmarkStart w:id="7" w:name="_Toc9459"/>
      <w:r>
        <w:rPr>
          <w:rFonts w:hint="eastAsia"/>
        </w:rPr>
        <w:t>适用范围</w:t>
      </w:r>
      <w:bookmarkEnd w:id="7"/>
    </w:p>
    <w:p w14:paraId="66833485">
      <w:pPr>
        <w:pStyle w:val="29"/>
        <w:bidi w:val="0"/>
        <w:rPr>
          <w:rFonts w:hint="eastAsia"/>
        </w:rPr>
      </w:pPr>
      <w:r>
        <w:rPr>
          <w:rFonts w:hint="eastAsia"/>
        </w:rPr>
        <w:t>本预案适用于“智慧银医”项目在生产运行环境中，发生以下五类专项故障时的应急响应工作：</w:t>
      </w:r>
    </w:p>
    <w:p w14:paraId="6671E2C9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网络核心配置丢失</w:t>
      </w:r>
    </w:p>
    <w:p w14:paraId="6C710DC1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接入层交换机故障</w:t>
      </w:r>
    </w:p>
    <w:p w14:paraId="0F6A669A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核心服务器硬件/系统故障</w:t>
      </w:r>
    </w:p>
    <w:p w14:paraId="2693E1C8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存储设备（阵列）故障</w:t>
      </w:r>
    </w:p>
    <w:p w14:paraId="3A88B892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华为云服务异常中断</w:t>
      </w:r>
    </w:p>
    <w:p w14:paraId="50F13FC8">
      <w:pPr>
        <w:pStyle w:val="30"/>
        <w:bidi w:val="0"/>
        <w:rPr>
          <w:rFonts w:hint="eastAsia"/>
        </w:rPr>
      </w:pPr>
      <w:bookmarkStart w:id="8" w:name="_Toc16701"/>
      <w:r>
        <w:rPr>
          <w:rFonts w:hint="eastAsia"/>
        </w:rPr>
        <w:t>工作原则</w:t>
      </w:r>
      <w:bookmarkEnd w:id="8"/>
    </w:p>
    <w:p w14:paraId="46C5BD40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统一指挥，分级负责：应急领导小组统一指挥，各小组按职责分工落实。</w:t>
      </w:r>
    </w:p>
    <w:p w14:paraId="404B580D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预防为主，平战结合：加强日常监控与维护，做好应急准备。</w:t>
      </w:r>
    </w:p>
    <w:p w14:paraId="650AC017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快速响应，科学处置：以恢复业务为第一要务，采用科学方法处置。</w:t>
      </w:r>
    </w:p>
    <w:p w14:paraId="0869A0E2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重点保障，业务连续：优先保障核心业务系统，确保关键服务不中断。</w:t>
      </w:r>
    </w:p>
    <w:p w14:paraId="40BA2536">
      <w:pPr>
        <w:pStyle w:val="28"/>
        <w:bidi w:val="0"/>
        <w:rPr>
          <w:rFonts w:hint="eastAsia"/>
        </w:rPr>
      </w:pPr>
      <w:bookmarkStart w:id="9" w:name="_Toc15580"/>
      <w:r>
        <w:rPr>
          <w:rFonts w:hint="eastAsia"/>
        </w:rPr>
        <w:t>应急组织体系</w:t>
      </w:r>
      <w:bookmarkEnd w:id="9"/>
    </w:p>
    <w:p w14:paraId="7F4B8609">
      <w:pPr>
        <w:pStyle w:val="30"/>
        <w:bidi w:val="0"/>
        <w:rPr>
          <w:rFonts w:hint="eastAsia"/>
        </w:rPr>
      </w:pPr>
      <w:bookmarkStart w:id="10" w:name="_Toc15227"/>
      <w:r>
        <w:rPr>
          <w:rFonts w:hint="eastAsia"/>
        </w:rPr>
        <w:t>应急响应领导小组</w:t>
      </w:r>
      <w:bookmarkEnd w:id="10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7"/>
        <w:gridCol w:w="924"/>
        <w:gridCol w:w="1464"/>
        <w:gridCol w:w="3875"/>
      </w:tblGrid>
      <w:tr w14:paraId="3254A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17E5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BEB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姓名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2911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职位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7E8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</w:tr>
      <w:tr w14:paraId="387FC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CA5F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F70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黄益溪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565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项目总负责人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C87F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启动/终止应急响应，资源总协调，对外汇报</w:t>
            </w:r>
          </w:p>
        </w:tc>
      </w:tr>
      <w:tr w14:paraId="075C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8D69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副组长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301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金文莉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478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质量部副经理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6D4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协助指挥，监督流程，组织评估</w:t>
            </w:r>
          </w:p>
        </w:tc>
      </w:tr>
    </w:tbl>
    <w:p w14:paraId="2780B385">
      <w:pPr>
        <w:pStyle w:val="30"/>
        <w:bidi w:val="0"/>
        <w:rPr>
          <w:rFonts w:hint="eastAsia"/>
        </w:rPr>
      </w:pPr>
      <w:bookmarkStart w:id="11" w:name="_Toc603"/>
      <w:r>
        <w:rPr>
          <w:rFonts w:hint="eastAsia"/>
        </w:rPr>
        <w:t>应急响应执行小组（技术小组）</w:t>
      </w:r>
      <w:bookmarkEnd w:id="11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1105"/>
        <w:gridCol w:w="2643"/>
        <w:gridCol w:w="3450"/>
      </w:tblGrid>
      <w:tr w14:paraId="5BFB1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3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0100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110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C65C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姓名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813B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职责分工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5F59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</w:tr>
      <w:tr w14:paraId="79B86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0F7E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网络负责人</w:t>
            </w:r>
          </w:p>
        </w:tc>
        <w:tc>
          <w:tcPr>
            <w:tcW w:w="110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EF00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胡葛鹏宇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310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网络、安全设备故障处置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5AA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网络故障定位、切换、配置恢复</w:t>
            </w:r>
          </w:p>
        </w:tc>
      </w:tr>
      <w:tr w14:paraId="5066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0FCD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系统负责人</w:t>
            </w:r>
          </w:p>
        </w:tc>
        <w:tc>
          <w:tcPr>
            <w:tcW w:w="110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102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游天舒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50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服务器、存储、云服务故障处置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C57D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系统恢复、数据备份与还原、云服务协调</w:t>
            </w:r>
          </w:p>
        </w:tc>
      </w:tr>
      <w:tr w14:paraId="6A7A8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CB5F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（其他成员）</w:t>
            </w:r>
          </w:p>
        </w:tc>
        <w:tc>
          <w:tcPr>
            <w:tcW w:w="110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EE3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F81C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根据故障类型临时指定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6EE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配合执行具体操作</w:t>
            </w:r>
          </w:p>
        </w:tc>
      </w:tr>
    </w:tbl>
    <w:p w14:paraId="12C55EA6">
      <w:pPr>
        <w:pStyle w:val="30"/>
        <w:bidi w:val="0"/>
        <w:rPr>
          <w:rFonts w:hint="eastAsia"/>
        </w:rPr>
      </w:pPr>
      <w:bookmarkStart w:id="12" w:name="_Toc24566"/>
      <w:r>
        <w:rPr>
          <w:rFonts w:hint="eastAsia"/>
        </w:rPr>
        <w:t>支持保障组</w:t>
      </w:r>
      <w:bookmarkEnd w:id="12"/>
    </w:p>
    <w:p w14:paraId="30F09E3F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客户接口人：负责向院方信息科通报进展。</w:t>
      </w:r>
    </w:p>
    <w:p w14:paraId="5D181B8A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供应商接口人：负责协调华为云、硬件厂商等技术支持。</w:t>
      </w:r>
    </w:p>
    <w:p w14:paraId="32A62E17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后勤保障：负责备件调配、人员交通等。</w:t>
      </w:r>
    </w:p>
    <w:p w14:paraId="23B15BC1">
      <w:pPr>
        <w:pStyle w:val="28"/>
        <w:bidi w:val="0"/>
        <w:rPr>
          <w:rFonts w:hint="eastAsia"/>
        </w:rPr>
      </w:pPr>
      <w:bookmarkStart w:id="13" w:name="_Toc289"/>
      <w:r>
        <w:rPr>
          <w:rFonts w:hint="eastAsia"/>
        </w:rPr>
        <w:t>专项应急预案</w:t>
      </w:r>
      <w:bookmarkEnd w:id="13"/>
    </w:p>
    <w:p w14:paraId="1594D706">
      <w:pPr>
        <w:pStyle w:val="30"/>
        <w:bidi w:val="0"/>
        <w:rPr>
          <w:rFonts w:hint="eastAsia"/>
        </w:rPr>
      </w:pPr>
      <w:bookmarkStart w:id="14" w:name="_Toc15774"/>
      <w:r>
        <w:rPr>
          <w:rFonts w:hint="eastAsia"/>
        </w:rPr>
        <w:t>网络核心配置丢失应急预案</w:t>
      </w:r>
      <w:bookmarkEnd w:id="14"/>
    </w:p>
    <w:p w14:paraId="1993C6DA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对应演练计划：5.1 网络核心配置丢失的应急演练（2025年5月）</w:t>
      </w:r>
    </w:p>
    <w:p w14:paraId="392E29F9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事件描述：因误操作、设备故障或版本升级失败导致核心交换机/路由器配置丢失或错误，造成网络大面积中断。</w:t>
      </w:r>
    </w:p>
    <w:p w14:paraId="65DC2BCD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应急流程：</w:t>
      </w:r>
    </w:p>
    <w:p w14:paraId="34B80AAA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发现与报告：监控告警或用户反馈网络中断。执行小组网络负责人立即确认，5分钟内报告领导小组副组长。</w:t>
      </w:r>
    </w:p>
    <w:p w14:paraId="5DC6722D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初步研判：通过带外管理或console口登录设备，确认配置状态。评估影响范围（全院/局部）。</w:t>
      </w:r>
    </w:p>
    <w:p w14:paraId="689A4C13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应急决策：</w:t>
      </w:r>
    </w:p>
    <w:p w14:paraId="444CBD71">
      <w:pPr>
        <w:pStyle w:val="29"/>
        <w:numPr>
          <w:ilvl w:val="0"/>
          <w:numId w:val="7"/>
        </w:numPr>
        <w:bidi w:val="0"/>
        <w:ind w:left="0" w:leftChars="0" w:firstLine="480" w:firstLineChars="200"/>
        <w:rPr>
          <w:rFonts w:hint="eastAsia"/>
        </w:rPr>
      </w:pPr>
      <w:r>
        <w:rPr>
          <w:rFonts w:hint="eastAsia"/>
        </w:rPr>
        <w:t>若影响核心业务，领导小组立即启动预案。</w:t>
      </w:r>
    </w:p>
    <w:p w14:paraId="29024713">
      <w:pPr>
        <w:pStyle w:val="29"/>
        <w:numPr>
          <w:ilvl w:val="0"/>
          <w:numId w:val="7"/>
        </w:numPr>
        <w:bidi w:val="0"/>
        <w:ind w:left="0" w:leftChars="0" w:firstLine="480" w:firstLineChars="200"/>
        <w:rPr>
          <w:rFonts w:hint="eastAsia"/>
        </w:rPr>
      </w:pPr>
      <w:r>
        <w:rPr>
          <w:rFonts w:hint="eastAsia"/>
        </w:rPr>
        <w:t>决策是否启用备份配置或启用冷备核心设备。</w:t>
      </w:r>
    </w:p>
    <w:p w14:paraId="7B8A1941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处置实施：</w:t>
      </w:r>
    </w:p>
    <w:p w14:paraId="40D8A6F7">
      <w:pPr>
        <w:pStyle w:val="29"/>
        <w:numPr>
          <w:ilvl w:val="0"/>
          <w:numId w:val="8"/>
        </w:numPr>
        <w:bidi w:val="0"/>
        <w:ind w:left="0" w:leftChars="0" w:firstLine="480" w:firstLineChars="200"/>
        <w:rPr>
          <w:rFonts w:hint="eastAsia"/>
        </w:rPr>
      </w:pPr>
      <w:r>
        <w:rPr>
          <w:rFonts w:hint="eastAsia"/>
        </w:rPr>
        <w:t>方案A（配置恢复）：从配置管理系统（如Git）或安全存储区恢复最新有效配置。</w:t>
      </w:r>
    </w:p>
    <w:p w14:paraId="3A933346">
      <w:pPr>
        <w:pStyle w:val="29"/>
        <w:numPr>
          <w:ilvl w:val="0"/>
          <w:numId w:val="8"/>
        </w:numPr>
        <w:bidi w:val="0"/>
        <w:ind w:left="0" w:leftChars="0" w:firstLine="480" w:firstLineChars="200"/>
        <w:rPr>
          <w:rFonts w:hint="eastAsia"/>
        </w:rPr>
      </w:pPr>
      <w:r>
        <w:rPr>
          <w:rFonts w:hint="eastAsia"/>
        </w:rPr>
        <w:t>方案B（设备替换）：若设备故障，启用冷备设备，导入备份配置并接入网络。</w:t>
      </w:r>
    </w:p>
    <w:p w14:paraId="3DFA3F8D">
      <w:pPr>
        <w:pStyle w:val="29"/>
        <w:numPr>
          <w:ilvl w:val="0"/>
          <w:numId w:val="8"/>
        </w:numPr>
        <w:bidi w:val="0"/>
        <w:ind w:left="0" w:leftChars="0" w:firstLine="480" w:firstLineChars="200"/>
        <w:rPr>
          <w:rFonts w:hint="eastAsia"/>
        </w:rPr>
      </w:pPr>
      <w:r>
        <w:rPr>
          <w:rFonts w:hint="eastAsia"/>
        </w:rPr>
        <w:t>操作过程需双人复核，并记录操作日志。</w:t>
      </w:r>
    </w:p>
    <w:p w14:paraId="703C8F45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验证与恢复：</w:t>
      </w:r>
    </w:p>
    <w:p w14:paraId="526895A7">
      <w:pPr>
        <w:pStyle w:val="29"/>
        <w:numPr>
          <w:ilvl w:val="0"/>
          <w:numId w:val="9"/>
        </w:numPr>
        <w:bidi w:val="0"/>
        <w:ind w:left="0" w:leftChars="0" w:firstLine="480" w:firstLineChars="200"/>
        <w:rPr>
          <w:rFonts w:hint="eastAsia"/>
        </w:rPr>
      </w:pPr>
      <w:r>
        <w:rPr>
          <w:rFonts w:hint="eastAsia"/>
        </w:rPr>
        <w:t>逐段恢复网络连通性，优先恢复“智慧银医”专网。</w:t>
      </w:r>
    </w:p>
    <w:p w14:paraId="543FF232">
      <w:pPr>
        <w:pStyle w:val="29"/>
        <w:numPr>
          <w:ilvl w:val="0"/>
          <w:numId w:val="9"/>
        </w:numPr>
        <w:bidi w:val="0"/>
        <w:ind w:left="0" w:leftChars="0" w:firstLine="480" w:firstLineChars="200"/>
        <w:rPr>
          <w:rFonts w:hint="eastAsia"/>
        </w:rPr>
      </w:pPr>
      <w:r>
        <w:rPr>
          <w:rFonts w:hint="eastAsia"/>
        </w:rPr>
        <w:t>验证挂号、缴费等核心业务系统网络访问正常。</w:t>
      </w:r>
    </w:p>
    <w:p w14:paraId="57796410">
      <w:pPr>
        <w:pStyle w:val="29"/>
        <w:numPr>
          <w:ilvl w:val="0"/>
          <w:numId w:val="9"/>
        </w:numPr>
        <w:bidi w:val="0"/>
        <w:ind w:left="0" w:leftChars="0" w:firstLine="480" w:firstLineChars="200"/>
        <w:rPr>
          <w:rFonts w:hint="eastAsia"/>
        </w:rPr>
      </w:pPr>
      <w:r>
        <w:rPr>
          <w:rFonts w:hint="eastAsia"/>
        </w:rPr>
        <w:t>观察30分钟，确认网络稳定。</w:t>
      </w:r>
    </w:p>
    <w:p w14:paraId="55DCF639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事后处置：分析配置丢失原因，完善配置备份策略与管理权限。</w:t>
      </w:r>
    </w:p>
    <w:p w14:paraId="78CB5283">
      <w:pPr>
        <w:pStyle w:val="30"/>
        <w:bidi w:val="0"/>
        <w:rPr>
          <w:rFonts w:hint="eastAsia"/>
        </w:rPr>
      </w:pPr>
      <w:bookmarkStart w:id="15" w:name="_Toc32343"/>
      <w:r>
        <w:rPr>
          <w:rFonts w:hint="eastAsia"/>
        </w:rPr>
        <w:t>接入层交换机故障应急预案</w:t>
      </w:r>
      <w:bookmarkEnd w:id="15"/>
    </w:p>
    <w:p w14:paraId="3703AD15">
      <w:pPr>
        <w:pStyle w:val="29"/>
        <w:numPr>
          <w:ilvl w:val="0"/>
          <w:numId w:val="10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对应演练计划：5.2 接入层交换机故障的应急演练（2025年7月）</w:t>
      </w:r>
    </w:p>
    <w:p w14:paraId="404357CA">
      <w:pPr>
        <w:pStyle w:val="29"/>
        <w:numPr>
          <w:ilvl w:val="0"/>
          <w:numId w:val="10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事件描述：某楼层或区域接入交换机硬件故障，导致该区域所有终端（如挂号窗口、医生工作站）网络中断。</w:t>
      </w:r>
    </w:p>
    <w:p w14:paraId="567E8B92">
      <w:pPr>
        <w:pStyle w:val="29"/>
        <w:numPr>
          <w:ilvl w:val="0"/>
          <w:numId w:val="10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应急流程：</w:t>
      </w:r>
    </w:p>
    <w:p w14:paraId="1041BA8D">
      <w:pPr>
        <w:pStyle w:val="29"/>
        <w:numPr>
          <w:ilvl w:val="0"/>
          <w:numId w:val="11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发现与报告：区域用户反馈或监控显示该接入层设备离线。执行小组15分钟内到达现场（或远程确认）。</w:t>
      </w:r>
    </w:p>
    <w:p w14:paraId="7ED13E3E">
      <w:pPr>
        <w:pStyle w:val="29"/>
        <w:numPr>
          <w:ilvl w:val="0"/>
          <w:numId w:val="11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诊断定位：</w:t>
      </w:r>
    </w:p>
    <w:p w14:paraId="0B8B96B3">
      <w:pPr>
        <w:pStyle w:val="29"/>
        <w:numPr>
          <w:ilvl w:val="0"/>
          <w:numId w:val="12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检查交换机电源、状态灯。</w:t>
      </w:r>
    </w:p>
    <w:p w14:paraId="39EA8D99">
      <w:pPr>
        <w:pStyle w:val="29"/>
        <w:numPr>
          <w:ilvl w:val="0"/>
          <w:numId w:val="12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测试直连终端，判断是否为单点或整机故障。</w:t>
      </w:r>
    </w:p>
    <w:p w14:paraId="38F41C10">
      <w:pPr>
        <w:pStyle w:val="29"/>
        <w:numPr>
          <w:ilvl w:val="0"/>
          <w:numId w:val="11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应急决策：确认为硬件故障后，领导小组授权启用备件或应急旁路方案。</w:t>
      </w:r>
    </w:p>
    <w:p w14:paraId="6801FE6D">
      <w:pPr>
        <w:pStyle w:val="29"/>
        <w:numPr>
          <w:ilvl w:val="0"/>
          <w:numId w:val="11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处置实施：</w:t>
      </w:r>
    </w:p>
    <w:p w14:paraId="65C598CA">
      <w:pPr>
        <w:pStyle w:val="29"/>
        <w:numPr>
          <w:ilvl w:val="0"/>
          <w:numId w:val="13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方案A（备件替换）：使用同型号备机替换，应用预配置。</w:t>
      </w:r>
    </w:p>
    <w:p w14:paraId="65C10A28">
      <w:pPr>
        <w:pStyle w:val="29"/>
        <w:numPr>
          <w:ilvl w:val="0"/>
          <w:numId w:val="13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方案B（临时旁路）：若无机柜空间或无备件，将关键终端网线临时跳线至邻近正常接入交换机（需注意VLAN配置）。</w:t>
      </w:r>
    </w:p>
    <w:p w14:paraId="3A2212E0">
      <w:pPr>
        <w:pStyle w:val="29"/>
        <w:numPr>
          <w:ilvl w:val="0"/>
          <w:numId w:val="11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验证与恢复：</w:t>
      </w:r>
    </w:p>
    <w:p w14:paraId="0850CC3A">
      <w:pPr>
        <w:pStyle w:val="29"/>
        <w:numPr>
          <w:ilvl w:val="0"/>
          <w:numId w:val="14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恢复区域网络后，立即测试该区域“智慧银医”终端业务。</w:t>
      </w:r>
    </w:p>
    <w:p w14:paraId="109BD036">
      <w:pPr>
        <w:pStyle w:val="29"/>
        <w:numPr>
          <w:ilvl w:val="0"/>
          <w:numId w:val="14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通知受影响用户。</w:t>
      </w:r>
    </w:p>
    <w:p w14:paraId="0A65B473">
      <w:pPr>
        <w:pStyle w:val="29"/>
        <w:numPr>
          <w:ilvl w:val="0"/>
          <w:numId w:val="11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事后处置：维修或送修故障设备，补充备件。</w:t>
      </w:r>
    </w:p>
    <w:p w14:paraId="0F66B3E9">
      <w:pPr>
        <w:pStyle w:val="30"/>
        <w:bidi w:val="0"/>
        <w:rPr>
          <w:rFonts w:hint="eastAsia"/>
        </w:rPr>
      </w:pPr>
      <w:bookmarkStart w:id="16" w:name="_Toc5899"/>
      <w:r>
        <w:rPr>
          <w:rFonts w:hint="eastAsia"/>
        </w:rPr>
        <w:t>核心服务器故障应急预案</w:t>
      </w:r>
      <w:bookmarkEnd w:id="16"/>
    </w:p>
    <w:p w14:paraId="221E9C42">
      <w:pPr>
        <w:pStyle w:val="29"/>
        <w:numPr>
          <w:ilvl w:val="0"/>
          <w:numId w:val="1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对应演练计划：5.3 核心服务器故障的应急演练（2025年9月）</w:t>
      </w:r>
    </w:p>
    <w:p w14:paraId="4468C210">
      <w:pPr>
        <w:pStyle w:val="29"/>
        <w:numPr>
          <w:ilvl w:val="0"/>
          <w:numId w:val="1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事件描述：承载“智慧银医”核心应用（如应用服务器、数据库服务器）的物理或虚拟服务器宕机，业务系统无法访问。</w:t>
      </w:r>
    </w:p>
    <w:p w14:paraId="112BB8E3">
      <w:pPr>
        <w:pStyle w:val="29"/>
        <w:numPr>
          <w:ilvl w:val="0"/>
          <w:numId w:val="1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应急流程：</w:t>
      </w:r>
    </w:p>
    <w:p w14:paraId="5C4A24D5">
      <w:pPr>
        <w:pStyle w:val="29"/>
        <w:numPr>
          <w:ilvl w:val="0"/>
          <w:numId w:val="16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发现与报告：业务监控告警、应用无响应。执行小组系统负责人立即尝试远程管理，并10分钟内报告。</w:t>
      </w:r>
    </w:p>
    <w:p w14:paraId="2CACACF4">
      <w:pPr>
        <w:pStyle w:val="29"/>
        <w:numPr>
          <w:ilvl w:val="0"/>
          <w:numId w:val="16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诊断定位：</w:t>
      </w:r>
    </w:p>
    <w:p w14:paraId="11DD43D7">
      <w:pPr>
        <w:pStyle w:val="40"/>
        <w:numPr>
          <w:ilvl w:val="0"/>
          <w:numId w:val="17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通过带外管理（iLO/iDRAC）查看服务器硬件状态。</w:t>
      </w:r>
    </w:p>
    <w:p w14:paraId="044EBA17">
      <w:pPr>
        <w:pStyle w:val="40"/>
        <w:numPr>
          <w:ilvl w:val="0"/>
          <w:numId w:val="17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判断故障类型：硬件（磁盘、内存、电源）、操作系统崩溃、应用死锁。</w:t>
      </w:r>
    </w:p>
    <w:p w14:paraId="3D69DDCD">
      <w:pPr>
        <w:pStyle w:val="29"/>
        <w:numPr>
          <w:ilvl w:val="0"/>
          <w:numId w:val="16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应急决策：</w:t>
      </w:r>
    </w:p>
    <w:p w14:paraId="08095865">
      <w:pPr>
        <w:pStyle w:val="29"/>
        <w:numPr>
          <w:ilvl w:val="0"/>
          <w:numId w:val="18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若为硬件故障且短时间内无法修复，领导小组决策是否启用本地备用服务器或云上容灾实例。</w:t>
      </w:r>
    </w:p>
    <w:p w14:paraId="425B77F9">
      <w:pPr>
        <w:pStyle w:val="29"/>
        <w:numPr>
          <w:ilvl w:val="0"/>
          <w:numId w:val="18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若为软件故障，决策是否回退版本或恢复数据。</w:t>
      </w:r>
    </w:p>
    <w:p w14:paraId="48B91B4F">
      <w:pPr>
        <w:pStyle w:val="29"/>
        <w:numPr>
          <w:ilvl w:val="0"/>
          <w:numId w:val="16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处置实施：</w:t>
      </w:r>
    </w:p>
    <w:p w14:paraId="78CC5A08">
      <w:pPr>
        <w:pStyle w:val="29"/>
        <w:numPr>
          <w:ilvl w:val="0"/>
          <w:numId w:val="19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硬件故障：启用备用服务器，从共享存储或最近备份恢复系统镜像和数据。</w:t>
      </w:r>
    </w:p>
    <w:p w14:paraId="56CE7F08">
      <w:pPr>
        <w:pStyle w:val="29"/>
        <w:numPr>
          <w:ilvl w:val="0"/>
          <w:numId w:val="19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系统/应用故障：尝试重启服务；若无效，从备份中恢复应用环境。</w:t>
      </w:r>
    </w:p>
    <w:p w14:paraId="0C3AE8B3">
      <w:pPr>
        <w:pStyle w:val="29"/>
        <w:numPr>
          <w:ilvl w:val="0"/>
          <w:numId w:val="19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数据损坏：切断写入，从昨夜备份+今日日志恢复数据库。</w:t>
      </w:r>
    </w:p>
    <w:p w14:paraId="734425BA">
      <w:pPr>
        <w:pStyle w:val="29"/>
        <w:numPr>
          <w:ilvl w:val="0"/>
          <w:numId w:val="16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验证与恢复：</w:t>
      </w:r>
    </w:p>
    <w:p w14:paraId="018B7EAD">
      <w:pPr>
        <w:pStyle w:val="29"/>
        <w:numPr>
          <w:ilvl w:val="0"/>
          <w:numId w:val="20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恢复后，进行业务交易完整性测试（如模拟一笔挂号缴费）。</w:t>
      </w:r>
    </w:p>
    <w:p w14:paraId="0C63B238">
      <w:pPr>
        <w:pStyle w:val="29"/>
        <w:numPr>
          <w:ilvl w:val="0"/>
          <w:numId w:val="20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逐步开放用户访问。</w:t>
      </w:r>
    </w:p>
    <w:p w14:paraId="28C9B2D2">
      <w:pPr>
        <w:pStyle w:val="29"/>
        <w:numPr>
          <w:ilvl w:val="0"/>
          <w:numId w:val="16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事后处置：根因分析，加强硬件巡检与预警。</w:t>
      </w:r>
    </w:p>
    <w:p w14:paraId="3EAEB231">
      <w:pPr>
        <w:pStyle w:val="30"/>
        <w:bidi w:val="0"/>
        <w:rPr>
          <w:rFonts w:hint="eastAsia"/>
        </w:rPr>
      </w:pPr>
      <w:bookmarkStart w:id="17" w:name="_Toc17414"/>
      <w:r>
        <w:rPr>
          <w:rFonts w:hint="eastAsia"/>
        </w:rPr>
        <w:t>存储故障应急预案</w:t>
      </w:r>
      <w:bookmarkEnd w:id="17"/>
    </w:p>
    <w:p w14:paraId="34CFA499">
      <w:pPr>
        <w:pStyle w:val="29"/>
        <w:numPr>
          <w:ilvl w:val="0"/>
          <w:numId w:val="2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对应演练计划：5.4 存储故障的应急演练（2025年10月）</w:t>
      </w:r>
    </w:p>
    <w:p w14:paraId="63262D4F">
      <w:pPr>
        <w:pStyle w:val="29"/>
        <w:numPr>
          <w:ilvl w:val="0"/>
          <w:numId w:val="2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事件描述：中心存储阵列单盘失效、RAID组降级、控制器故障或整个存储不可用，导致业务数据读写失败。</w:t>
      </w:r>
    </w:p>
    <w:p w14:paraId="59D4FBD3">
      <w:pPr>
        <w:pStyle w:val="29"/>
        <w:numPr>
          <w:ilvl w:val="0"/>
          <w:numId w:val="2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应急流程：</w:t>
      </w:r>
    </w:p>
    <w:p w14:paraId="31860592">
      <w:pPr>
        <w:pStyle w:val="29"/>
        <w:numPr>
          <w:ilvl w:val="0"/>
          <w:numId w:val="22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发现与报告：存储监控告警、应用报存储I/O错误。执行小组立即评估，15分钟内上报。</w:t>
      </w:r>
    </w:p>
    <w:p w14:paraId="661C2A0B">
      <w:pPr>
        <w:pStyle w:val="29"/>
        <w:numPr>
          <w:ilvl w:val="0"/>
          <w:numId w:val="22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诊断定位：</w:t>
      </w:r>
    </w:p>
    <w:p w14:paraId="72F8C543">
      <w:pPr>
        <w:pStyle w:val="29"/>
        <w:numPr>
          <w:ilvl w:val="0"/>
          <w:numId w:val="23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登录存储管理界面，确认故障类型和范围。</w:t>
      </w:r>
    </w:p>
    <w:p w14:paraId="0BFAB30D">
      <w:pPr>
        <w:pStyle w:val="29"/>
        <w:numPr>
          <w:ilvl w:val="0"/>
          <w:numId w:val="23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确认是否影响核心业务数据卷（如数据库LUN）。</w:t>
      </w:r>
    </w:p>
    <w:p w14:paraId="6B8CA577">
      <w:pPr>
        <w:pStyle w:val="29"/>
        <w:numPr>
          <w:ilvl w:val="0"/>
          <w:numId w:val="22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应急决策：领导小组根据数据丢失风险和应用中断影响，决策启动数据恢复和业务迁移流程。</w:t>
      </w:r>
    </w:p>
    <w:p w14:paraId="57BBB45D">
      <w:pPr>
        <w:pStyle w:val="29"/>
        <w:numPr>
          <w:ilvl w:val="0"/>
          <w:numId w:val="22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处置实施：</w:t>
      </w:r>
    </w:p>
    <w:p w14:paraId="513D1F05">
      <w:pPr>
        <w:pStyle w:val="29"/>
        <w:numPr>
          <w:ilvl w:val="0"/>
          <w:numId w:val="24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单盘故障：热插拔更换故障硬盘，监控重建进度，评估性能影响。</w:t>
      </w:r>
    </w:p>
    <w:p w14:paraId="53615798">
      <w:pPr>
        <w:pStyle w:val="29"/>
        <w:numPr>
          <w:ilvl w:val="0"/>
          <w:numId w:val="24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RAID组/控制器故障：</w:t>
      </w:r>
    </w:p>
    <w:p w14:paraId="4566226B">
      <w:pPr>
        <w:pStyle w:val="29"/>
        <w:numPr>
          <w:ilvl w:val="0"/>
          <w:numId w:val="24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启用存储双控切换。</w:t>
      </w:r>
    </w:p>
    <w:p w14:paraId="7954CBBE">
      <w:pPr>
        <w:pStyle w:val="29"/>
        <w:numPr>
          <w:ilvl w:val="0"/>
          <w:numId w:val="24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如主存储不可用，立即将关键业务（如数据库）切换到备用存储或超融合平台。</w:t>
      </w:r>
    </w:p>
    <w:p w14:paraId="2823A5E4">
      <w:pPr>
        <w:pStyle w:val="29"/>
        <w:numPr>
          <w:ilvl w:val="0"/>
          <w:numId w:val="24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从离线备份或异地副本恢复数据。</w:t>
      </w:r>
    </w:p>
    <w:p w14:paraId="60C422B8">
      <w:pPr>
        <w:pStyle w:val="29"/>
        <w:numPr>
          <w:ilvl w:val="0"/>
          <w:numId w:val="22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验证与恢复：</w:t>
      </w:r>
    </w:p>
    <w:p w14:paraId="6CF21833">
      <w:pPr>
        <w:pStyle w:val="29"/>
        <w:numPr>
          <w:ilvl w:val="0"/>
          <w:numId w:val="25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数据恢复后，进行完整性校验。</w:t>
      </w:r>
    </w:p>
    <w:p w14:paraId="3003589D">
      <w:pPr>
        <w:pStyle w:val="29"/>
        <w:numPr>
          <w:ilvl w:val="0"/>
          <w:numId w:val="25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挂载数据卷，启动应用，验证业务功能。</w:t>
      </w:r>
    </w:p>
    <w:p w14:paraId="54ACDAAF">
      <w:pPr>
        <w:pStyle w:val="29"/>
        <w:numPr>
          <w:ilvl w:val="0"/>
          <w:numId w:val="22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事后处置：分析存储架构脆弱点，优化备份与容灾策略（RTO/RPO）。</w:t>
      </w:r>
    </w:p>
    <w:p w14:paraId="363BAD66">
      <w:pPr>
        <w:pStyle w:val="30"/>
        <w:bidi w:val="0"/>
        <w:rPr>
          <w:rFonts w:hint="eastAsia"/>
        </w:rPr>
      </w:pPr>
      <w:bookmarkStart w:id="18" w:name="_Toc196"/>
      <w:r>
        <w:rPr>
          <w:rFonts w:hint="eastAsia"/>
        </w:rPr>
        <w:t>华为云服务故障应急预案</w:t>
      </w:r>
      <w:bookmarkEnd w:id="18"/>
    </w:p>
    <w:p w14:paraId="7D454E32">
      <w:pPr>
        <w:pStyle w:val="29"/>
        <w:numPr>
          <w:ilvl w:val="0"/>
          <w:numId w:val="2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对应演练计划：5.5 华为云故障的应急演练（2025年11月）</w:t>
      </w:r>
    </w:p>
    <w:p w14:paraId="661BC8B0">
      <w:pPr>
        <w:pStyle w:val="29"/>
        <w:numPr>
          <w:ilvl w:val="0"/>
          <w:numId w:val="2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事件描述：项目使用的华为云ECS、RDS、OBS等云服务因区域故障、账号异常或配置错误导致服务不可用。</w:t>
      </w:r>
    </w:p>
    <w:p w14:paraId="59763265">
      <w:pPr>
        <w:pStyle w:val="29"/>
        <w:numPr>
          <w:ilvl w:val="0"/>
          <w:numId w:val="2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应急流程：</w:t>
      </w:r>
    </w:p>
    <w:p w14:paraId="4BEABA64">
      <w:pPr>
        <w:pStyle w:val="29"/>
        <w:numPr>
          <w:ilvl w:val="0"/>
          <w:numId w:val="2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发现与报告：云监控告警、公网/API访问超时。执行小组登录云控制台确认，并立即报告领导小组。</w:t>
      </w:r>
    </w:p>
    <w:p w14:paraId="7FDBF177">
      <w:pPr>
        <w:pStyle w:val="29"/>
        <w:numPr>
          <w:ilvl w:val="0"/>
          <w:numId w:val="2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诊断定位：</w:t>
      </w:r>
    </w:p>
    <w:p w14:paraId="2B9B90CE">
      <w:pPr>
        <w:pStyle w:val="29"/>
        <w:numPr>
          <w:ilvl w:val="0"/>
          <w:numId w:val="28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通过华为云控制台和服务健康状态页，判断是单实例故障、可用区故障还是区域级故障。</w:t>
      </w:r>
    </w:p>
    <w:p w14:paraId="783AC3E7">
      <w:pPr>
        <w:pStyle w:val="29"/>
        <w:numPr>
          <w:ilvl w:val="0"/>
          <w:numId w:val="28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检查项目账号状态、安全组、网络ACL配置。</w:t>
      </w:r>
    </w:p>
    <w:p w14:paraId="0E4820B8">
      <w:pPr>
        <w:pStyle w:val="29"/>
        <w:numPr>
          <w:ilvl w:val="0"/>
          <w:numId w:val="2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应急决策：</w:t>
      </w:r>
    </w:p>
    <w:p w14:paraId="501E0C89">
      <w:pPr>
        <w:pStyle w:val="29"/>
        <w:numPr>
          <w:ilvl w:val="0"/>
          <w:numId w:val="29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单实例故障：决策重启实例或使用备份镜像重建。</w:t>
      </w:r>
    </w:p>
    <w:p w14:paraId="65B51B05">
      <w:pPr>
        <w:pStyle w:val="29"/>
        <w:numPr>
          <w:ilvl w:val="0"/>
          <w:numId w:val="29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可用区/区域故障：领导小组立即决策启动多云或混合云容灾切换，将业务流量切回本地备用环境或其他云服务商。</w:t>
      </w:r>
    </w:p>
    <w:p w14:paraId="1854E9EF">
      <w:pPr>
        <w:pStyle w:val="29"/>
        <w:numPr>
          <w:ilvl w:val="0"/>
          <w:numId w:val="2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处置实施：</w:t>
      </w:r>
    </w:p>
    <w:p w14:paraId="6EAB8F1B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服务重启/重建：在控制台操作，并重新部署应用。</w:t>
      </w:r>
    </w:p>
    <w:p w14:paraId="4D97F937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容灾切换：</w:t>
      </w:r>
    </w:p>
    <w:p w14:paraId="377EA70F">
      <w:pPr>
        <w:pStyle w:val="29"/>
        <w:numPr>
          <w:ilvl w:val="0"/>
          <w:numId w:val="30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修改DNS解析或全局负载均衡（GSLB）配置，将域名指向本地或备用云环境。</w:t>
      </w:r>
    </w:p>
    <w:p w14:paraId="53A94322">
      <w:pPr>
        <w:pStyle w:val="29"/>
        <w:numPr>
          <w:ilvl w:val="0"/>
          <w:numId w:val="30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在备用环境启动预置的镜像，恢复最近数据。</w:t>
      </w:r>
    </w:p>
    <w:p w14:paraId="7C88F3E6">
      <w:pPr>
        <w:pStyle w:val="29"/>
        <w:numPr>
          <w:ilvl w:val="0"/>
          <w:numId w:val="30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通知院方修改相关访问入口（如公众号服务配置）。</w:t>
      </w:r>
    </w:p>
    <w:p w14:paraId="528AC8A5">
      <w:pPr>
        <w:pStyle w:val="29"/>
        <w:numPr>
          <w:ilvl w:val="0"/>
          <w:numId w:val="2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验证与恢复：</w:t>
      </w:r>
    </w:p>
    <w:p w14:paraId="4FE255C3">
      <w:pPr>
        <w:pStyle w:val="29"/>
        <w:numPr>
          <w:ilvl w:val="0"/>
          <w:numId w:val="31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全面测试备用环境业务功能。</w:t>
      </w:r>
    </w:p>
    <w:p w14:paraId="7B92687F">
      <w:pPr>
        <w:pStyle w:val="29"/>
        <w:numPr>
          <w:ilvl w:val="0"/>
          <w:numId w:val="31"/>
        </w:numPr>
        <w:bidi w:val="0"/>
        <w:ind w:left="420" w:leftChars="0" w:firstLine="480" w:firstLineChars="200"/>
        <w:rPr>
          <w:rFonts w:hint="eastAsia"/>
        </w:rPr>
      </w:pPr>
      <w:r>
        <w:rPr>
          <w:rFonts w:hint="eastAsia"/>
        </w:rPr>
        <w:t>华为云服务恢复后，在业务低峰期制定回切方案并执行。</w:t>
      </w:r>
    </w:p>
    <w:p w14:paraId="3310B3DC">
      <w:pPr>
        <w:pStyle w:val="29"/>
        <w:numPr>
          <w:ilvl w:val="0"/>
          <w:numId w:val="27"/>
        </w:numPr>
        <w:bidi w:val="0"/>
        <w:ind w:left="845" w:leftChars="0" w:hanging="425" w:firstLineChars="0"/>
        <w:rPr>
          <w:rFonts w:hint="eastAsia"/>
        </w:rPr>
      </w:pPr>
      <w:r>
        <w:rPr>
          <w:rFonts w:hint="eastAsia"/>
        </w:rPr>
        <w:t>事后处置：总结云服务依赖风险，完善多云架构设计和云上灾备演练。</w:t>
      </w:r>
    </w:p>
    <w:p w14:paraId="4A303E24">
      <w:pPr>
        <w:pStyle w:val="28"/>
        <w:bidi w:val="0"/>
        <w:rPr>
          <w:rFonts w:hint="eastAsia"/>
        </w:rPr>
      </w:pPr>
      <w:bookmarkStart w:id="19" w:name="_Toc17579"/>
      <w:r>
        <w:rPr>
          <w:rFonts w:hint="eastAsia"/>
        </w:rPr>
        <w:t>应急响应流程</w:t>
      </w:r>
      <w:bookmarkEnd w:id="19"/>
    </w:p>
    <w:p w14:paraId="685AE0CF">
      <w:pPr>
        <w:pStyle w:val="30"/>
        <w:bidi w:val="0"/>
        <w:rPr>
          <w:rFonts w:hint="eastAsia"/>
        </w:rPr>
      </w:pPr>
      <w:bookmarkStart w:id="20" w:name="_Toc31489"/>
      <w:r>
        <w:rPr>
          <w:rFonts w:hint="eastAsia"/>
        </w:rPr>
        <w:t>4.1 通用响应流程</w:t>
      </w:r>
      <w:bookmarkEnd w:id="20"/>
    </w:p>
    <w:p w14:paraId="6E16DC56">
      <w:pPr>
        <w:pStyle w:val="29"/>
        <w:numPr>
          <w:ilvl w:val="0"/>
          <w:numId w:val="0"/>
        </w:numPr>
        <w:bidi w:val="0"/>
        <w:ind w:leftChars="200"/>
        <w:jc w:val="center"/>
        <w:rPr>
          <w:rFonts w:hint="eastAsia"/>
        </w:rPr>
      </w:pPr>
      <w:r>
        <w:drawing>
          <wp:inline distT="0" distB="0" distL="114300" distR="114300">
            <wp:extent cx="3260725" cy="7427595"/>
            <wp:effectExtent l="0" t="0" r="158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742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2D0CD">
      <w:pPr>
        <w:pStyle w:val="30"/>
        <w:bidi w:val="0"/>
        <w:rPr>
          <w:rFonts w:hint="eastAsia"/>
        </w:rPr>
      </w:pPr>
      <w:bookmarkStart w:id="21" w:name="_Toc16524"/>
      <w:r>
        <w:rPr>
          <w:rFonts w:hint="eastAsia"/>
        </w:rPr>
        <w:t>通信与通报</w:t>
      </w:r>
      <w:bookmarkEnd w:id="21"/>
    </w:p>
    <w:p w14:paraId="658D5429">
      <w:pPr>
        <w:pStyle w:val="29"/>
        <w:numPr>
          <w:ilvl w:val="0"/>
          <w:numId w:val="3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内部通信：使用应急专用微信群/电话会议，确保指令畅通。</w:t>
      </w:r>
    </w:p>
    <w:p w14:paraId="7352DB03">
      <w:pPr>
        <w:pStyle w:val="29"/>
        <w:numPr>
          <w:ilvl w:val="0"/>
          <w:numId w:val="3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向上通报：执行小组每30分钟向领导小组通报进展；重大决策需即时请示。</w:t>
      </w:r>
    </w:p>
    <w:p w14:paraId="38C3526B">
      <w:pPr>
        <w:pStyle w:val="29"/>
        <w:numPr>
          <w:ilvl w:val="0"/>
          <w:numId w:val="3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客户通报：由客户接口人根据领导小组指示，向院方信息科定时（如每小时）通报情况、影响及预计恢复时间。</w:t>
      </w:r>
    </w:p>
    <w:p w14:paraId="3C98F107">
      <w:pPr>
        <w:pStyle w:val="29"/>
        <w:numPr>
          <w:ilvl w:val="0"/>
          <w:numId w:val="3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供应商协调：由供应商接口人立即联系相关技术支持。</w:t>
      </w:r>
    </w:p>
    <w:p w14:paraId="4160EBC5">
      <w:pPr>
        <w:pStyle w:val="28"/>
        <w:bidi w:val="0"/>
        <w:rPr>
          <w:rFonts w:hint="eastAsia"/>
        </w:rPr>
      </w:pPr>
      <w:bookmarkStart w:id="22" w:name="_Toc10807"/>
      <w:r>
        <w:rPr>
          <w:rFonts w:hint="eastAsia"/>
        </w:rPr>
        <w:t>后期处置与恢复</w:t>
      </w:r>
      <w:bookmarkEnd w:id="22"/>
    </w:p>
    <w:p w14:paraId="5DE5B2FC">
      <w:pPr>
        <w:pStyle w:val="30"/>
        <w:bidi w:val="0"/>
        <w:rPr>
          <w:rFonts w:hint="eastAsia"/>
        </w:rPr>
      </w:pPr>
      <w:bookmarkStart w:id="23" w:name="_Toc8835"/>
      <w:r>
        <w:rPr>
          <w:rFonts w:hint="eastAsia"/>
        </w:rPr>
        <w:t>事后评估</w:t>
      </w:r>
      <w:bookmarkEnd w:id="23"/>
    </w:p>
    <w:p w14:paraId="06D1EF6D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应急响应结束后3个工作日内，由领导小组组织复盘会议，内容包括：</w:t>
      </w:r>
    </w:p>
    <w:p w14:paraId="7C735765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事件原因根分析。</w:t>
      </w:r>
    </w:p>
    <w:p w14:paraId="20B643A7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应急响应各环节时间线评估。</w:t>
      </w:r>
    </w:p>
    <w:p w14:paraId="141B8FFC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预案的有效性及暴露问题。</w:t>
      </w:r>
    </w:p>
    <w:p w14:paraId="7E2C62EE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对业务、数据的影响评估。</w:t>
      </w:r>
    </w:p>
    <w:p w14:paraId="1A061C15">
      <w:pPr>
        <w:pStyle w:val="30"/>
        <w:bidi w:val="0"/>
        <w:rPr>
          <w:rFonts w:hint="eastAsia"/>
        </w:rPr>
      </w:pPr>
      <w:bookmarkStart w:id="24" w:name="_Toc11557"/>
      <w:r>
        <w:rPr>
          <w:rFonts w:hint="eastAsia"/>
        </w:rPr>
        <w:t>整改与恢复</w:t>
      </w:r>
      <w:bookmarkEnd w:id="24"/>
    </w:p>
    <w:p w14:paraId="60CE1481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系统恢复：将临时切换的系统回切至主用架构，并确保稳定。</w:t>
      </w:r>
    </w:p>
    <w:p w14:paraId="65920CDE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数据完整性验证：对涉及数据操作的应急场景，进行全面的数据审计与校验。</w:t>
      </w:r>
    </w:p>
    <w:p w14:paraId="67A2164A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文档更新：根据评估结果，更新本预案及相关技术文档。</w:t>
      </w:r>
    </w:p>
    <w:p w14:paraId="675D9278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备件补充：消耗的备件及时采购补充。</w:t>
      </w:r>
    </w:p>
    <w:p w14:paraId="43C8A9BD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5.3 总结报告</w:t>
      </w:r>
    </w:p>
    <w:p w14:paraId="3BAF5A08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事后5个工作日内，形成《应急事件总结报告》，经领导小组审核后，归档并提交院方备案。</w:t>
      </w:r>
    </w:p>
    <w:p w14:paraId="588970AF">
      <w:pPr>
        <w:pStyle w:val="28"/>
        <w:bidi w:val="0"/>
        <w:rPr>
          <w:rFonts w:hint="eastAsia"/>
        </w:rPr>
      </w:pPr>
      <w:bookmarkStart w:id="25" w:name="_Toc14430"/>
      <w:r>
        <w:rPr>
          <w:rFonts w:hint="eastAsia"/>
        </w:rPr>
        <w:t>预案管理</w:t>
      </w:r>
      <w:bookmarkEnd w:id="25"/>
    </w:p>
    <w:p w14:paraId="2652BBEE">
      <w:pPr>
        <w:pStyle w:val="30"/>
        <w:bidi w:val="0"/>
        <w:rPr>
          <w:rFonts w:hint="eastAsia"/>
        </w:rPr>
      </w:pPr>
      <w:bookmarkStart w:id="26" w:name="_Toc17477"/>
      <w:r>
        <w:rPr>
          <w:rFonts w:hint="eastAsia"/>
        </w:rPr>
        <w:t>培训</w:t>
      </w:r>
      <w:bookmarkEnd w:id="26"/>
    </w:p>
    <w:p w14:paraId="1F63AD4D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本预案发布后，对全体应急组织成员进行培训。</w:t>
      </w:r>
    </w:p>
    <w:p w14:paraId="0DA71C2D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每半年结合演练计划，对相关专项预案进行针对性培训。</w:t>
      </w:r>
    </w:p>
    <w:p w14:paraId="1E153AF6">
      <w:pPr>
        <w:pStyle w:val="30"/>
        <w:bidi w:val="0"/>
        <w:rPr>
          <w:rFonts w:hint="eastAsia"/>
        </w:rPr>
      </w:pPr>
      <w:bookmarkStart w:id="27" w:name="_Toc19207"/>
      <w:r>
        <w:rPr>
          <w:rFonts w:hint="eastAsia"/>
        </w:rPr>
        <w:t>演练</w:t>
      </w:r>
      <w:bookmarkEnd w:id="27"/>
    </w:p>
    <w:p w14:paraId="4E495DDC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严格按照《应急响应演练计划（2025年度）》执行五大场景的演练，并将演练结果作为本预案修订的重要依据。</w:t>
      </w:r>
    </w:p>
    <w:p w14:paraId="7FF144DF">
      <w:pPr>
        <w:pStyle w:val="30"/>
        <w:bidi w:val="0"/>
        <w:rPr>
          <w:rFonts w:hint="eastAsia"/>
        </w:rPr>
      </w:pPr>
      <w:bookmarkStart w:id="28" w:name="_Toc24014"/>
      <w:r>
        <w:rPr>
          <w:rFonts w:hint="eastAsia"/>
        </w:rPr>
        <w:t>修订</w:t>
      </w:r>
      <w:bookmarkEnd w:id="28"/>
    </w:p>
    <w:p w14:paraId="727C3640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定期修订：每年12月结合年度演练评估进行系统性修订。</w:t>
      </w:r>
    </w:p>
    <w:p w14:paraId="7B2497AD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即时修订：发生重大事件、技术架构变更或演练发现重大缺陷后，及时修订。</w:t>
      </w:r>
    </w:p>
    <w:p w14:paraId="2937525D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预案版本由</w:t>
      </w:r>
      <w:r>
        <w:rPr>
          <w:rFonts w:hint="eastAsia"/>
          <w:lang w:val="en-US" w:eastAsia="zh-CN"/>
        </w:rPr>
        <w:t>运维部</w:t>
      </w:r>
      <w:r>
        <w:rPr>
          <w:rFonts w:hint="eastAsia"/>
        </w:rPr>
        <w:t>统一控制。</w:t>
      </w:r>
    </w:p>
    <w:p w14:paraId="008D2DA2">
      <w:pPr>
        <w:pStyle w:val="28"/>
        <w:bidi w:val="0"/>
        <w:rPr>
          <w:rFonts w:hint="eastAsia"/>
        </w:rPr>
      </w:pPr>
      <w:bookmarkStart w:id="29" w:name="_Toc32007"/>
      <w:r>
        <w:rPr>
          <w:rFonts w:hint="eastAsia"/>
        </w:rPr>
        <w:t>附则</w:t>
      </w:r>
      <w:bookmarkEnd w:id="29"/>
    </w:p>
    <w:p w14:paraId="746EC77F">
      <w:pPr>
        <w:pStyle w:val="30"/>
        <w:bidi w:val="0"/>
        <w:rPr>
          <w:rFonts w:hint="eastAsia"/>
        </w:rPr>
      </w:pPr>
      <w:bookmarkStart w:id="30" w:name="_Toc29345"/>
      <w:r>
        <w:rPr>
          <w:rFonts w:hint="eastAsia"/>
        </w:rPr>
        <w:t>预案生效</w:t>
      </w:r>
      <w:bookmarkEnd w:id="30"/>
    </w:p>
    <w:p w14:paraId="062B1304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本预案自发布之日起正式生效。</w:t>
      </w:r>
    </w:p>
    <w:p w14:paraId="019F4728">
      <w:pPr>
        <w:pStyle w:val="30"/>
        <w:bidi w:val="0"/>
        <w:rPr>
          <w:rFonts w:hint="eastAsia"/>
        </w:rPr>
      </w:pPr>
      <w:bookmarkStart w:id="31" w:name="_Toc18991"/>
      <w:r>
        <w:rPr>
          <w:rFonts w:hint="eastAsia"/>
        </w:rPr>
        <w:t>附件</w:t>
      </w:r>
      <w:bookmarkEnd w:id="31"/>
    </w:p>
    <w:p w14:paraId="3854BC34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附件1：应急联系人清单（含院方、厂商、团队）</w:t>
      </w:r>
    </w:p>
    <w:p w14:paraId="6E93B504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附件2：关键设备备件清单及存放位置</w:t>
      </w:r>
    </w:p>
    <w:p w14:paraId="6F3C3604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附件3：网络拓扑图与系统架构图（含应急切换路径）</w:t>
      </w:r>
    </w:p>
    <w:p w14:paraId="7E53D08F">
      <w:pPr>
        <w:pStyle w:val="29"/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附件4：数据备份与恢复操作手册</w:t>
      </w:r>
    </w:p>
    <w:p w14:paraId="73903AA2">
      <w:pPr>
        <w:pStyle w:val="29"/>
        <w:numPr>
          <w:ilvl w:val="0"/>
          <w:numId w:val="0"/>
        </w:numPr>
        <w:bidi w:val="0"/>
        <w:ind w:leftChars="200"/>
      </w:pPr>
      <w:r>
        <w:rPr>
          <w:rFonts w:hint="eastAsia"/>
        </w:rPr>
        <w:t>附件5：华为云服务管理账号及权限清单</w:t>
      </w:r>
      <w:bookmarkStart w:id="32" w:name="_GoBack"/>
      <w:bookmarkEnd w:id="32"/>
    </w:p>
    <w:sectPr>
      <w:headerReference r:id="rId6" w:type="default"/>
      <w:footerReference r:id="rId7" w:type="default"/>
      <w:pgSz w:w="11906" w:h="16838"/>
      <w:pgMar w:top="1240" w:right="1785" w:bottom="1263" w:left="1785" w:header="0" w:footer="89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FFB49">
    <w:pPr>
      <w:spacing w:line="235" w:lineRule="auto"/>
      <w:ind w:left="4312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z w:val="28"/>
        <w:szCs w:val="28"/>
      </w:rPr>
      <w:t>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AA86D">
    <w:pPr>
      <w:spacing w:line="235" w:lineRule="auto"/>
      <w:ind w:left="582"/>
      <w:rPr>
        <w:rFonts w:ascii="宋体" w:hAnsi="宋体" w:eastAsia="宋体" w:cs="宋体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2BA20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1A05D"/>
    <w:multiLevelType w:val="singleLevel"/>
    <w:tmpl w:val="89C1A05D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C8EF01C"/>
    <w:multiLevelType w:val="singleLevel"/>
    <w:tmpl w:val="9C8EF01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A2B04250"/>
    <w:multiLevelType w:val="singleLevel"/>
    <w:tmpl w:val="A2B042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34618B1"/>
    <w:multiLevelType w:val="singleLevel"/>
    <w:tmpl w:val="A34618B1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5">
    <w:nsid w:val="AA00033D"/>
    <w:multiLevelType w:val="singleLevel"/>
    <w:tmpl w:val="AA00033D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6">
    <w:nsid w:val="AE9DE610"/>
    <w:multiLevelType w:val="singleLevel"/>
    <w:tmpl w:val="AE9DE61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B4A0119F"/>
    <w:multiLevelType w:val="singleLevel"/>
    <w:tmpl w:val="B4A0119F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8">
    <w:nsid w:val="BFF8DA9D"/>
    <w:multiLevelType w:val="singleLevel"/>
    <w:tmpl w:val="BFF8DA9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C00EF3BF"/>
    <w:multiLevelType w:val="singleLevel"/>
    <w:tmpl w:val="C00EF3BF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0">
    <w:nsid w:val="C1C4146B"/>
    <w:multiLevelType w:val="singleLevel"/>
    <w:tmpl w:val="C1C414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C8658A21"/>
    <w:multiLevelType w:val="singleLevel"/>
    <w:tmpl w:val="C8658A21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2">
    <w:nsid w:val="D030442F"/>
    <w:multiLevelType w:val="singleLevel"/>
    <w:tmpl w:val="D03044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DE2CC374"/>
    <w:multiLevelType w:val="singleLevel"/>
    <w:tmpl w:val="DE2CC374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4">
    <w:nsid w:val="E7C17912"/>
    <w:multiLevelType w:val="singleLevel"/>
    <w:tmpl w:val="E7C1791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5">
    <w:nsid w:val="EAE7A768"/>
    <w:multiLevelType w:val="singleLevel"/>
    <w:tmpl w:val="EAE7A768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6">
    <w:nsid w:val="EFFEF1FB"/>
    <w:multiLevelType w:val="singleLevel"/>
    <w:tmpl w:val="EFFEF1F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FF747792"/>
    <w:multiLevelType w:val="singleLevel"/>
    <w:tmpl w:val="FF74779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8">
    <w:nsid w:val="11B1052F"/>
    <w:multiLevelType w:val="singleLevel"/>
    <w:tmpl w:val="11B105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1EA87252"/>
    <w:multiLevelType w:val="singleLevel"/>
    <w:tmpl w:val="1EA8725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0">
    <w:nsid w:val="282B9E1F"/>
    <w:multiLevelType w:val="singleLevel"/>
    <w:tmpl w:val="282B9E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2EF0C0B1"/>
    <w:multiLevelType w:val="singleLevel"/>
    <w:tmpl w:val="2EF0C0B1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2">
    <w:nsid w:val="31BDCE2C"/>
    <w:multiLevelType w:val="singleLevel"/>
    <w:tmpl w:val="31BDCE2C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3">
    <w:nsid w:val="3801F385"/>
    <w:multiLevelType w:val="singleLevel"/>
    <w:tmpl w:val="3801F38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4">
    <w:nsid w:val="3CB9E687"/>
    <w:multiLevelType w:val="singleLevel"/>
    <w:tmpl w:val="3CB9E68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5">
    <w:nsid w:val="41D4633A"/>
    <w:multiLevelType w:val="singleLevel"/>
    <w:tmpl w:val="41D4633A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6">
    <w:nsid w:val="5301B9BA"/>
    <w:multiLevelType w:val="singleLevel"/>
    <w:tmpl w:val="5301B9B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7">
    <w:nsid w:val="68895ED8"/>
    <w:multiLevelType w:val="singleLevel"/>
    <w:tmpl w:val="68895E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8">
    <w:nsid w:val="699AADF1"/>
    <w:multiLevelType w:val="singleLevel"/>
    <w:tmpl w:val="699AAD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>
    <w:nsid w:val="6ED01A3B"/>
    <w:multiLevelType w:val="singleLevel"/>
    <w:tmpl w:val="6ED01A3B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30">
    <w:nsid w:val="7E089298"/>
    <w:multiLevelType w:val="singleLevel"/>
    <w:tmpl w:val="7E0892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1">
    <w:nsid w:val="7F5FE42F"/>
    <w:multiLevelType w:val="singleLevel"/>
    <w:tmpl w:val="7F5FE4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8"/>
  </w:num>
  <w:num w:numId="3">
    <w:abstractNumId w:val="31"/>
  </w:num>
  <w:num w:numId="4">
    <w:abstractNumId w:val="30"/>
  </w:num>
  <w:num w:numId="5">
    <w:abstractNumId w:val="20"/>
  </w:num>
  <w:num w:numId="6">
    <w:abstractNumId w:val="16"/>
  </w:num>
  <w:num w:numId="7">
    <w:abstractNumId w:val="8"/>
  </w:num>
  <w:num w:numId="8">
    <w:abstractNumId w:val="26"/>
  </w:num>
  <w:num w:numId="9">
    <w:abstractNumId w:val="2"/>
  </w:num>
  <w:num w:numId="10">
    <w:abstractNumId w:val="3"/>
  </w:num>
  <w:num w:numId="11">
    <w:abstractNumId w:val="6"/>
  </w:num>
  <w:num w:numId="12">
    <w:abstractNumId w:val="5"/>
  </w:num>
  <w:num w:numId="13">
    <w:abstractNumId w:val="29"/>
  </w:num>
  <w:num w:numId="14">
    <w:abstractNumId w:val="7"/>
  </w:num>
  <w:num w:numId="15">
    <w:abstractNumId w:val="10"/>
  </w:num>
  <w:num w:numId="16">
    <w:abstractNumId w:val="17"/>
  </w:num>
  <w:num w:numId="17">
    <w:abstractNumId w:val="14"/>
  </w:num>
  <w:num w:numId="18">
    <w:abstractNumId w:val="11"/>
  </w:num>
  <w:num w:numId="19">
    <w:abstractNumId w:val="15"/>
  </w:num>
  <w:num w:numId="20">
    <w:abstractNumId w:val="4"/>
  </w:num>
  <w:num w:numId="21">
    <w:abstractNumId w:val="18"/>
  </w:num>
  <w:num w:numId="22">
    <w:abstractNumId w:val="23"/>
  </w:num>
  <w:num w:numId="23">
    <w:abstractNumId w:val="22"/>
  </w:num>
  <w:num w:numId="24">
    <w:abstractNumId w:val="25"/>
  </w:num>
  <w:num w:numId="25">
    <w:abstractNumId w:val="9"/>
  </w:num>
  <w:num w:numId="26">
    <w:abstractNumId w:val="12"/>
  </w:num>
  <w:num w:numId="27">
    <w:abstractNumId w:val="24"/>
  </w:num>
  <w:num w:numId="28">
    <w:abstractNumId w:val="13"/>
  </w:num>
  <w:num w:numId="29">
    <w:abstractNumId w:val="21"/>
  </w:num>
  <w:num w:numId="30">
    <w:abstractNumId w:val="19"/>
  </w:num>
  <w:num w:numId="31">
    <w:abstractNumId w:val="0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165668"/>
    <w:rsid w:val="06EC66E0"/>
    <w:rsid w:val="0936452D"/>
    <w:rsid w:val="0A3956AE"/>
    <w:rsid w:val="0A9229F4"/>
    <w:rsid w:val="0E4A36D3"/>
    <w:rsid w:val="0E545297"/>
    <w:rsid w:val="0EDD07D2"/>
    <w:rsid w:val="0F501F02"/>
    <w:rsid w:val="0FA83AEC"/>
    <w:rsid w:val="10806817"/>
    <w:rsid w:val="11DD1A47"/>
    <w:rsid w:val="127D1F80"/>
    <w:rsid w:val="12A165D1"/>
    <w:rsid w:val="12E225AE"/>
    <w:rsid w:val="14AB3737"/>
    <w:rsid w:val="14D64C58"/>
    <w:rsid w:val="1579078D"/>
    <w:rsid w:val="15D207BD"/>
    <w:rsid w:val="16210154"/>
    <w:rsid w:val="16904AA8"/>
    <w:rsid w:val="194523AC"/>
    <w:rsid w:val="1A2E2E40"/>
    <w:rsid w:val="1A3D7527"/>
    <w:rsid w:val="1DD65CC8"/>
    <w:rsid w:val="209677A6"/>
    <w:rsid w:val="21CD5401"/>
    <w:rsid w:val="21DA565B"/>
    <w:rsid w:val="230B6414"/>
    <w:rsid w:val="23ED3E50"/>
    <w:rsid w:val="24653902"/>
    <w:rsid w:val="2584425C"/>
    <w:rsid w:val="289D6024"/>
    <w:rsid w:val="28A16ED3"/>
    <w:rsid w:val="2B6F150A"/>
    <w:rsid w:val="2B890BEA"/>
    <w:rsid w:val="2B905794"/>
    <w:rsid w:val="2C6E531E"/>
    <w:rsid w:val="2DA57465"/>
    <w:rsid w:val="3025663B"/>
    <w:rsid w:val="304C1E1A"/>
    <w:rsid w:val="30E12562"/>
    <w:rsid w:val="31644F41"/>
    <w:rsid w:val="325E2F50"/>
    <w:rsid w:val="331A61FF"/>
    <w:rsid w:val="33C92492"/>
    <w:rsid w:val="343706EB"/>
    <w:rsid w:val="36443E34"/>
    <w:rsid w:val="379E29EC"/>
    <w:rsid w:val="38003C16"/>
    <w:rsid w:val="38376F0C"/>
    <w:rsid w:val="3891486E"/>
    <w:rsid w:val="3A964F97"/>
    <w:rsid w:val="3F3254F2"/>
    <w:rsid w:val="3F424DA7"/>
    <w:rsid w:val="41347641"/>
    <w:rsid w:val="420247A0"/>
    <w:rsid w:val="44A92F3F"/>
    <w:rsid w:val="44FE14DD"/>
    <w:rsid w:val="46326F64"/>
    <w:rsid w:val="465965BA"/>
    <w:rsid w:val="48D507A7"/>
    <w:rsid w:val="48FA645F"/>
    <w:rsid w:val="4A9C37DF"/>
    <w:rsid w:val="4BDE5BC4"/>
    <w:rsid w:val="4ED35788"/>
    <w:rsid w:val="4ED92673"/>
    <w:rsid w:val="4F2935FA"/>
    <w:rsid w:val="50C7131D"/>
    <w:rsid w:val="513444D8"/>
    <w:rsid w:val="51E1554A"/>
    <w:rsid w:val="52135E36"/>
    <w:rsid w:val="52E23760"/>
    <w:rsid w:val="54FC530D"/>
    <w:rsid w:val="55142657"/>
    <w:rsid w:val="55FD30EB"/>
    <w:rsid w:val="56890A8D"/>
    <w:rsid w:val="5B62358D"/>
    <w:rsid w:val="5B94004E"/>
    <w:rsid w:val="5F2F08BE"/>
    <w:rsid w:val="62DB4D1F"/>
    <w:rsid w:val="642122C3"/>
    <w:rsid w:val="64860C9F"/>
    <w:rsid w:val="67295A98"/>
    <w:rsid w:val="69513A22"/>
    <w:rsid w:val="6A294057"/>
    <w:rsid w:val="6C9B14F3"/>
    <w:rsid w:val="6D6D4BA2"/>
    <w:rsid w:val="6EDC1FE0"/>
    <w:rsid w:val="70EB650A"/>
    <w:rsid w:val="71216EAB"/>
    <w:rsid w:val="72035AD5"/>
    <w:rsid w:val="724E6446"/>
    <w:rsid w:val="7288530B"/>
    <w:rsid w:val="73DA3A6B"/>
    <w:rsid w:val="744B2C59"/>
    <w:rsid w:val="7AE04C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3764</Words>
  <Characters>3995</Characters>
  <Lines>0</Lines>
  <Paragraphs>0</Paragraphs>
  <TotalTime>1</TotalTime>
  <ScaleCrop>false</ScaleCrop>
  <LinksUpToDate>false</LinksUpToDate>
  <CharactersWithSpaces>4132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2025-08-21T17:45:00Z</dcterms:created>
  <dc:creator>18442</dc:creator>
  <cp:lastModifiedBy>nancy杨茜</cp:lastModifiedBy>
  <dcterms:modified xsi:type="dcterms:W3CDTF">2026-01-07T01:23:30Z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2025-08-21T16:44:00Z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0F20D3D6E75143B382DA463C0C50D04D_12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