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9D61F7">
      <w:pPr>
        <w:pStyle w:val="32"/>
        <w:bidi w:val="0"/>
      </w:pPr>
      <w:bookmarkStart w:id="0" w:name="_Toc6998"/>
    </w:p>
    <w:p w14:paraId="3809685F">
      <w:pPr>
        <w:pStyle w:val="32"/>
        <w:bidi w:val="0"/>
      </w:pPr>
      <w:r>
        <w:t>应急演练总结报告</w:t>
      </w:r>
      <w:bookmarkEnd w:id="0"/>
    </w:p>
    <w:p w14:paraId="0DAB5031">
      <w:pPr>
        <w:bidi w:val="0"/>
      </w:pPr>
    </w:p>
    <w:p w14:paraId="621613D7">
      <w:pPr>
        <w:pStyle w:val="33"/>
        <w:bidi w:val="0"/>
      </w:pPr>
      <w:bookmarkStart w:id="1" w:name="_Toc28910"/>
      <w:r>
        <w:t>甘肃国邦信息科技有限公司</w:t>
      </w:r>
      <w:bookmarkEnd w:id="1"/>
    </w:p>
    <w:p w14:paraId="66AD7ADC">
      <w:pPr>
        <w:spacing w:before="117" w:line="219" w:lineRule="auto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2025年10月20日</w:t>
      </w:r>
    </w:p>
    <w:p w14:paraId="7CAC01D1">
      <w:pPr>
        <w:jc w:val="center"/>
        <w:rPr>
          <w:rFonts w:ascii="宋体" w:hAnsi="宋体" w:eastAsia="宋体" w:cs="宋体"/>
          <w:b/>
          <w:bCs/>
          <w:spacing w:val="6"/>
          <w:sz w:val="31"/>
          <w:szCs w:val="31"/>
        </w:rPr>
      </w:pPr>
      <w:r>
        <w:rPr>
          <w:rFonts w:ascii="宋体" w:hAnsi="宋体" w:eastAsia="宋体" w:cs="宋体"/>
          <w:b/>
          <w:bCs/>
          <w:spacing w:val="6"/>
          <w:sz w:val="31"/>
          <w:szCs w:val="31"/>
        </w:rPr>
        <w:br w:type="page"/>
      </w:r>
    </w:p>
    <w:p w14:paraId="49798049">
      <w:pPr>
        <w:spacing w:before="91" w:line="220" w:lineRule="auto"/>
        <w:ind w:left="3811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4056"/>
      <w:bookmarkStart w:id="3" w:name="_Toc23866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  <w:bookmarkEnd w:id="3"/>
    </w:p>
    <w:p w14:paraId="3E00680C">
      <w:pPr>
        <w:spacing w:line="131" w:lineRule="exact"/>
      </w:pPr>
    </w:p>
    <w:tbl>
      <w:tblPr>
        <w:tblStyle w:val="25"/>
        <w:tblW w:w="91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11"/>
        <w:gridCol w:w="1548"/>
        <w:gridCol w:w="2341"/>
        <w:gridCol w:w="1982"/>
        <w:gridCol w:w="1563"/>
      </w:tblGrid>
      <w:tr w14:paraId="7F40F6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  <w:jc w:val="center"/>
        </w:trPr>
        <w:tc>
          <w:tcPr>
            <w:tcW w:w="1711" w:type="dxa"/>
          </w:tcPr>
          <w:p w14:paraId="774E59CB">
            <w:pPr>
              <w:pStyle w:val="26"/>
              <w:spacing w:before="125" w:line="325" w:lineRule="auto"/>
              <w:ind w:right="250"/>
            </w:pPr>
            <w:r>
              <w:rPr>
                <w:spacing w:val="-3"/>
              </w:rPr>
              <w:t>文档名称编</w:t>
            </w:r>
            <w:r>
              <w:t>号</w:t>
            </w:r>
          </w:p>
        </w:tc>
        <w:tc>
          <w:tcPr>
            <w:tcW w:w="7434" w:type="dxa"/>
            <w:gridSpan w:val="4"/>
          </w:tcPr>
          <w:p w14:paraId="4CF8DF2F">
            <w:pPr>
              <w:spacing w:line="291" w:lineRule="auto"/>
              <w:rPr>
                <w:rFonts w:ascii="Arial"/>
                <w:sz w:val="21"/>
              </w:rPr>
            </w:pPr>
          </w:p>
          <w:p w14:paraId="76C7E1E5">
            <w:pPr>
              <w:pStyle w:val="26"/>
              <w:spacing w:before="78" w:line="218" w:lineRule="auto"/>
              <w:ind w:left="112"/>
            </w:pPr>
            <w:r>
              <w:rPr>
                <w:rFonts w:hint="eastAsia"/>
                <w:spacing w:val="-1"/>
                <w:lang w:val="en-US" w:eastAsia="zh-CN"/>
              </w:rPr>
              <w:t>应急演练总结报告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ZNHFYJYA</w:t>
            </w:r>
            <w:r>
              <w:rPr>
                <w:spacing w:val="-1"/>
              </w:rPr>
              <w:t>）</w:t>
            </w:r>
          </w:p>
        </w:tc>
      </w:tr>
      <w:tr w14:paraId="58DC2E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0C4544DD">
            <w:pPr>
              <w:pStyle w:val="26"/>
              <w:spacing w:before="182" w:line="220" w:lineRule="auto"/>
              <w:ind w:left="114"/>
            </w:pPr>
            <w:r>
              <w:rPr>
                <w:spacing w:val="-3"/>
              </w:rPr>
              <w:t>编制单位</w:t>
            </w:r>
          </w:p>
        </w:tc>
        <w:tc>
          <w:tcPr>
            <w:tcW w:w="7434" w:type="dxa"/>
            <w:gridSpan w:val="4"/>
          </w:tcPr>
          <w:p w14:paraId="0EA81C2F">
            <w:pPr>
              <w:pStyle w:val="26"/>
              <w:spacing w:before="182" w:line="219" w:lineRule="auto"/>
              <w:ind w:left="109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384642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1F645E70">
            <w:pPr>
              <w:pStyle w:val="26"/>
              <w:spacing w:before="184" w:line="220" w:lineRule="auto"/>
              <w:ind w:left="114"/>
            </w:pPr>
            <w:r>
              <w:rPr>
                <w:spacing w:val="-3"/>
              </w:rPr>
              <w:t>文档密级</w:t>
            </w:r>
          </w:p>
        </w:tc>
        <w:tc>
          <w:tcPr>
            <w:tcW w:w="7434" w:type="dxa"/>
            <w:gridSpan w:val="4"/>
          </w:tcPr>
          <w:p w14:paraId="6CEFC40F">
            <w:pPr>
              <w:pStyle w:val="26"/>
              <w:spacing w:before="184" w:line="220" w:lineRule="auto"/>
              <w:ind w:left="108"/>
            </w:pPr>
            <w:r>
              <w:rPr>
                <w:spacing w:val="-3"/>
              </w:rPr>
              <w:t>秘密</w:t>
            </w:r>
          </w:p>
        </w:tc>
      </w:tr>
      <w:tr w14:paraId="57EDD3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11" w:type="dxa"/>
          </w:tcPr>
          <w:p w14:paraId="32213836">
            <w:pPr>
              <w:pStyle w:val="26"/>
              <w:spacing w:before="186" w:line="219" w:lineRule="auto"/>
            </w:pPr>
            <w:r>
              <w:rPr>
                <w:spacing w:val="-3"/>
              </w:rPr>
              <w:t>文档版本</w:t>
            </w:r>
          </w:p>
        </w:tc>
        <w:tc>
          <w:tcPr>
            <w:tcW w:w="1548" w:type="dxa"/>
          </w:tcPr>
          <w:p w14:paraId="42BDEA45">
            <w:pPr>
              <w:pStyle w:val="26"/>
              <w:spacing w:before="186" w:line="219" w:lineRule="auto"/>
              <w:ind w:left="371"/>
            </w:pPr>
            <w:r>
              <w:rPr>
                <w:spacing w:val="-2"/>
              </w:rPr>
              <w:t>版本日期</w:t>
            </w:r>
          </w:p>
        </w:tc>
        <w:tc>
          <w:tcPr>
            <w:tcW w:w="2341" w:type="dxa"/>
          </w:tcPr>
          <w:p w14:paraId="3AB2181A">
            <w:pPr>
              <w:pStyle w:val="26"/>
              <w:spacing w:before="186" w:line="219" w:lineRule="auto"/>
              <w:ind w:left="695"/>
            </w:pPr>
            <w:r>
              <w:rPr>
                <w:spacing w:val="-2"/>
              </w:rPr>
              <w:t>版本说明</w:t>
            </w:r>
          </w:p>
        </w:tc>
        <w:tc>
          <w:tcPr>
            <w:tcW w:w="1982" w:type="dxa"/>
          </w:tcPr>
          <w:p w14:paraId="132E7F79">
            <w:pPr>
              <w:pStyle w:val="26"/>
              <w:spacing w:before="187" w:line="220" w:lineRule="auto"/>
              <w:ind w:left="758"/>
            </w:pPr>
            <w:r>
              <w:rPr>
                <w:spacing w:val="-3"/>
              </w:rPr>
              <w:t>作者</w:t>
            </w:r>
          </w:p>
        </w:tc>
        <w:tc>
          <w:tcPr>
            <w:tcW w:w="1563" w:type="dxa"/>
          </w:tcPr>
          <w:p w14:paraId="06BA3ECA">
            <w:pPr>
              <w:pStyle w:val="26"/>
              <w:spacing w:before="187" w:line="220" w:lineRule="auto"/>
              <w:ind w:left="559"/>
            </w:pPr>
            <w:r>
              <w:rPr>
                <w:spacing w:val="-6"/>
              </w:rPr>
              <w:t>审核</w:t>
            </w:r>
          </w:p>
        </w:tc>
      </w:tr>
      <w:tr w14:paraId="1AF1CC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1711" w:type="dxa"/>
          </w:tcPr>
          <w:p w14:paraId="5C27E27B">
            <w:pPr>
              <w:pStyle w:val="26"/>
              <w:spacing w:before="162" w:line="239" w:lineRule="auto"/>
              <w:ind w:left="538"/>
            </w:pPr>
            <w:r>
              <w:rPr>
                <w:spacing w:val="-1"/>
              </w:rPr>
              <w:t>V1.0</w:t>
            </w:r>
          </w:p>
        </w:tc>
        <w:tc>
          <w:tcPr>
            <w:tcW w:w="1548" w:type="dxa"/>
          </w:tcPr>
          <w:p w14:paraId="5A7CD12D">
            <w:pPr>
              <w:pStyle w:val="26"/>
              <w:spacing w:before="162"/>
              <w:ind w:left="313"/>
              <w:rPr>
                <w:rFonts w:hint="default" w:eastAsia="仿宋"/>
                <w:lang w:val="en-US" w:eastAsia="zh-CN"/>
              </w:rPr>
            </w:pPr>
            <w:r>
              <w:rPr>
                <w:spacing w:val="-2"/>
              </w:rPr>
              <w:t>2025-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341" w:type="dxa"/>
          </w:tcPr>
          <w:p w14:paraId="1C216F76">
            <w:pPr>
              <w:pStyle w:val="26"/>
              <w:spacing w:before="128" w:line="219" w:lineRule="auto"/>
              <w:ind w:left="698"/>
            </w:pPr>
            <w:r>
              <w:rPr>
                <w:spacing w:val="-3"/>
              </w:rPr>
              <w:t>发布版本</w:t>
            </w:r>
          </w:p>
        </w:tc>
        <w:tc>
          <w:tcPr>
            <w:tcW w:w="1982" w:type="dxa"/>
          </w:tcPr>
          <w:p w14:paraId="3BAED6DF">
            <w:pPr>
              <w:pStyle w:val="26"/>
              <w:spacing w:before="128" w:line="220" w:lineRule="auto"/>
              <w:ind w:left="639"/>
            </w:pPr>
            <w:r>
              <w:rPr>
                <w:rFonts w:hint="eastAsia"/>
                <w:spacing w:val="-3"/>
              </w:rPr>
              <w:t>金文莉</w:t>
            </w:r>
          </w:p>
        </w:tc>
        <w:tc>
          <w:tcPr>
            <w:tcW w:w="1563" w:type="dxa"/>
          </w:tcPr>
          <w:p w14:paraId="265E8600">
            <w:pPr>
              <w:pStyle w:val="26"/>
              <w:spacing w:before="129" w:line="220" w:lineRule="auto"/>
              <w:ind w:left="439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pacing w:val="-5"/>
                <w:lang w:val="en-US" w:eastAsia="zh-CN"/>
              </w:rPr>
              <w:t>黄益溪</w:t>
            </w:r>
          </w:p>
        </w:tc>
      </w:tr>
      <w:tr w14:paraId="3E8D00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711" w:type="dxa"/>
          </w:tcPr>
          <w:p w14:paraId="4FA4697A"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 w14:paraId="473B93C6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5360F6F0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6861FD01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24539026">
            <w:pPr>
              <w:rPr>
                <w:rFonts w:ascii="Arial"/>
                <w:sz w:val="21"/>
              </w:rPr>
            </w:pPr>
          </w:p>
        </w:tc>
      </w:tr>
      <w:tr w14:paraId="58C82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11" w:type="dxa"/>
          </w:tcPr>
          <w:p w14:paraId="4A889623">
            <w:pPr>
              <w:rPr>
                <w:rFonts w:ascii="Arial"/>
                <w:sz w:val="21"/>
              </w:rPr>
            </w:pPr>
          </w:p>
        </w:tc>
        <w:tc>
          <w:tcPr>
            <w:tcW w:w="1548" w:type="dxa"/>
          </w:tcPr>
          <w:p w14:paraId="3F49AC75">
            <w:pPr>
              <w:rPr>
                <w:rFonts w:ascii="Arial"/>
                <w:sz w:val="21"/>
              </w:rPr>
            </w:pPr>
          </w:p>
        </w:tc>
        <w:tc>
          <w:tcPr>
            <w:tcW w:w="2341" w:type="dxa"/>
          </w:tcPr>
          <w:p w14:paraId="307239D0">
            <w:pPr>
              <w:rPr>
                <w:rFonts w:ascii="Arial"/>
                <w:sz w:val="21"/>
              </w:rPr>
            </w:pPr>
          </w:p>
        </w:tc>
        <w:tc>
          <w:tcPr>
            <w:tcW w:w="1982" w:type="dxa"/>
          </w:tcPr>
          <w:p w14:paraId="4E0149EE">
            <w:pPr>
              <w:rPr>
                <w:rFonts w:ascii="Arial"/>
                <w:sz w:val="21"/>
              </w:rPr>
            </w:pPr>
          </w:p>
        </w:tc>
        <w:tc>
          <w:tcPr>
            <w:tcW w:w="1563" w:type="dxa"/>
          </w:tcPr>
          <w:p w14:paraId="2E62CD59">
            <w:pPr>
              <w:rPr>
                <w:rFonts w:ascii="Arial"/>
                <w:sz w:val="21"/>
              </w:rPr>
            </w:pPr>
          </w:p>
        </w:tc>
      </w:tr>
    </w:tbl>
    <w:p w14:paraId="26AC59CE">
      <w:r>
        <w:br w:type="page"/>
      </w:r>
    </w:p>
    <w:p w14:paraId="42CD4B48"/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423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9157A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1932E25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_Toc6998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应急演练总结报告</w:t>
          </w:r>
          <w:r>
            <w:tab/>
          </w:r>
          <w:r>
            <w:fldChar w:fldCharType="begin"/>
          </w:r>
          <w:r>
            <w:instrText xml:space="preserve"> PAGEREF _Toc6998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EBF6803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_Toc28910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_Toc28910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B101DF1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_Toc23866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_Toc23866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808496A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_Toc5129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演练概述</w:t>
          </w:r>
          <w:r>
            <w:tab/>
          </w:r>
          <w:r>
            <w:fldChar w:fldCharType="begin"/>
          </w:r>
          <w:r>
            <w:instrText xml:space="preserve"> PAGEREF _Toc5129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18F79D7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_Toc29617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演练完成情况详细总结</w:t>
          </w:r>
          <w:r>
            <w:tab/>
          </w:r>
          <w:r>
            <w:fldChar w:fldCharType="begin"/>
          </w:r>
          <w:r>
            <w:instrText xml:space="preserve"> PAGEREF _Toc29617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E1F40D6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_Toc8943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综合评估与主要收获</w:t>
          </w:r>
          <w:r>
            <w:tab/>
          </w:r>
          <w:r>
            <w:fldChar w:fldCharType="begin"/>
          </w:r>
          <w:r>
            <w:instrText xml:space="preserve"> PAGEREF _Toc8943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C1DC50A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_Toc23366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存在的问题与改进计划</w:t>
          </w:r>
          <w:r>
            <w:tab/>
          </w:r>
          <w:r>
            <w:fldChar w:fldCharType="begin"/>
          </w:r>
          <w:r>
            <w:instrText xml:space="preserve"> PAGEREF _Toc23366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0BB1117">
          <w:pPr>
            <w:pStyle w:val="16"/>
            <w:tabs>
              <w:tab w:val="right" w:leader="dot" w:pos="8375"/>
            </w:tabs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_Toc3577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结论</w:t>
          </w:r>
          <w:r>
            <w:tab/>
          </w:r>
          <w:r>
            <w:fldChar w:fldCharType="begin"/>
          </w:r>
          <w:r>
            <w:instrText xml:space="preserve"> PAGEREF _Toc3577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C91F7A4">
          <w:pPr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3C3E28A6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p w14:paraId="7A577786"/>
    <w:p w14:paraId="6C4C7848">
      <w:pPr>
        <w:pStyle w:val="12"/>
        <w:spacing w:line="264" w:lineRule="auto"/>
      </w:pPr>
    </w:p>
    <w:p w14:paraId="67E61563">
      <w:pPr>
        <w:rPr>
          <w:rFonts w:ascii="黑体" w:hAnsi="黑体" w:eastAsia="黑体" w:cs="黑体"/>
          <w:spacing w:val="-8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br w:type="page"/>
      </w:r>
    </w:p>
    <w:p w14:paraId="760DA03F">
      <w:pPr>
        <w:pStyle w:val="27"/>
        <w:bidi w:val="0"/>
        <w:rPr>
          <w:rFonts w:hint="default"/>
          <w:lang w:val="en-US" w:eastAsia="zh-CN"/>
        </w:rPr>
      </w:pPr>
      <w:bookmarkStart w:id="4" w:name="_Toc5129"/>
      <w:r>
        <w:rPr>
          <w:rFonts w:hint="default"/>
          <w:lang w:val="en-US" w:eastAsia="zh-CN"/>
        </w:rPr>
        <w:t>演练概述</w:t>
      </w:r>
      <w:bookmarkEnd w:id="4"/>
    </w:p>
    <w:p w14:paraId="484CA4CF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《临夏回族自治州中医医院“智慧银医”项目应急预案》及《2025年度应急响应演练计划》的安排，为检验并提升项目团队应对信息系统突发事件的实战能力，保障医院核心业务连续稳定运行，我司于2025年5月至10月期间，成功组织并实施了四次专项应急演练。</w:t>
      </w:r>
    </w:p>
    <w:p w14:paraId="09B69D3D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系列演练严格遵循“结合实际、着眼实战、精心组织、确保安全”的原则，覆盖了网络、服务器、存储等关键基础设施的典型故障场景。演练均采用实战形式，涉及运维部、研发部、质量部等多部门协同，圆满完成了既定目标，有效验证了应急预案的可行性与团队应急响应机制的有效性。</w:t>
      </w:r>
    </w:p>
    <w:p w14:paraId="4D350D1F">
      <w:pPr>
        <w:pStyle w:val="27"/>
        <w:bidi w:val="0"/>
        <w:rPr>
          <w:rFonts w:hint="default"/>
          <w:lang w:val="en-US" w:eastAsia="zh-CN"/>
        </w:rPr>
      </w:pPr>
      <w:bookmarkStart w:id="5" w:name="_Toc29617"/>
      <w:r>
        <w:rPr>
          <w:rFonts w:hint="default"/>
          <w:lang w:val="en-US" w:eastAsia="zh-CN"/>
        </w:rPr>
        <w:t>演练完成情况详细总结</w:t>
      </w:r>
      <w:bookmarkEnd w:id="5"/>
    </w:p>
    <w:p w14:paraId="79B4CC7E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本年度计划开展五项演练，实际完成四项，具体实施情况如下：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7"/>
        <w:gridCol w:w="847"/>
        <w:gridCol w:w="948"/>
        <w:gridCol w:w="984"/>
        <w:gridCol w:w="1311"/>
        <w:gridCol w:w="2403"/>
        <w:gridCol w:w="1657"/>
      </w:tblGrid>
      <w:tr w14:paraId="619B9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4951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B8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A37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727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实际完成时间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FCB2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参与人员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18F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关键指标/结果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ACB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主要改进建议落实情况</w:t>
            </w:r>
          </w:p>
        </w:tc>
      </w:tr>
      <w:tr w14:paraId="5229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CF82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43D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网络核心配置丢失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417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2025-05-10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054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2025-05-10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685C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黄益溪、金文莉、胡葛鹏宇、游天舒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15C6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备用交换机切换及时，网络中断时间控制在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15分钟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FCF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已启动配置自动备份频率增加及版本管理机制建设。</w:t>
            </w:r>
          </w:p>
        </w:tc>
      </w:tr>
      <w:tr w14:paraId="499A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331B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78E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接入层交换机故障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168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2025-07-10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B08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2025-07-10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FCD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黄益溪、金文莉、胡葛鹏宇、游天舒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4597E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故障定位准确，受影响区域网络在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内恢复。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1A51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热备机制方案已纳入下阶段优化计划，网络拓扑冗余性正在评估。</w:t>
            </w:r>
          </w:p>
        </w:tc>
      </w:tr>
      <w:tr w14:paraId="1BE76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C6F5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C68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核心服务器故障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7D13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2025-09-10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D1F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2025-09-10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323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黄益溪、金文莉、胡葛鹏宇、游天舒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E5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备用服务器启动及业务恢复耗时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25分钟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，达到预期恢复时间目标（RTO）。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399C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正在研究关键业务系统热备方案，服务器健康检查清单已制度化。</w:t>
            </w:r>
          </w:p>
        </w:tc>
      </w:tr>
      <w:tr w14:paraId="09FC7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0042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633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存储故障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A3A5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2025-10-10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38E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2025-10-10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BD5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黄益溪、金文莉、胡葛鹏宇、游天舒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39B09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硬盘更换与RAID重建耗时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18分钟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，控制器切换耗时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5分钟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，</w:t>
            </w:r>
            <w:bookmarkStart w:id="9" w:name="_GoBack"/>
            <w:bookmarkEnd w:id="9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数据恢复完整。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1D45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已着手提升存储监控粒度，并计划定期进行备份恢复有效性验证。</w:t>
            </w:r>
          </w:p>
        </w:tc>
      </w:tr>
      <w:tr w14:paraId="41AD0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94AF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0787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华为云故障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930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2025-11-10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46A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按计划进行中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E641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计划中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21A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待演练后评估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2C7C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4"/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待演练后提出</w:t>
            </w:r>
          </w:p>
        </w:tc>
      </w:tr>
    </w:tbl>
    <w:p w14:paraId="11994E83">
      <w:pPr>
        <w:pStyle w:val="28"/>
        <w:bidi w:val="0"/>
        <w:rPr>
          <w:rFonts w:hint="default"/>
          <w:lang w:val="en-US" w:eastAsia="zh-CN"/>
        </w:rPr>
      </w:pPr>
    </w:p>
    <w:p w14:paraId="179A9A58">
      <w:pPr>
        <w:pStyle w:val="27"/>
        <w:bidi w:val="0"/>
        <w:rPr>
          <w:rFonts w:hint="default"/>
          <w:lang w:val="en-US" w:eastAsia="zh-CN"/>
        </w:rPr>
      </w:pPr>
      <w:bookmarkStart w:id="6" w:name="_Toc8943"/>
      <w:r>
        <w:rPr>
          <w:rFonts w:hint="default"/>
          <w:lang w:val="en-US" w:eastAsia="zh-CN"/>
        </w:rPr>
        <w:t>综合评估与主要收获</w:t>
      </w:r>
      <w:bookmarkEnd w:id="6"/>
    </w:p>
    <w:p w14:paraId="14A1FAE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通过本年度系统性的应急演练，项目应急响应体系得到全面检验与强化，主要收获如下：</w:t>
      </w:r>
    </w:p>
    <w:p w14:paraId="6BAF2A4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与流程得到验证与优化：实战演练证明，现有应急预案（GSGB-ITSS-ZNHFYJYA）的框架与专项流程（如服务器、网络故障预案）基本有效。演练记录中产生的具体改进建议（如配置管理、热备机制），为预案的持续修订（依据预案每年修订的要求）提供了精准输入。</w:t>
      </w:r>
    </w:p>
    <w:p w14:paraId="293CAC0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组织与协同能力提升：固定的“应急响应小组”（组长：黄益溪，副组长：金文莉，成员：胡葛鹏宇、游天舒）在多次演练中配合默契，指挥链路清晰，报告流程顺畅，符合应急预案中“快速反应、高效配合”的原则，履行了从事件确认、上报到处置、反馈的完整职责。</w:t>
      </w:r>
    </w:p>
    <w:p w14:paraId="67DF4EA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实战技能与意识增强：技术人员在故障定位、设备切换、数据恢复等关键环节表现出良好的专业技能。演练同时普及了应急知识，提升了全员风险防范与应急处置意识，实现了“锻炼队伍”和“科普宣传”的目的。</w:t>
      </w:r>
    </w:p>
    <w:p w14:paraId="6CCE2812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基础管理暴露改进点：演练成功检验了现有备份策略、备用资源（交换机、服务器）的有效性。同时，也暴露出在配置自动化管理、跨云容灾方案细化、监控预警前瞻性等方面的提升空间，这与《应急演练总结报告》中关于“完善组织过程资产”和“提升服务主动性”的反思方向一致。</w:t>
      </w:r>
    </w:p>
    <w:p w14:paraId="23ACBEB4">
      <w:pPr>
        <w:pStyle w:val="27"/>
        <w:bidi w:val="0"/>
        <w:rPr>
          <w:rFonts w:hint="default"/>
          <w:lang w:val="en-US" w:eastAsia="zh-CN"/>
        </w:rPr>
      </w:pPr>
      <w:bookmarkStart w:id="7" w:name="_Toc23366"/>
      <w:r>
        <w:rPr>
          <w:rFonts w:hint="default"/>
          <w:lang w:val="en-US" w:eastAsia="zh-CN"/>
        </w:rPr>
        <w:t>存在的问题与改进计划</w:t>
      </w:r>
      <w:bookmarkEnd w:id="7"/>
    </w:p>
    <w:p w14:paraId="3FDE9C25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尽管演练整体成功，但结合演练记录和复盘分析，我们识别出以下需持续改进的领域：</w:t>
      </w:r>
    </w:p>
    <w:p w14:paraId="6133893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广度与深度可扩展：目前演练集中于硬件和基础网络故障，未来需按计划完成华为云故障演练，并考虑增加网络攻击、软件故障、数据库异常等更高层、更复杂的混合场景演练，以全面匹配应急预案中定义的各类事件。</w:t>
      </w:r>
    </w:p>
    <w:p w14:paraId="619F3FAB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预案细节与实操衔接需强化：部分演练步骤与预案中的专项流程可进一步对标细化，确保文档与实际操作完全同步。例如，将演练中验证成功的具体恢复时间（RTO）和恢复点目标（RPO）反哺到预案的量化指标中。</w:t>
      </w:r>
    </w:p>
    <w:p w14:paraId="730B3732">
      <w:pPr>
        <w:pStyle w:val="27"/>
        <w:bidi w:val="0"/>
        <w:rPr>
          <w:rFonts w:hint="default"/>
          <w:lang w:val="en-US" w:eastAsia="zh-CN"/>
        </w:rPr>
      </w:pPr>
      <w:bookmarkStart w:id="8" w:name="_Toc3577"/>
      <w:r>
        <w:rPr>
          <w:rFonts w:hint="default"/>
          <w:lang w:val="en-US" w:eastAsia="zh-CN"/>
        </w:rPr>
        <w:t>结论</w:t>
      </w:r>
      <w:bookmarkEnd w:id="8"/>
    </w:p>
    <w:p w14:paraId="4741836C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“智慧银医”项目应急演练工作已按计划基本完成，取得了显著成效。演练不仅验证了现有应急体系的有效性，更发现了宝贵的改进机会，有力提升了项目团队保障医院关键信息系统持续稳定运行的能力。</w:t>
      </w:r>
    </w:p>
    <w:p w14:paraId="59EB8274">
      <w:pPr>
        <w:pStyle w:val="28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下一步，我司将严格落实本次总结中提出的改进计划，确保末次演练（华为云故障）高质量完成，并以此为基础，规划下一年度更具挑战性的应急演练主题，推动运维服务质量和应急响应能力的持续提升。</w:t>
      </w:r>
    </w:p>
    <w:sectPr>
      <w:pgSz w:w="11906" w:h="16838"/>
      <w:pgMar w:top="1431" w:right="1746" w:bottom="1417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B60706"/>
    <w:rsid w:val="00BF235A"/>
    <w:rsid w:val="015B4FE6"/>
    <w:rsid w:val="0A0D7099"/>
    <w:rsid w:val="0C0F3B47"/>
    <w:rsid w:val="0D367EB7"/>
    <w:rsid w:val="185403EE"/>
    <w:rsid w:val="193A32DB"/>
    <w:rsid w:val="1B577D2D"/>
    <w:rsid w:val="1B852F33"/>
    <w:rsid w:val="1DB95116"/>
    <w:rsid w:val="1F4849A4"/>
    <w:rsid w:val="284D3759"/>
    <w:rsid w:val="2ECD0A22"/>
    <w:rsid w:val="32355845"/>
    <w:rsid w:val="3DE11DF4"/>
    <w:rsid w:val="439D4AA7"/>
    <w:rsid w:val="462B4CC8"/>
    <w:rsid w:val="521045E8"/>
    <w:rsid w:val="52742DDF"/>
    <w:rsid w:val="54BE2A37"/>
    <w:rsid w:val="57902E1D"/>
    <w:rsid w:val="5F4D73D8"/>
    <w:rsid w:val="62FA7330"/>
    <w:rsid w:val="6ED053E9"/>
    <w:rsid w:val="790A599B"/>
    <w:rsid w:val="7C7A7570"/>
    <w:rsid w:val="7D7358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Emphasis"/>
    <w:basedOn w:val="22"/>
    <w:qFormat/>
    <w:uiPriority w:val="0"/>
    <w:rPr>
      <w:i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7">
    <w:name w:val="柴_标题1"/>
    <w:basedOn w:val="2"/>
    <w:next w:val="28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8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9">
    <w:name w:val="柴_标题2"/>
    <w:basedOn w:val="3"/>
    <w:next w:val="28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0">
    <w:name w:val="柴_标题3"/>
    <w:basedOn w:val="4"/>
    <w:next w:val="28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1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7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28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1774</Words>
  <Characters>1934</Characters>
  <Lines>0</Lines>
  <Paragraphs>0</Paragraphs>
  <TotalTime>0</TotalTime>
  <ScaleCrop>false</ScaleCrop>
  <LinksUpToDate>false</LinksUpToDate>
  <CharactersWithSpaces>1963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2025-08-21T18:44:00Z</dcterms:created>
  <dc:creator>18442</dc:creator>
  <cp:lastModifiedBy>nancy杨茜</cp:lastModifiedBy>
  <dcterms:modified xsi:type="dcterms:W3CDTF">2026-01-07T01:26:58Z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2025-08-21T16:43:53Z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0C903783E5F34BE1B567F9BC6DC182FD_12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