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6BD87">
      <w:pPr>
        <w:pStyle w:val="35"/>
        <w:bidi w:val="0"/>
        <w:rPr>
          <w:rFonts w:hint="eastAsia"/>
          <w:lang w:val="en-US" w:eastAsia="zh-CN"/>
        </w:rPr>
      </w:pPr>
      <w:bookmarkStart w:id="0" w:name="_Toc8170"/>
    </w:p>
    <w:p w14:paraId="516F9D77">
      <w:pPr>
        <w:pStyle w:val="3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容量管理策略</w:t>
      </w:r>
      <w:bookmarkEnd w:id="0"/>
    </w:p>
    <w:p w14:paraId="7564DCC6">
      <w:pPr>
        <w:pStyle w:val="36"/>
        <w:bidi w:val="0"/>
      </w:pPr>
      <w:bookmarkStart w:id="1" w:name="_Toc5857"/>
      <w:r>
        <w:t>甘肃国邦信息科技有限公司</w:t>
      </w:r>
      <w:bookmarkEnd w:id="1"/>
    </w:p>
    <w:p w14:paraId="19E21E8E">
      <w:pPr>
        <w:bidi w:val="0"/>
        <w:jc w:val="center"/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-01-04</w:t>
      </w: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57A624FB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3480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4521140A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587EE7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39094E1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50CF6562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容量管理策略</w:t>
            </w:r>
            <w:r>
              <w:rPr>
                <w:spacing w:val="-1"/>
              </w:rPr>
              <w:t>（GSGB-ITSS-</w:t>
            </w:r>
            <w:r>
              <w:rPr>
                <w:rFonts w:hint="eastAsia" w:eastAsia="宋体"/>
                <w:spacing w:val="-1"/>
                <w:lang w:val="en-US" w:eastAsia="zh-CN"/>
              </w:rPr>
              <w:t>RLGL</w:t>
            </w:r>
            <w:r>
              <w:rPr>
                <w:spacing w:val="-1"/>
              </w:rPr>
              <w:t>）</w:t>
            </w:r>
          </w:p>
        </w:tc>
      </w:tr>
      <w:tr w14:paraId="2247C9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51C8C86C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25B0236A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5CED89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AA8290B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5C2024EA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17E02FC0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3D2425E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5ACA889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9ACAA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21D9BFA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6388BBB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-1-4</w:t>
            </w:r>
          </w:p>
        </w:tc>
        <w:tc>
          <w:tcPr>
            <w:tcW w:w="2302" w:type="dxa"/>
          </w:tcPr>
          <w:p w14:paraId="33DB9C5E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CCEA9CB">
            <w:pPr>
              <w:pStyle w:val="29"/>
              <w:spacing w:before="134" w:line="220" w:lineRule="auto"/>
              <w:ind w:left="480"/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1953" w:type="dxa"/>
          </w:tcPr>
          <w:p w14:paraId="4D035B17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黄益溪</w:t>
            </w:r>
          </w:p>
        </w:tc>
      </w:tr>
      <w:tr w14:paraId="45726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0324B95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769AC157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08D8FD1E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355FB0E4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38A7E548">
            <w:pPr>
              <w:pStyle w:val="29"/>
              <w:spacing w:before="134" w:line="220" w:lineRule="auto"/>
              <w:ind w:left="672"/>
            </w:pPr>
          </w:p>
        </w:tc>
      </w:tr>
      <w:tr w14:paraId="664C6A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862E32A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695E999B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4B4B07C1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64116BA2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49049447">
            <w:pPr>
              <w:pStyle w:val="29"/>
              <w:spacing w:before="135" w:line="220" w:lineRule="auto"/>
              <w:ind w:left="672"/>
            </w:pPr>
          </w:p>
        </w:tc>
      </w:tr>
      <w:tr w14:paraId="5F296D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67F1F17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5B88F9B7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268B467D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359F1A21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107E966F">
            <w:pPr>
              <w:pStyle w:val="29"/>
              <w:spacing w:before="136" w:line="220" w:lineRule="auto"/>
              <w:ind w:left="672"/>
            </w:pPr>
          </w:p>
        </w:tc>
      </w:tr>
      <w:tr w14:paraId="67562D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89" w:hRule="atLeast"/>
        </w:trPr>
        <w:tc>
          <w:tcPr>
            <w:tcW w:w="1704" w:type="dxa"/>
          </w:tcPr>
          <w:p w14:paraId="10787ACD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659C22A9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E33C0D2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331E1474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49CCC430">
            <w:pPr>
              <w:rPr>
                <w:rFonts w:ascii="Arial"/>
                <w:sz w:val="21"/>
              </w:rPr>
            </w:pPr>
          </w:p>
        </w:tc>
      </w:tr>
    </w:tbl>
    <w:p w14:paraId="4B4FA96C">
      <w:r>
        <w:br w:type="page"/>
      </w:r>
    </w:p>
    <w:sdt>
      <w:sdtPr>
        <w:rPr>
          <w:rFonts w:ascii="宋体" w:hAnsi="宋体" w:eastAsia="宋体" w:cs="Times New Roman"/>
          <w:kern w:val="2"/>
          <w:sz w:val="28"/>
          <w:szCs w:val="28"/>
          <w:lang w:val="en-US" w:eastAsia="zh-CN" w:bidi="ar-SA"/>
        </w:rPr>
        <w:id w:val="147465052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38B3A5F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400076BF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_Toc8170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容量管理策略</w:t>
          </w:r>
          <w:r>
            <w:tab/>
          </w:r>
          <w:r>
            <w:fldChar w:fldCharType="begin"/>
          </w:r>
          <w:r>
            <w:instrText xml:space="preserve"> PAGEREF _Toc8170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8F51A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_Toc5857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_Toc5857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AD1AAB5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_Toc3480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_Toc3480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4D1B9C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_Toc25745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_Toc25745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9A916B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24E9E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_Toc29632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_Toc29632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DE1AAD5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_Toc16542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_Toc16542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CEA8310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_Toc13012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_Toc13012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C923D1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_Toc5876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_Toc5876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BAA93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_Toc10943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管理流程</w:t>
          </w:r>
          <w:r>
            <w:tab/>
          </w:r>
          <w:r>
            <w:fldChar w:fldCharType="begin"/>
          </w:r>
          <w:r>
            <w:instrText xml:space="preserve"> PAGEREF _Toc10943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9A2AD1F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_Toc7563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容量规划</w:t>
          </w:r>
          <w:r>
            <w:tab/>
          </w:r>
          <w:r>
            <w:fldChar w:fldCharType="begin"/>
          </w:r>
          <w:r>
            <w:instrText xml:space="preserve"> PAGEREF _Toc7563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B6FEB1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_Toc11922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容量监控</w:t>
          </w:r>
          <w:r>
            <w:tab/>
          </w:r>
          <w:r>
            <w:fldChar w:fldCharType="begin"/>
          </w:r>
          <w:r>
            <w:instrText xml:space="preserve"> PAGEREF _Toc11922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459A02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_Toc9066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容量分析和评估</w:t>
          </w:r>
          <w:r>
            <w:tab/>
          </w:r>
          <w:r>
            <w:fldChar w:fldCharType="begin"/>
          </w:r>
          <w:r>
            <w:instrText xml:space="preserve"> PAGEREF _Toc9066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40F0F06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_Toc24713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容量优化</w:t>
          </w:r>
          <w:r>
            <w:tab/>
          </w:r>
          <w:r>
            <w:fldChar w:fldCharType="begin"/>
          </w:r>
          <w:r>
            <w:instrText xml:space="preserve"> PAGEREF _Toc24713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74F4AB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_Toc23530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管理原则</w:t>
          </w:r>
          <w:r>
            <w:tab/>
          </w:r>
          <w:r>
            <w:fldChar w:fldCharType="begin"/>
          </w:r>
          <w:r>
            <w:instrText xml:space="preserve"> PAGEREF _Toc23530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9E39D6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关键指标</w:t>
          </w:r>
          <w:r>
            <w:tab/>
          </w:r>
          <w:r>
            <w:fldChar w:fldCharType="begin"/>
          </w:r>
          <w:r>
            <w:instrText xml:space="preserve"> PAGEREF _Toc122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51E305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_Toc481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与其他流程的关系</w:t>
          </w:r>
          <w:r>
            <w:tab/>
          </w:r>
          <w:r>
            <w:fldChar w:fldCharType="begin"/>
          </w:r>
          <w:r>
            <w:instrText xml:space="preserve"> PAGEREF _Toc481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7927ABA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_Toc22230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相关记录文件</w:t>
          </w:r>
          <w:r>
            <w:tab/>
          </w:r>
          <w:r>
            <w:fldChar w:fldCharType="begin"/>
          </w:r>
          <w:r>
            <w:instrText xml:space="preserve"> PAGEREF _Toc22230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D6B4F7E">
          <w:pPr>
            <w:rPr>
              <w:rFonts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7DE9DAED">
      <w:p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0C5ABC21">
      <w:pPr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br w:type="page"/>
      </w:r>
    </w:p>
    <w:p w14:paraId="3C3F7D42">
      <w:pPr>
        <w:pStyle w:val="30"/>
        <w:bidi w:val="0"/>
        <w:rPr>
          <w:rFonts w:hint="default"/>
          <w:lang w:val="en-US" w:eastAsia="zh-CN"/>
        </w:rPr>
      </w:pPr>
      <w:bookmarkStart w:id="3" w:name="_Toc25745"/>
      <w:r>
        <w:rPr>
          <w:rFonts w:hint="default"/>
          <w:lang w:val="en-US" w:eastAsia="zh-CN"/>
        </w:rPr>
        <w:t>目的</w:t>
      </w:r>
      <w:bookmarkEnd w:id="3"/>
    </w:p>
    <w:p w14:paraId="50734F4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消除客户业务系统容量风险，确保客户业务系统容量能够经济、合理地满足业务需求。</w:t>
      </w:r>
    </w:p>
    <w:p w14:paraId="780190BF">
      <w:pPr>
        <w:pStyle w:val="30"/>
        <w:bidi w:val="0"/>
        <w:rPr>
          <w:rFonts w:hint="default"/>
          <w:lang w:val="en-US" w:eastAsia="zh-CN"/>
        </w:rPr>
      </w:pPr>
      <w:bookmarkStart w:id="4" w:name="_Toc1144"/>
      <w:r>
        <w:rPr>
          <w:rFonts w:hint="default"/>
          <w:lang w:val="en-US" w:eastAsia="zh-CN"/>
        </w:rPr>
        <w:t>适用范围</w:t>
      </w:r>
      <w:bookmarkEnd w:id="4"/>
    </w:p>
    <w:p w14:paraId="442C580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适用于公司运维服务项目容量管理。</w:t>
      </w:r>
    </w:p>
    <w:p w14:paraId="7E08BE26">
      <w:pPr>
        <w:pStyle w:val="30"/>
        <w:bidi w:val="0"/>
        <w:rPr>
          <w:rFonts w:hint="default"/>
          <w:lang w:val="en-US" w:eastAsia="zh-CN"/>
        </w:rPr>
      </w:pPr>
      <w:bookmarkStart w:id="5" w:name="_Toc29632"/>
      <w:r>
        <w:rPr>
          <w:rFonts w:hint="default"/>
          <w:lang w:val="en-US" w:eastAsia="zh-CN"/>
        </w:rPr>
        <w:t>职责</w:t>
      </w:r>
      <w:bookmarkEnd w:id="5"/>
    </w:p>
    <w:p w14:paraId="445E0018">
      <w:pPr>
        <w:pStyle w:val="32"/>
        <w:bidi w:val="0"/>
        <w:rPr>
          <w:rFonts w:hint="default"/>
          <w:lang w:val="en-US" w:eastAsia="zh-CN"/>
        </w:rPr>
      </w:pPr>
      <w:bookmarkStart w:id="6" w:name="_Toc16542"/>
      <w:r>
        <w:rPr>
          <w:rFonts w:hint="eastAsia"/>
          <w:lang w:val="en-US" w:eastAsia="zh-CN"/>
        </w:rPr>
        <w:t>研发部</w:t>
      </w:r>
      <w:bookmarkEnd w:id="6"/>
    </w:p>
    <w:p w14:paraId="05F33B3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负责从技术层面对项目容量计划、容量优化方案进行审批。</w:t>
      </w:r>
    </w:p>
    <w:p w14:paraId="739AD5F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负责指导项目容量监控与优化工作。</w:t>
      </w:r>
    </w:p>
    <w:p w14:paraId="35715682">
      <w:pPr>
        <w:pStyle w:val="32"/>
        <w:bidi w:val="0"/>
        <w:rPr>
          <w:rFonts w:hint="default"/>
          <w:lang w:val="en-US" w:eastAsia="zh-CN"/>
        </w:rPr>
      </w:pPr>
      <w:bookmarkStart w:id="7" w:name="_Toc13012"/>
      <w:r>
        <w:rPr>
          <w:rFonts w:hint="eastAsia"/>
          <w:lang w:val="en-US" w:eastAsia="zh-CN"/>
        </w:rPr>
        <w:t>运维部</w:t>
      </w:r>
      <w:bookmarkEnd w:id="7"/>
    </w:p>
    <w:p w14:paraId="67854E3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负责收集客户业务需求，调查业务系统现状，开展项目容量规划相关工作。</w:t>
      </w:r>
    </w:p>
    <w:p w14:paraId="04C0E34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按照规划开展项目的容量监控工作，收集客户业务需求、业务系统容量数据、项目资源容量数据，必要情况下采取临时措施应对系统容量不足的风险。</w:t>
      </w:r>
    </w:p>
    <w:p w14:paraId="3907178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定期开展容量分析和评估工作，判断系统容量趋势和风险，提出并实施项目容量优化方案。</w:t>
      </w:r>
    </w:p>
    <w:p w14:paraId="7ED65085">
      <w:pPr>
        <w:pStyle w:val="32"/>
        <w:bidi w:val="0"/>
        <w:rPr>
          <w:rFonts w:hint="default"/>
          <w:lang w:val="en-US" w:eastAsia="zh-CN"/>
        </w:rPr>
      </w:pPr>
      <w:bookmarkStart w:id="8" w:name="_Toc5876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</w:t>
      </w:r>
      <w:bookmarkEnd w:id="8"/>
    </w:p>
    <w:p w14:paraId="1317B63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负责从业务、成本层面对项目容量计划与优化方案进行审批。</w:t>
      </w:r>
    </w:p>
    <w:p w14:paraId="6EE51DA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负责定期对容量管理过程的持续改进工作。</w:t>
      </w:r>
    </w:p>
    <w:p w14:paraId="42FE0FB5">
      <w:pPr>
        <w:pStyle w:val="30"/>
        <w:bidi w:val="0"/>
        <w:rPr>
          <w:rFonts w:hint="default"/>
          <w:lang w:val="en-US" w:eastAsia="zh-CN"/>
        </w:rPr>
      </w:pPr>
      <w:bookmarkStart w:id="9" w:name="_Toc10943"/>
      <w:r>
        <w:rPr>
          <w:rFonts w:hint="default"/>
          <w:lang w:val="en-US" w:eastAsia="zh-CN"/>
        </w:rPr>
        <w:t>管理流程</w:t>
      </w:r>
      <w:bookmarkEnd w:id="9"/>
    </w:p>
    <w:p w14:paraId="140B03F6">
      <w:pPr>
        <w:pStyle w:val="32"/>
        <w:bidi w:val="0"/>
        <w:rPr>
          <w:rFonts w:hint="default"/>
          <w:lang w:val="en-US" w:eastAsia="zh-CN"/>
        </w:rPr>
      </w:pPr>
      <w:bookmarkStart w:id="10" w:name="_Toc7563"/>
      <w:r>
        <w:rPr>
          <w:rFonts w:hint="default"/>
          <w:lang w:val="en-US" w:eastAsia="zh-CN"/>
        </w:rPr>
        <w:t>容量规划</w:t>
      </w:r>
      <w:bookmarkEnd w:id="10"/>
    </w:p>
    <w:p w14:paraId="5A1B3072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项目经理在项目签订后根据系统现状、客户业务需求制定项目《系统容量计划》，包含资产接入标准、性能监控标准等方面。</w:t>
      </w:r>
    </w:p>
    <w:p w14:paraId="75CF4D24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项目经理协同运维工程师从技术、成本、业务的角度对项目《容量计划》进行评审，确保项目具备足够的容量。</w:t>
      </w:r>
    </w:p>
    <w:p w14:paraId="00D64886">
      <w:pPr>
        <w:pStyle w:val="32"/>
        <w:bidi w:val="0"/>
        <w:rPr>
          <w:rFonts w:hint="default"/>
          <w:lang w:val="en-US" w:eastAsia="zh-CN"/>
        </w:rPr>
      </w:pPr>
      <w:bookmarkStart w:id="11" w:name="_Toc11922"/>
      <w:r>
        <w:rPr>
          <w:rFonts w:hint="default"/>
          <w:lang w:val="en-US" w:eastAsia="zh-CN"/>
        </w:rPr>
        <w:t>容量监控</w:t>
      </w:r>
      <w:bookmarkEnd w:id="11"/>
    </w:p>
    <w:p w14:paraId="220F043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项目《容量计划》评审通过后，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项目经理立即按照规划开展容量监控工作，配置相应的资源，安排业务系统容量数据和客户业务需求的收集。</w:t>
      </w:r>
    </w:p>
    <w:p w14:paraId="29FBAB11">
      <w:pPr>
        <w:pStyle w:val="32"/>
        <w:bidi w:val="0"/>
        <w:rPr>
          <w:rFonts w:hint="default"/>
          <w:lang w:val="en-US" w:eastAsia="zh-CN"/>
        </w:rPr>
      </w:pPr>
      <w:bookmarkStart w:id="12" w:name="_Toc9066"/>
      <w:r>
        <w:rPr>
          <w:rFonts w:hint="default"/>
          <w:lang w:val="en-US" w:eastAsia="zh-CN"/>
        </w:rPr>
        <w:t>容量分析和评估</w:t>
      </w:r>
      <w:bookmarkEnd w:id="12"/>
    </w:p>
    <w:p w14:paraId="76CA56C8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项目经理定期对客户业务需求、业务系统容量数据、项目资源容量数据、进行分析和评估，分析容量趋势和变化，识别容量风险。必要情况下采取临时措施应对容量不足的问题。</w:t>
      </w:r>
    </w:p>
    <w:p w14:paraId="4A98594A">
      <w:pPr>
        <w:pStyle w:val="32"/>
        <w:bidi w:val="0"/>
        <w:rPr>
          <w:rFonts w:hint="default"/>
          <w:lang w:val="en-US" w:eastAsia="zh-CN"/>
        </w:rPr>
      </w:pPr>
      <w:bookmarkStart w:id="13" w:name="_Toc24713"/>
      <w:r>
        <w:rPr>
          <w:rFonts w:hint="default"/>
          <w:lang w:val="en-US" w:eastAsia="zh-CN"/>
        </w:rPr>
        <w:t>容量优化</w:t>
      </w:r>
      <w:bookmarkEnd w:id="13"/>
    </w:p>
    <w:p w14:paraId="11480C7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针对容量风险，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项目经理制定相应的《容量优化方案》，明确优化措施和实施计划。</w:t>
      </w:r>
    </w:p>
    <w:p w14:paraId="7F1C5271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项目经理协同运维工程师从业务、技术、成本的角度对项目《容量优化方案》进行评审，在可控的成本范围内提升项目容量。必要情况下，客户服务工程师应当在容量优化后重新评估和更新项目《容量计划》。</w:t>
      </w:r>
    </w:p>
    <w:p w14:paraId="1F4F2ADC">
      <w:pPr>
        <w:pStyle w:val="30"/>
        <w:bidi w:val="0"/>
        <w:rPr>
          <w:rFonts w:hint="default"/>
          <w:lang w:val="en-US" w:eastAsia="zh-CN"/>
        </w:rPr>
      </w:pPr>
      <w:bookmarkStart w:id="14" w:name="_Toc23530"/>
      <w:r>
        <w:rPr>
          <w:rFonts w:hint="default"/>
          <w:lang w:val="en-US" w:eastAsia="zh-CN"/>
        </w:rPr>
        <w:t>管理原则</w:t>
      </w:r>
      <w:bookmarkEnd w:id="14"/>
    </w:p>
    <w:p w14:paraId="066805AD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项目《容量计划》内容应包含核心设备接入指标与阈值、性能关键指标与阈值、系统容量监控计划、工具效能、重要业务节点人员安排等内容。</w:t>
      </w:r>
    </w:p>
    <w:p w14:paraId="3B78101C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应采取相关工具如监控工具开展系统容量的监控工作，提高容量监控效率。</w:t>
      </w:r>
    </w:p>
    <w:p w14:paraId="78D82555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应至少每半年开展一次项目分析和评估工作。</w:t>
      </w:r>
    </w:p>
    <w:p w14:paraId="5E967B36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容量的优化方案应符合预期成本范畴，并在客户许可的情况下实施。</w:t>
      </w:r>
    </w:p>
    <w:p w14:paraId="6653FFF6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当系统容量发生重大调整后，应重新对《容量计划》进行评估和更新。</w:t>
      </w:r>
    </w:p>
    <w:p w14:paraId="46D55407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每年应对容量管理过程进行评估、持续改进。</w:t>
      </w:r>
    </w:p>
    <w:p w14:paraId="4C63BC1E">
      <w:pPr>
        <w:pStyle w:val="30"/>
        <w:bidi w:val="0"/>
        <w:rPr>
          <w:rFonts w:hint="default"/>
          <w:lang w:val="en-US" w:eastAsia="zh-CN"/>
        </w:rPr>
      </w:pPr>
      <w:bookmarkStart w:id="15" w:name="_Toc481"/>
      <w:r>
        <w:rPr>
          <w:rFonts w:hint="default"/>
          <w:lang w:val="en-US" w:eastAsia="zh-CN"/>
        </w:rPr>
        <w:t>与其他流程的关系</w:t>
      </w:r>
      <w:bookmarkEnd w:id="15"/>
    </w:p>
    <w:p w14:paraId="53E3FB85">
      <w:pPr>
        <w:pStyle w:val="43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与事件管理流程的关系：在容量监控活动中，发现业务系统容量不足的情况，通过事件管理流程进行处置。</w:t>
      </w:r>
    </w:p>
    <w:p w14:paraId="4D827077">
      <w:pPr>
        <w:pStyle w:val="43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与问题管理流程的关系：识别出影响系统容量的隐患，可通过问题管理流程进行处置。</w:t>
      </w:r>
    </w:p>
    <w:p w14:paraId="3FFDB9F9">
      <w:pPr>
        <w:pStyle w:val="43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与变更、发布管理流程的关系：系统容量优化的实施可通过变更、发布管理流程进行管控。</w:t>
      </w:r>
    </w:p>
    <w:p w14:paraId="397E37BD">
      <w:pPr>
        <w:pStyle w:val="43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与配置管理流程的关系：配置管理数据库为容量管理提供数据范畴。</w:t>
      </w:r>
    </w:p>
    <w:p w14:paraId="51E241AF">
      <w:pPr>
        <w:pStyle w:val="43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与可用性和连续管理流程的关系：系统容量的提升在一定程度上能够提升业务系统的可用性和连续性。</w:t>
      </w:r>
    </w:p>
    <w:p w14:paraId="3ACDFDEC">
      <w:pPr>
        <w:pStyle w:val="30"/>
        <w:bidi w:val="0"/>
        <w:rPr>
          <w:rFonts w:hint="default"/>
          <w:lang w:val="en-US" w:eastAsia="zh-CN"/>
        </w:rPr>
      </w:pPr>
      <w:bookmarkStart w:id="16" w:name="_Toc122"/>
      <w:r>
        <w:rPr>
          <w:rFonts w:hint="default"/>
          <w:lang w:val="en-US" w:eastAsia="zh-CN"/>
        </w:rPr>
        <w:t>关键指标</w:t>
      </w:r>
      <w:bookmarkEnd w:id="16"/>
    </w:p>
    <w:tbl>
      <w:tblPr>
        <w:tblStyle w:val="28"/>
        <w:tblW w:w="8328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51"/>
        <w:gridCol w:w="3950"/>
        <w:gridCol w:w="1050"/>
        <w:gridCol w:w="1050"/>
      </w:tblGrid>
      <w:tr w14:paraId="1E50F5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174C3426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551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2DB12066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9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A1A108A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0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271D7BFA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0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2D1091E6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60028A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02ECC62F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51" w:type="dxa"/>
            <w:tcBorders>
              <w:top w:val="single" w:color="000000" w:sz="6" w:space="0"/>
            </w:tcBorders>
          </w:tcPr>
          <w:p w14:paraId="00C3E1FC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容量事件次数</w:t>
            </w:r>
          </w:p>
        </w:tc>
        <w:tc>
          <w:tcPr>
            <w:tcW w:w="3950" w:type="dxa"/>
            <w:tcBorders>
              <w:top w:val="single" w:color="000000" w:sz="6" w:space="0"/>
              <w:right w:val="single" w:color="000000" w:sz="6" w:space="0"/>
            </w:tcBorders>
          </w:tcPr>
          <w:p w14:paraId="2B8DD6C8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数量:由于容量原因发生的事件数量</w:t>
            </w:r>
          </w:p>
        </w:tc>
        <w:tc>
          <w:tcPr>
            <w:tcW w:w="1050" w:type="dxa"/>
            <w:tcBorders>
              <w:top w:val="single" w:color="000000" w:sz="6" w:space="0"/>
              <w:right w:val="single" w:color="000000" w:sz="6" w:space="0"/>
            </w:tcBorders>
          </w:tcPr>
          <w:p w14:paraId="472C2B0C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1050" w:type="dxa"/>
            <w:tcBorders>
              <w:top w:val="single" w:color="000000" w:sz="6" w:space="0"/>
              <w:right w:val="single" w:color="000000" w:sz="6" w:space="0"/>
            </w:tcBorders>
          </w:tcPr>
          <w:p w14:paraId="03B6E68F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≤2次</w:t>
            </w:r>
          </w:p>
        </w:tc>
      </w:tr>
    </w:tbl>
    <w:p w14:paraId="461477E7">
      <w:pPr>
        <w:pStyle w:val="30"/>
        <w:bidi w:val="0"/>
        <w:rPr>
          <w:rFonts w:hint="default"/>
          <w:lang w:val="en-US" w:eastAsia="zh-CN"/>
        </w:rPr>
      </w:pPr>
      <w:bookmarkStart w:id="17" w:name="_Toc22230"/>
      <w:r>
        <w:rPr>
          <w:rFonts w:hint="default"/>
          <w:lang w:val="en-US" w:eastAsia="zh-CN"/>
        </w:rPr>
        <w:t>相关记录文件</w:t>
      </w:r>
      <w:bookmarkEnd w:id="17"/>
    </w:p>
    <w:p w14:paraId="5B76CBC1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《容量计划》</w:t>
      </w:r>
    </w:p>
    <w:p w14:paraId="4D8D4F7D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《容量分析和评估报告》</w:t>
      </w:r>
      <w:bookmarkStart w:id="18" w:name="_GoBack"/>
      <w:bookmarkEnd w:id="18"/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B232D1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16AAC1">
    <w:pPr>
      <w:pStyle w:val="16"/>
      <w:pBdr>
        <w:bottom w:val="none" w:color="auto" w:sz="0" w:space="1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8177FD3"/>
    <w:multiLevelType w:val="singleLevel"/>
    <w:tmpl w:val="98177F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CCF37B8"/>
    <w:multiLevelType w:val="singleLevel"/>
    <w:tmpl w:val="BCCF37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3B18D39"/>
    <w:multiLevelType w:val="singleLevel"/>
    <w:tmpl w:val="63B18D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8814EDA"/>
    <w:rsid w:val="1ADE025A"/>
    <w:rsid w:val="224B1DDF"/>
    <w:rsid w:val="22805D65"/>
    <w:rsid w:val="33577A92"/>
    <w:rsid w:val="38561A88"/>
    <w:rsid w:val="448F3E4F"/>
    <w:rsid w:val="48E15C76"/>
    <w:rsid w:val="4B6B71A0"/>
    <w:rsid w:val="70E46F2A"/>
    <w:rsid w:val="76EE349D"/>
    <w:rsid w:val="77B13664"/>
    <w:rsid w:val="7A870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1397</Words>
  <Characters>1458</Characters>
  <Lines>0</Lines>
  <Paragraphs>0</Paragraphs>
  <TotalTime>0</TotalTime>
  <ScaleCrop>false</ScaleCrop>
  <LinksUpToDate>false</LinksUpToDate>
  <CharactersWithSpaces>1527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nancy杨茜</cp:lastModifiedBy>
  <dcterms:modified xsi:type="dcterms:W3CDTF">2026-01-07T12:00:36Z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eyJoZGlkIjoiYzZkNzQ4ZWFiZmQ4NTRhOWRkZTk3YTMwMjlmMmZhYmUiLCJ1c2VySWQiOiI0Mzg5MjI4MjYifQ==</vt:lpwstr>
  </property>
</Properties>
</file>