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C82D5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0" w:name="_Toc22611"/>
      <w:bookmarkStart w:id="1" w:name="_Toc26430"/>
    </w:p>
    <w:p w14:paraId="748F01FC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 w14:paraId="637AA0A2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过程框架设计</w:t>
      </w:r>
      <w:bookmarkEnd w:id="0"/>
      <w:r>
        <w:rPr>
          <w:rFonts w:hint="eastAsia"/>
          <w:lang w:val="en-US" w:eastAsia="zh-CN"/>
        </w:rPr>
        <w:t>图</w:t>
      </w:r>
      <w:bookmarkEnd w:id="1"/>
    </w:p>
    <w:p w14:paraId="7C5B0C5C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" w:name="_Toc6160"/>
      <w:bookmarkStart w:id="3" w:name="_Toc17781"/>
      <w:r>
        <w:t>甘肃国邦信息科技有限公司</w:t>
      </w:r>
      <w:bookmarkEnd w:id="2"/>
      <w:bookmarkEnd w:id="3"/>
    </w:p>
    <w:p w14:paraId="40AE791F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jc w:val="center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20</w:t>
      </w:r>
    </w:p>
    <w:p w14:paraId="489D459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02C34C4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258" w:lineRule="auto"/>
      </w:pPr>
    </w:p>
    <w:p w14:paraId="05947A17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4" w:name="_Toc16271"/>
      <w:bookmarkStart w:id="5" w:name="_Toc23465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4"/>
      <w:bookmarkEnd w:id="5"/>
    </w:p>
    <w:p w14:paraId="79FA89A3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45BE7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701F86E1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556F2A4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过程框架设计</w:t>
            </w:r>
            <w:r>
              <w:rPr>
                <w:rFonts w:hint="eastAsia"/>
                <w:spacing w:val="-1"/>
                <w:lang w:val="en-US" w:eastAsia="zh-CN"/>
              </w:rPr>
              <w:t>图</w:t>
            </w:r>
            <w:r>
              <w:rPr>
                <w:spacing w:val="-1"/>
              </w:rPr>
              <w:t>（GSGB-ITSS-</w:t>
            </w:r>
            <w:r>
              <w:rPr>
                <w:rFonts w:hint="eastAsia" w:eastAsia="宋体"/>
                <w:spacing w:val="-1"/>
                <w:lang w:val="en-US" w:eastAsia="zh-CN"/>
              </w:rPr>
              <w:t>GCKJSJ</w:t>
            </w:r>
            <w:r>
              <w:rPr>
                <w:rFonts w:hint="eastAsia"/>
                <w:spacing w:val="-1"/>
                <w:lang w:val="en-US" w:eastAsia="zh-CN"/>
              </w:rPr>
              <w:t>T</w:t>
            </w:r>
            <w:r>
              <w:rPr>
                <w:spacing w:val="-1"/>
              </w:rPr>
              <w:t>）</w:t>
            </w:r>
          </w:p>
        </w:tc>
      </w:tr>
      <w:tr w14:paraId="7F1F0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2AEB8C7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2860A660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5255C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5434CC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666FDA8E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1D2D653C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1D76351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C3975A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23FF6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53DCCC1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590E44D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 w14:paraId="56350097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3C808D87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0BE9647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74505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EA8B0D5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0EB6C62C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 w14:paraId="6EBB5545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319FD6C3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5117DD7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 w14:paraId="73159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E0896BC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094BA90E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 w14:paraId="035A2121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0E7A6AC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418B9FF8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 w14:paraId="5F67C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2F48EA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21365C0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 w14:paraId="03D13823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234EE7E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7EB3EB48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 w14:paraId="0C46D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66455F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289CAC1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22FCC74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BE1BEF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542BA0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22864F58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 w14:paraId="69DAF95E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4838BA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887332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_Toc26430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过程框架设计图</w:t>
          </w:r>
          <w:r>
            <w:tab/>
          </w:r>
          <w:r>
            <w:fldChar w:fldCharType="begin"/>
          </w:r>
          <w:r>
            <w:instrText xml:space="preserve"> PAGEREF _Toc26430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5BE5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_Toc6160 </w:instrText>
          </w:r>
          <w: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_Toc6160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BB0E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_Toc23465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_Toc23465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C31333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过程框架设计图</w:t>
          </w:r>
          <w:r>
            <w:tab/>
          </w:r>
          <w:r>
            <w:fldChar w:fldCharType="begin"/>
          </w:r>
          <w:r>
            <w:instrText xml:space="preserve"> PAGEREF _Toc37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FF3C2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框架设计说明</w:t>
          </w:r>
          <w:r>
            <w:tab/>
          </w:r>
          <w:r>
            <w:fldChar w:fldCharType="begin"/>
          </w:r>
          <w:r>
            <w:instrText xml:space="preserve"> PAGEREF _Toc12426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0F838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整体架构</w:t>
          </w:r>
          <w:r>
            <w:tab/>
          </w:r>
          <w:r>
            <w:fldChar w:fldCharType="begin"/>
          </w:r>
          <w:r>
            <w:instrText xml:space="preserve"> PAGEREF _Toc17083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E5A11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核心逻辑</w:t>
          </w:r>
          <w:r>
            <w:tab/>
          </w:r>
          <w:r>
            <w:fldChar w:fldCharType="begin"/>
          </w:r>
          <w:r>
            <w:instrText xml:space="preserve"> PAGEREF _Toc27448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01901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关键协作关系</w:t>
          </w:r>
          <w:r>
            <w:tab/>
          </w:r>
          <w:r>
            <w:fldChar w:fldCharType="begin"/>
          </w:r>
          <w:r>
            <w:instrText xml:space="preserve"> PAGEREF _Toc14597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B3885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绩效指标关联</w:t>
          </w:r>
          <w:r>
            <w:tab/>
          </w:r>
          <w:r>
            <w:fldChar w:fldCharType="begin"/>
          </w:r>
          <w:r>
            <w:instrText xml:space="preserve"> PAGEREF _Toc3200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A2CBC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实施建议</w:t>
          </w:r>
          <w:r>
            <w:tab/>
          </w:r>
          <w:r>
            <w:fldChar w:fldCharType="begin"/>
          </w:r>
          <w:r>
            <w:instrText xml:space="preserve"> PAGEREF _Toc25437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BB7D0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分阶段落地</w:t>
          </w:r>
          <w:r>
            <w:tab/>
          </w:r>
          <w:r>
            <w:fldChar w:fldCharType="begin"/>
          </w:r>
          <w:r>
            <w:instrText xml:space="preserve"> PAGEREF _Toc4881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8712F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工具支撑</w:t>
          </w:r>
          <w:r>
            <w:tab/>
          </w:r>
          <w:r>
            <w:fldChar w:fldCharType="begin"/>
          </w:r>
          <w:r>
            <w:instrText xml:space="preserve"> PAGEREF _Toc11907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879F2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组织适配</w:t>
          </w:r>
          <w:r>
            <w:tab/>
          </w:r>
          <w:r>
            <w:fldChar w:fldCharType="begin"/>
          </w:r>
          <w:r>
            <w:instrText xml:space="preserve"> PAGEREF _Toc17968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EEA62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持续改进</w:t>
          </w:r>
          <w:r>
            <w:tab/>
          </w:r>
          <w:r>
            <w:fldChar w:fldCharType="begin"/>
          </w:r>
          <w:r>
            <w:instrText xml:space="preserve"> PAGEREF _Toc17421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940B34">
          <w:r>
            <w:fldChar w:fldCharType="end"/>
          </w:r>
        </w:p>
      </w:sdtContent>
    </w:sdt>
    <w:p w14:paraId="7436E584"/>
    <w:p w14:paraId="74BF5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570231">
      <w:pPr>
        <w:pStyle w:val="28"/>
        <w:bidi w:val="0"/>
        <w:rPr>
          <w:rFonts w:hint="eastAsia"/>
          <w:lang w:val="en-US" w:eastAsia="zh-CN"/>
        </w:rPr>
      </w:pPr>
      <w:bookmarkStart w:id="6" w:name="_Toc37"/>
      <w:r>
        <w:rPr>
          <w:rFonts w:hint="eastAsia"/>
          <w:lang w:val="en-US" w:eastAsia="zh-CN"/>
        </w:rPr>
        <w:t>过程框架设计图</w:t>
      </w:r>
      <w:bookmarkEnd w:id="6"/>
    </w:p>
    <w:p w14:paraId="10FA7000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733415" cy="4229100"/>
            <wp:effectExtent l="0" t="0" r="1206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5559">
      <w:pPr>
        <w:pStyle w:val="28"/>
        <w:bidi w:val="0"/>
        <w:rPr>
          <w:rFonts w:hint="eastAsia"/>
          <w:lang w:val="en-US" w:eastAsia="zh-CN"/>
        </w:rPr>
      </w:pPr>
      <w:bookmarkStart w:id="7" w:name="_Toc12426"/>
      <w:r>
        <w:rPr>
          <w:rFonts w:hint="eastAsia"/>
          <w:lang w:val="en-US" w:eastAsia="zh-CN"/>
        </w:rPr>
        <w:t>框架设计说明</w:t>
      </w:r>
      <w:bookmarkEnd w:id="7"/>
    </w:p>
    <w:p w14:paraId="6242FD80">
      <w:pPr>
        <w:pStyle w:val="30"/>
        <w:bidi w:val="0"/>
        <w:rPr>
          <w:rFonts w:hint="default"/>
          <w:lang w:val="en-US" w:eastAsia="zh-CN"/>
        </w:rPr>
      </w:pPr>
      <w:bookmarkStart w:id="8" w:name="_Toc17083"/>
      <w:r>
        <w:rPr>
          <w:rFonts w:hint="eastAsia"/>
          <w:lang w:val="en-US" w:eastAsia="zh-CN"/>
        </w:rPr>
        <w:t>整体架构</w:t>
      </w:r>
      <w:bookmarkEnd w:id="8"/>
    </w:p>
    <w:p w14:paraId="1F6A197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框架遵循三层架构、双向协同原则：</w:t>
      </w:r>
    </w:p>
    <w:p w14:paraId="33F28886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指导层：服务级别管理（SLA）作为顶层目标导向</w:t>
      </w:r>
    </w:p>
    <w:p w14:paraId="4F38DED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执行层：四大核心运维过程形成闭环工作流</w:t>
      </w:r>
    </w:p>
    <w:p w14:paraId="4FBABA47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支撑层：三大保障过程确保系统稳定、安全、高效</w:t>
      </w:r>
    </w:p>
    <w:p w14:paraId="3622041A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数据层：配置管理（CMDB）作为统一数据底座</w:t>
      </w:r>
    </w:p>
    <w:p w14:paraId="0A1B5441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报告层：服务报告管理作为结果汇总与反馈通道</w:t>
      </w:r>
    </w:p>
    <w:p w14:paraId="192C7A05">
      <w:pPr>
        <w:pStyle w:val="30"/>
        <w:bidi w:val="0"/>
        <w:rPr>
          <w:rFonts w:hint="eastAsia"/>
          <w:lang w:val="en-US" w:eastAsia="zh-CN"/>
        </w:rPr>
      </w:pPr>
      <w:bookmarkStart w:id="9" w:name="_Toc27448"/>
      <w:r>
        <w:rPr>
          <w:rFonts w:hint="eastAsia"/>
          <w:lang w:val="en-US" w:eastAsia="zh-CN"/>
        </w:rPr>
        <w:t>核心逻辑</w:t>
      </w:r>
      <w:bookmarkEnd w:id="9"/>
    </w:p>
    <w:p w14:paraId="59CD8CE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事件→问题→变更→发布 形成运维主流程闭环</w:t>
      </w:r>
    </w:p>
    <w:p w14:paraId="4FB855D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配置管理（CMDB） 为所有过程提供一致的配置数据</w:t>
      </w:r>
    </w:p>
    <w:p w14:paraId="7FEE63A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保障过程 为执行层提供容量、可用性、安全支持</w:t>
      </w:r>
    </w:p>
    <w:p w14:paraId="40FAD68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服务报告汇总各过程数据，反馈至SLA管理，形成PDCA循环</w:t>
      </w:r>
    </w:p>
    <w:p w14:paraId="53C2E4B3">
      <w:pPr>
        <w:pStyle w:val="30"/>
        <w:bidi w:val="0"/>
        <w:rPr>
          <w:rFonts w:hint="eastAsia"/>
          <w:lang w:val="en-US" w:eastAsia="zh-CN"/>
        </w:rPr>
      </w:pPr>
      <w:bookmarkStart w:id="10" w:name="_Toc14597"/>
      <w:r>
        <w:rPr>
          <w:rFonts w:hint="eastAsia"/>
          <w:lang w:val="en-US" w:eastAsia="zh-CN"/>
        </w:rPr>
        <w:t>关键协作关系</w:t>
      </w:r>
      <w:bookmarkEnd w:id="10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6764"/>
      </w:tblGrid>
      <w:tr w14:paraId="49C4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6729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协作关系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46D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F40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C42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SLA→各过程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FA4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服务级别协议是所有过程的共同目标和约束条件</w:t>
            </w:r>
          </w:p>
        </w:tc>
      </w:tr>
      <w:tr w14:paraId="4AD5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233B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配置管理→各过程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E676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CMDB为事件定位、问题分析、变更评估、发布执行提供数据支持</w:t>
            </w:r>
          </w:p>
        </w:tc>
      </w:tr>
      <w:tr w14:paraId="5B99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644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事件→问题→变更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836E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重大/重复事件转为问题，问题分析后提出变更请求</w:t>
            </w:r>
          </w:p>
        </w:tc>
      </w:tr>
      <w:tr w14:paraId="6EE6F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928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变更→发布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C41E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所有变更需经授权后由发布管理统一执行</w:t>
            </w:r>
          </w:p>
        </w:tc>
      </w:tr>
      <w:tr w14:paraId="48A8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5AB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保障过程→执行过程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B4B6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可用性、容量、安全需求触发相应变更和优化</w:t>
            </w:r>
          </w:p>
        </w:tc>
      </w:tr>
    </w:tbl>
    <w:p w14:paraId="137AE691">
      <w:pPr>
        <w:pStyle w:val="30"/>
        <w:bidi w:val="0"/>
        <w:rPr>
          <w:rFonts w:hint="eastAsia"/>
          <w:lang w:val="en-US" w:eastAsia="zh-CN"/>
        </w:rPr>
      </w:pPr>
      <w:bookmarkStart w:id="11" w:name="_Toc3200"/>
      <w:r>
        <w:rPr>
          <w:rFonts w:hint="eastAsia"/>
          <w:lang w:val="en-US" w:eastAsia="zh-CN"/>
        </w:rPr>
        <w:t>绩效指标关联</w:t>
      </w:r>
      <w:bookmarkEnd w:id="11"/>
    </w:p>
    <w:p w14:paraId="6BB9470F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根据《需求分析报告》，各过程的关键绩效指标（KPI）均围绕SLA达成展开：</w:t>
      </w:r>
    </w:p>
    <w:p w14:paraId="14C69345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服务级别管理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SLA达成率≥90%/季度</w:t>
      </w:r>
    </w:p>
    <w:p w14:paraId="7C94863B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服务报告管理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服务报告交付及时率≥90%/月度</w:t>
      </w:r>
    </w:p>
    <w:p w14:paraId="6FCF7EC4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事件管理：</w:t>
      </w:r>
      <w:r>
        <w:rPr>
          <w:rFonts w:hint="eastAsia"/>
          <w:sz w:val="21"/>
          <w:lang w:val="en-US" w:eastAsia="zh-CN"/>
        </w:rPr>
        <w:t>事件</w:t>
      </w:r>
      <w:r>
        <w:rPr>
          <w:rFonts w:hint="default"/>
          <w:sz w:val="21"/>
          <w:lang w:val="en-US" w:eastAsia="zh-CN"/>
        </w:rPr>
        <w:t>解决率≥95%</w:t>
      </w:r>
      <w:r>
        <w:rPr>
          <w:rFonts w:hint="eastAsia"/>
          <w:sz w:val="21"/>
          <w:lang w:val="en-US" w:eastAsia="zh-CN"/>
        </w:rPr>
        <w:t>/月度</w:t>
      </w:r>
      <w:r>
        <w:rPr>
          <w:rFonts w:hint="default"/>
          <w:sz w:val="21"/>
          <w:lang w:val="en-US" w:eastAsia="zh-CN"/>
        </w:rPr>
        <w:t>，</w:t>
      </w:r>
      <w:r>
        <w:rPr>
          <w:rFonts w:hint="eastAsia"/>
          <w:sz w:val="21"/>
          <w:lang w:val="en-US" w:eastAsia="zh-CN"/>
        </w:rPr>
        <w:t>事件</w:t>
      </w:r>
      <w:r>
        <w:rPr>
          <w:rFonts w:hint="default"/>
          <w:sz w:val="21"/>
          <w:lang w:val="en-US" w:eastAsia="zh-CN"/>
        </w:rPr>
        <w:t>按时解决率≥95%</w:t>
      </w:r>
      <w:r>
        <w:rPr>
          <w:rFonts w:hint="eastAsia"/>
          <w:sz w:val="21"/>
          <w:lang w:val="en-US" w:eastAsia="zh-CN"/>
        </w:rPr>
        <w:t>/月度，事件回访的及时率</w:t>
      </w:r>
      <w:r>
        <w:rPr>
          <w:rFonts w:hint="default"/>
          <w:sz w:val="21"/>
          <w:lang w:val="en-US" w:eastAsia="zh-CN"/>
        </w:rPr>
        <w:t>≥95%</w:t>
      </w:r>
      <w:r>
        <w:rPr>
          <w:rFonts w:hint="eastAsia"/>
          <w:sz w:val="21"/>
          <w:lang w:val="en-US" w:eastAsia="zh-CN"/>
        </w:rPr>
        <w:t>/季度</w:t>
      </w:r>
    </w:p>
    <w:p w14:paraId="495DCDCD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问题管理：</w:t>
      </w:r>
      <w:r>
        <w:rPr>
          <w:rFonts w:hint="eastAsia"/>
          <w:sz w:val="21"/>
          <w:lang w:val="en-US" w:eastAsia="zh-CN"/>
        </w:rPr>
        <w:t>问题</w:t>
      </w:r>
      <w:r>
        <w:rPr>
          <w:rFonts w:hint="default"/>
          <w:sz w:val="21"/>
          <w:lang w:val="en-US" w:eastAsia="zh-CN"/>
        </w:rPr>
        <w:t>解决率≥85%</w:t>
      </w:r>
      <w:r>
        <w:rPr>
          <w:rFonts w:hint="eastAsia"/>
          <w:sz w:val="21"/>
          <w:lang w:val="en-US" w:eastAsia="zh-CN"/>
        </w:rPr>
        <w:t>/季度</w:t>
      </w:r>
    </w:p>
    <w:p w14:paraId="0759F0E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变更管理：成功率≥98%</w:t>
      </w:r>
      <w:r>
        <w:rPr>
          <w:rFonts w:hint="eastAsia"/>
          <w:sz w:val="21"/>
          <w:lang w:val="en-US" w:eastAsia="zh-CN"/>
        </w:rPr>
        <w:t>/季度</w:t>
      </w:r>
    </w:p>
    <w:p w14:paraId="2B0E83D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发布管理：成功率≥98%</w:t>
      </w:r>
      <w:r>
        <w:rPr>
          <w:rFonts w:hint="eastAsia"/>
          <w:sz w:val="21"/>
          <w:lang w:val="en-US" w:eastAsia="zh-CN"/>
        </w:rPr>
        <w:t>/季度</w:t>
      </w:r>
    </w:p>
    <w:p w14:paraId="2E7AAF65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配置管理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准确率</w:t>
      </w:r>
      <w:r>
        <w:rPr>
          <w:rFonts w:hint="default"/>
          <w:sz w:val="21"/>
          <w:lang w:val="en-US" w:eastAsia="zh-CN"/>
        </w:rPr>
        <w:t>≥95%</w:t>
      </w:r>
      <w:r>
        <w:rPr>
          <w:rFonts w:hint="eastAsia"/>
          <w:sz w:val="21"/>
          <w:lang w:val="en-US" w:eastAsia="zh-CN"/>
        </w:rPr>
        <w:t>/季度</w:t>
      </w:r>
    </w:p>
    <w:p w14:paraId="69510A8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可用性管理：可用性≥99%</w:t>
      </w:r>
      <w:r>
        <w:rPr>
          <w:rFonts w:hint="eastAsia"/>
          <w:sz w:val="21"/>
          <w:lang w:val="en-US" w:eastAsia="zh-CN"/>
        </w:rPr>
        <w:t>/季度</w:t>
      </w:r>
      <w:r>
        <w:rPr>
          <w:rFonts w:hint="default"/>
          <w:sz w:val="21"/>
          <w:lang w:val="en-US" w:eastAsia="zh-CN"/>
        </w:rPr>
        <w:t>，中断≤2次/季度</w:t>
      </w:r>
    </w:p>
    <w:p w14:paraId="58D09075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容量管理：容量事件≤2次/季度</w:t>
      </w:r>
    </w:p>
    <w:p w14:paraId="2E84DF64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信息</w:t>
      </w:r>
      <w:r>
        <w:rPr>
          <w:rFonts w:hint="default"/>
          <w:sz w:val="21"/>
          <w:lang w:val="en-US" w:eastAsia="zh-CN"/>
        </w:rPr>
        <w:t>安全管理：安全事件≤1次/年</w:t>
      </w:r>
    </w:p>
    <w:p w14:paraId="09F54864">
      <w:pPr>
        <w:pStyle w:val="28"/>
        <w:bidi w:val="0"/>
        <w:rPr>
          <w:rFonts w:hint="default"/>
          <w:lang w:val="en-US" w:eastAsia="zh-CN"/>
        </w:rPr>
      </w:pPr>
      <w:bookmarkStart w:id="12" w:name="_Toc25437"/>
      <w:r>
        <w:rPr>
          <w:rFonts w:hint="default"/>
          <w:lang w:val="en-US" w:eastAsia="zh-CN"/>
        </w:rPr>
        <w:t>实施建议</w:t>
      </w:r>
      <w:bookmarkEnd w:id="12"/>
      <w:bookmarkStart w:id="17" w:name="_GoBack"/>
      <w:bookmarkEnd w:id="17"/>
    </w:p>
    <w:p w14:paraId="7F1DCCA3">
      <w:pPr>
        <w:pStyle w:val="30"/>
        <w:bidi w:val="0"/>
        <w:rPr>
          <w:rFonts w:hint="default"/>
          <w:lang w:val="en-US" w:eastAsia="zh-CN"/>
        </w:rPr>
      </w:pPr>
      <w:bookmarkStart w:id="13" w:name="_Toc4881"/>
      <w:r>
        <w:rPr>
          <w:rFonts w:hint="default"/>
          <w:lang w:val="en-US" w:eastAsia="zh-CN"/>
        </w:rPr>
        <w:t>分阶段落地</w:t>
      </w:r>
      <w:bookmarkEnd w:id="13"/>
    </w:p>
    <w:p w14:paraId="65741B31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第一阶段：建立事件、变更、配置管理基础</w:t>
      </w:r>
    </w:p>
    <w:p w14:paraId="55401449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第二阶段：完善问题、发布、报告管理流程</w:t>
      </w:r>
    </w:p>
    <w:p w14:paraId="1B0CFB42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第三阶段：整合可用性、容量、安全管理</w:t>
      </w:r>
    </w:p>
    <w:p w14:paraId="6687BF82">
      <w:pPr>
        <w:pStyle w:val="30"/>
        <w:bidi w:val="0"/>
        <w:rPr>
          <w:rFonts w:hint="default"/>
          <w:lang w:val="en-US" w:eastAsia="zh-CN"/>
        </w:rPr>
      </w:pPr>
      <w:bookmarkStart w:id="14" w:name="_Toc11907"/>
      <w:r>
        <w:rPr>
          <w:rFonts w:hint="default"/>
          <w:lang w:val="en-US" w:eastAsia="zh-CN"/>
        </w:rPr>
        <w:t>工具支撑</w:t>
      </w:r>
      <w:bookmarkEnd w:id="14"/>
    </w:p>
    <w:p w14:paraId="20F39377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建议采用一体化ITSM平台，实现各过程数据自动流转</w:t>
      </w:r>
    </w:p>
    <w:p w14:paraId="32D8E951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配置管理建议建立CMDB，确保数据准确率≥95%</w:t>
      </w:r>
    </w:p>
    <w:p w14:paraId="37BB04C0">
      <w:pPr>
        <w:pStyle w:val="30"/>
        <w:bidi w:val="0"/>
        <w:rPr>
          <w:rFonts w:hint="default"/>
          <w:lang w:val="en-US" w:eastAsia="zh-CN"/>
        </w:rPr>
      </w:pPr>
      <w:bookmarkStart w:id="15" w:name="_Toc17968"/>
      <w:r>
        <w:rPr>
          <w:rFonts w:hint="default"/>
          <w:lang w:val="en-US" w:eastAsia="zh-CN"/>
        </w:rPr>
        <w:t>组织适配</w:t>
      </w:r>
      <w:bookmarkEnd w:id="15"/>
    </w:p>
    <w:p w14:paraId="10751B0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明确各过程角色与职责（参考需求分析报告）</w:t>
      </w:r>
    </w:p>
    <w:p w14:paraId="72278BC1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建立跨部门协作机制，特别是质量部与运维部的协作</w:t>
      </w:r>
    </w:p>
    <w:p w14:paraId="5B2B66AD">
      <w:pPr>
        <w:pStyle w:val="30"/>
        <w:bidi w:val="0"/>
        <w:rPr>
          <w:rFonts w:hint="default"/>
          <w:lang w:val="en-US" w:eastAsia="zh-CN"/>
        </w:rPr>
      </w:pPr>
      <w:bookmarkStart w:id="16" w:name="_Toc17421"/>
      <w:r>
        <w:rPr>
          <w:rFonts w:hint="default"/>
          <w:lang w:val="en-US" w:eastAsia="zh-CN"/>
        </w:rPr>
        <w:t>持续改进</w:t>
      </w:r>
      <w:bookmarkEnd w:id="16"/>
    </w:p>
    <w:p w14:paraId="253EDF0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每</w:t>
      </w:r>
      <w:r>
        <w:rPr>
          <w:rFonts w:hint="eastAsia"/>
          <w:sz w:val="21"/>
          <w:lang w:val="en-US" w:eastAsia="zh-CN"/>
        </w:rPr>
        <w:t>半年</w:t>
      </w:r>
      <w:r>
        <w:rPr>
          <w:rFonts w:hint="default"/>
          <w:sz w:val="21"/>
          <w:lang w:val="en-US" w:eastAsia="zh-CN"/>
        </w:rPr>
        <w:t>评审框架运行效果</w:t>
      </w:r>
    </w:p>
    <w:p w14:paraId="2E93F93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基于服务报告数据优化SLA和过程指标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A50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61612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8559ECA"/>
    <w:multiLevelType w:val="singleLevel"/>
    <w:tmpl w:val="58559E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45AE6"/>
    <w:rsid w:val="01D32DCE"/>
    <w:rsid w:val="04762137"/>
    <w:rsid w:val="0768045D"/>
    <w:rsid w:val="083640B7"/>
    <w:rsid w:val="08CA54A1"/>
    <w:rsid w:val="0D692839"/>
    <w:rsid w:val="0E682AF0"/>
    <w:rsid w:val="0F2E5FD1"/>
    <w:rsid w:val="1BCD6688"/>
    <w:rsid w:val="1F685F28"/>
    <w:rsid w:val="201F4C70"/>
    <w:rsid w:val="22AF0896"/>
    <w:rsid w:val="27997AEB"/>
    <w:rsid w:val="2A590800"/>
    <w:rsid w:val="2D0E6DCC"/>
    <w:rsid w:val="324A6EE8"/>
    <w:rsid w:val="32BA750F"/>
    <w:rsid w:val="330257C9"/>
    <w:rsid w:val="34294BA4"/>
    <w:rsid w:val="35DD33E4"/>
    <w:rsid w:val="38196A86"/>
    <w:rsid w:val="39382E83"/>
    <w:rsid w:val="3A78393E"/>
    <w:rsid w:val="3A866722"/>
    <w:rsid w:val="3B9D79CE"/>
    <w:rsid w:val="3E8D1F7B"/>
    <w:rsid w:val="3ED41239"/>
    <w:rsid w:val="3F5D194E"/>
    <w:rsid w:val="433F0E43"/>
    <w:rsid w:val="43BB3222"/>
    <w:rsid w:val="46B1432D"/>
    <w:rsid w:val="47831332"/>
    <w:rsid w:val="48D10CB7"/>
    <w:rsid w:val="4D99297A"/>
    <w:rsid w:val="52D13D1A"/>
    <w:rsid w:val="53135B7C"/>
    <w:rsid w:val="55394777"/>
    <w:rsid w:val="562B7C58"/>
    <w:rsid w:val="5647080A"/>
    <w:rsid w:val="572D7A00"/>
    <w:rsid w:val="576A0C54"/>
    <w:rsid w:val="582726A1"/>
    <w:rsid w:val="5D325BBC"/>
    <w:rsid w:val="661A55F3"/>
    <w:rsid w:val="699000C9"/>
    <w:rsid w:val="6A5559BE"/>
    <w:rsid w:val="6D2154B9"/>
    <w:rsid w:val="6E712470"/>
    <w:rsid w:val="6F8E184E"/>
    <w:rsid w:val="71397275"/>
    <w:rsid w:val="71F633B8"/>
    <w:rsid w:val="72071122"/>
    <w:rsid w:val="74463EA9"/>
    <w:rsid w:val="74557E99"/>
    <w:rsid w:val="77552315"/>
    <w:rsid w:val="79022643"/>
    <w:rsid w:val="7EFB4AC3"/>
    <w:rsid w:val="7FC00B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928</Words>
  <Characters>1056</Characters>
  <Lines>0</Lines>
  <Paragraphs>0</Paragraphs>
  <TotalTime>0</TotalTime>
  <ScaleCrop>false</ScaleCrop>
  <LinksUpToDate>false</LinksUpToDate>
  <CharactersWithSpaces>1112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2026-01-08T07:38:04Z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