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9C930">
      <w:pPr>
        <w:pStyle w:val="26"/>
        <w:bidi w:val="0"/>
        <w:rPr>
          <w:rFonts w:hint="eastAsia"/>
          <w:lang w:val="en-US" w:eastAsia="zh-CN"/>
        </w:rPr>
      </w:pPr>
      <w:bookmarkStart w:id="0" w:name="_Toc17226"/>
    </w:p>
    <w:p w14:paraId="364A7027">
      <w:pPr>
        <w:pStyle w:val="2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临夏回族自治州中医医院“智慧银医”项目-实施方案</w:t>
      </w:r>
      <w:bookmarkEnd w:id="0"/>
    </w:p>
    <w:p w14:paraId="794872C3">
      <w:pPr>
        <w:bidi w:val="0"/>
      </w:pPr>
    </w:p>
    <w:p w14:paraId="48C2E5AC">
      <w:pPr>
        <w:pStyle w:val="27"/>
        <w:bidi w:val="0"/>
      </w:pPr>
      <w:bookmarkStart w:id="1" w:name="_Toc28678"/>
      <w:r>
        <w:t>甘肃国邦信息科技有限公司</w:t>
      </w:r>
      <w:bookmarkEnd w:id="1"/>
    </w:p>
    <w:p w14:paraId="7E59F2C8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-01-04</w:t>
      </w:r>
    </w:p>
    <w:p w14:paraId="1A17B4B4">
      <w:pPr>
        <w:rPr>
          <w:rFonts w:ascii="宋体" w:hAnsi="宋体" w:eastAsia="宋体" w:cs="宋体"/>
          <w:spacing w:val="-2"/>
          <w:sz w:val="36"/>
          <w:szCs w:val="36"/>
        </w:rPr>
      </w:pPr>
      <w:r>
        <w:rPr>
          <w:rFonts w:ascii="宋体" w:hAnsi="宋体" w:eastAsia="宋体" w:cs="宋体"/>
          <w:spacing w:val="-2"/>
          <w:sz w:val="36"/>
          <w:szCs w:val="36"/>
        </w:rPr>
        <w:br w:type="page"/>
      </w:r>
    </w:p>
    <w:p w14:paraId="3BE5FFB8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7401"/>
      <w:bookmarkStart w:id="3" w:name="_Toc19880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  <w:bookmarkEnd w:id="3"/>
    </w:p>
    <w:p w14:paraId="43CF8608">
      <w:pPr>
        <w:spacing w:line="16" w:lineRule="exact"/>
      </w:pPr>
    </w:p>
    <w:tbl>
      <w:tblPr>
        <w:tblStyle w:val="24"/>
        <w:tblW w:w="82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 w14:paraId="19B96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02DBC678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 w14:paraId="43D550CB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项目实施方案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XMSSFA</w:t>
            </w:r>
            <w:r>
              <w:rPr>
                <w:spacing w:val="-1"/>
              </w:rPr>
              <w:t>）</w:t>
            </w:r>
          </w:p>
        </w:tc>
      </w:tr>
      <w:tr w14:paraId="6CE306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683F9C62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 w14:paraId="298CDD2B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212A11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73FD13CB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4453EC2D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 w14:paraId="5DBB51B0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 w14:paraId="57A7C91E">
            <w:pPr>
              <w:pStyle w:val="25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 w14:paraId="7123BF33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49EF8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07FDBD2B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204F4CEF">
            <w:pPr>
              <w:pStyle w:val="25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 w14:paraId="3B8CDB1F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 w14:paraId="19F3F7ED">
            <w:pPr>
              <w:pStyle w:val="25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胡葛鹏宇</w:t>
            </w:r>
          </w:p>
        </w:tc>
        <w:tc>
          <w:tcPr>
            <w:tcW w:w="1608" w:type="dxa"/>
          </w:tcPr>
          <w:p w14:paraId="75055F09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1FB80B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1AFCCE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087A7199">
            <w:pPr>
              <w:pStyle w:val="25"/>
              <w:spacing w:before="164"/>
              <w:ind w:left="361"/>
            </w:pPr>
          </w:p>
        </w:tc>
        <w:tc>
          <w:tcPr>
            <w:tcW w:w="1906" w:type="dxa"/>
          </w:tcPr>
          <w:p w14:paraId="1379C907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 w14:paraId="79CE1020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 w14:paraId="4F300CB4">
            <w:pPr>
              <w:pStyle w:val="25"/>
              <w:spacing w:before="134" w:line="220" w:lineRule="auto"/>
              <w:ind w:left="672"/>
            </w:pPr>
          </w:p>
        </w:tc>
      </w:tr>
      <w:tr w14:paraId="0038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2866C34F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9DE2D63">
            <w:pPr>
              <w:pStyle w:val="25"/>
              <w:spacing w:before="165"/>
              <w:ind w:left="361"/>
            </w:pPr>
          </w:p>
        </w:tc>
        <w:tc>
          <w:tcPr>
            <w:tcW w:w="1906" w:type="dxa"/>
          </w:tcPr>
          <w:p w14:paraId="705755B1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 w14:paraId="025962A0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 w14:paraId="757B6D38">
            <w:pPr>
              <w:pStyle w:val="25"/>
              <w:spacing w:before="135" w:line="220" w:lineRule="auto"/>
              <w:ind w:left="672"/>
            </w:pPr>
          </w:p>
        </w:tc>
      </w:tr>
      <w:tr w14:paraId="40905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FFB01DB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153D98A4">
            <w:pPr>
              <w:pStyle w:val="25"/>
              <w:spacing w:before="166"/>
              <w:ind w:left="361"/>
            </w:pPr>
          </w:p>
        </w:tc>
        <w:tc>
          <w:tcPr>
            <w:tcW w:w="1906" w:type="dxa"/>
          </w:tcPr>
          <w:p w14:paraId="5A38F3A3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 w14:paraId="0E9DCC44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 w14:paraId="461B3EAE">
            <w:pPr>
              <w:pStyle w:val="25"/>
              <w:spacing w:before="136" w:line="220" w:lineRule="auto"/>
              <w:ind w:left="672"/>
            </w:pPr>
          </w:p>
        </w:tc>
      </w:tr>
      <w:tr w14:paraId="6EB902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7A8CDFEC"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19233A25"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 w14:paraId="64284439"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 w14:paraId="579B1E7B"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 w14:paraId="547F760E">
            <w:pPr>
              <w:rPr>
                <w:rFonts w:ascii="Arial"/>
                <w:sz w:val="21"/>
              </w:rPr>
            </w:pPr>
          </w:p>
        </w:tc>
      </w:tr>
    </w:tbl>
    <w:p w14:paraId="07B4EA70">
      <w:pPr>
        <w:spacing w:before="275"/>
        <w:ind w:left="3285"/>
        <w:rPr>
          <w:rFonts w:ascii="宋体" w:hAnsi="宋体" w:eastAsia="宋体" w:cs="宋体"/>
          <w:spacing w:val="-2"/>
          <w:sz w:val="36"/>
          <w:szCs w:val="36"/>
        </w:rPr>
      </w:pPr>
    </w:p>
    <w:p w14:paraId="5212E560">
      <w:pPr>
        <w:pStyle w:val="12"/>
        <w:spacing w:line="244" w:lineRule="auto"/>
      </w:pPr>
    </w:p>
    <w:p w14:paraId="362D497D">
      <w:pPr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sz w:val="28"/>
          <w:szCs w:val="28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 w14:paraId="74B5145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A983BF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 w:val="20"/>
              <w:szCs w:val="20"/>
            </w:rPr>
            <w:fldChar w:fldCharType="begin"/>
          </w:r>
          <w:r>
            <w:rPr>
              <w:rFonts w:ascii="Calibri" w:hAnsi="Calibri" w:eastAsia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0"/>
              <w:szCs w:val="20"/>
            </w:rPr>
            <w:fldChar w:fldCharType="separate"/>
          </w: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_Toc17226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临夏回族自治州中医医院“智慧银医”项目-实施方案</w:t>
          </w:r>
          <w:r>
            <w:tab/>
          </w:r>
          <w:r>
            <w:fldChar w:fldCharType="begin"/>
          </w:r>
          <w:r>
            <w:instrText xml:space="preserve"> PAGEREF _Toc17226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D8892E7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_Toc28678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t>甘肃国邦信息科技有限公司</w:t>
          </w:r>
          <w:r>
            <w:tab/>
          </w:r>
          <w:r>
            <w:fldChar w:fldCharType="begin"/>
          </w:r>
          <w:r>
            <w:instrText xml:space="preserve"> PAGEREF _Toc28678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BD8DED4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_Toc19880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_Toc19880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D365A0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_Toc16880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_Toc16880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B61DF0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_Toc21377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1.1. </w:t>
          </w:r>
          <w:r>
            <w:rPr>
              <w:rFonts w:hint="eastAsia"/>
            </w:rPr>
            <w:t>项目背景</w:t>
          </w:r>
          <w:r>
            <w:tab/>
          </w:r>
          <w:r>
            <w:fldChar w:fldCharType="begin"/>
          </w:r>
          <w:r>
            <w:instrText xml:space="preserve"> PAGEREF _Toc21377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3DB175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_Toc20927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1.2. </w:t>
          </w:r>
          <w:r>
            <w:rPr>
              <w:rFonts w:hint="eastAsia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_Toc20927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99EC05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_Toc925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1.3. </w:t>
          </w:r>
          <w:r>
            <w:rPr>
              <w:rFonts w:hint="eastAsia"/>
            </w:rPr>
            <w:t>实施原则</w:t>
          </w:r>
          <w:r>
            <w:tab/>
          </w:r>
          <w:r>
            <w:fldChar w:fldCharType="begin"/>
          </w:r>
          <w:r>
            <w:instrText xml:space="preserve"> PAGEREF _Toc925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5F887E5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_Toc22507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实施范围与内容</w:t>
          </w:r>
          <w:r>
            <w:tab/>
          </w:r>
          <w:r>
            <w:fldChar w:fldCharType="begin"/>
          </w:r>
          <w:r>
            <w:instrText xml:space="preserve"> PAGEREF _Toc22507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AC4F3F6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_Toc3644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实施阶段与计划</w:t>
          </w:r>
          <w:r>
            <w:tab/>
          </w:r>
          <w:r>
            <w:fldChar w:fldCharType="begin"/>
          </w:r>
          <w:r>
            <w:instrText xml:space="preserve"> PAGEREF _Toc3644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3585A7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_Toc16076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第一阶段：项目启动与规划（第1-2周）</w:t>
          </w:r>
          <w:r>
            <w:tab/>
          </w:r>
          <w:r>
            <w:fldChar w:fldCharType="begin"/>
          </w:r>
          <w:r>
            <w:instrText xml:space="preserve"> PAGEREF _Toc16076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AD15C80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_Toc11009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第二阶段：系统设计与开发（第3-8周）</w:t>
          </w:r>
          <w:r>
            <w:tab/>
          </w:r>
          <w:r>
            <w:fldChar w:fldCharType="begin"/>
          </w:r>
          <w:r>
            <w:instrText xml:space="preserve"> PAGEREF _Toc11009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E038A9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_Toc17250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第三阶段：部署与集成（第9-12周）</w:t>
          </w:r>
          <w:r>
            <w:tab/>
          </w:r>
          <w:r>
            <w:fldChar w:fldCharType="begin"/>
          </w:r>
          <w:r>
            <w:instrText xml:space="preserve"> PAGEREF _Toc17250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E3DAC2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_Toc7988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第四阶段：测试与培训（第13-14周）</w:t>
          </w:r>
          <w:r>
            <w:tab/>
          </w:r>
          <w:r>
            <w:fldChar w:fldCharType="begin"/>
          </w:r>
          <w:r>
            <w:instrText xml:space="preserve"> PAGEREF _Toc7988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E204E83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_Toc10511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第五阶段：上线与运维支持（第15周起）</w:t>
          </w:r>
          <w:r>
            <w:tab/>
          </w:r>
          <w:r>
            <w:fldChar w:fldCharType="begin"/>
          </w:r>
          <w:r>
            <w:instrText xml:space="preserve"> PAGEREF _Toc10511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D5D9A9F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_Toc20220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技术实施方案</w:t>
          </w:r>
          <w:r>
            <w:tab/>
          </w:r>
          <w:r>
            <w:fldChar w:fldCharType="begin"/>
          </w:r>
          <w:r>
            <w:instrText xml:space="preserve"> PAGEREF _Toc20220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7C45CDA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_Toc103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系统架构设计</w:t>
          </w:r>
          <w:r>
            <w:tab/>
          </w:r>
          <w:r>
            <w:fldChar w:fldCharType="begin"/>
          </w:r>
          <w:r>
            <w:instrText xml:space="preserve"> PAGEREF _Toc103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2975111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_Toc31108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接口对接方案</w:t>
          </w:r>
          <w:r>
            <w:tab/>
          </w:r>
          <w:r>
            <w:fldChar w:fldCharType="begin"/>
          </w:r>
          <w:r>
            <w:instrText xml:space="preserve"> PAGEREF _Toc31108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24FFD7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_Toc16710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安全实施方案</w:t>
          </w:r>
          <w:r>
            <w:tab/>
          </w:r>
          <w:r>
            <w:fldChar w:fldCharType="begin"/>
          </w:r>
          <w:r>
            <w:instrText xml:space="preserve"> PAGEREF _Toc16710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73B22FF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_Toc32548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性能保障措施</w:t>
          </w:r>
          <w:r>
            <w:tab/>
          </w:r>
          <w:r>
            <w:fldChar w:fldCharType="begin"/>
          </w:r>
          <w:r>
            <w:instrText xml:space="preserve"> PAGEREF _Toc32548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003F0617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_Toc15049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项目管理与组织架构</w:t>
          </w:r>
          <w:r>
            <w:tab/>
          </w:r>
          <w:r>
            <w:fldChar w:fldCharType="begin"/>
          </w:r>
          <w:r>
            <w:instrText xml:space="preserve"> PAGEREF _Toc15049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7810D45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_Toc18956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rPr>
              <w:rFonts w:hint="eastAsia"/>
            </w:rPr>
            <w:t>项目组织架构</w:t>
          </w:r>
          <w:r>
            <w:tab/>
          </w:r>
          <w:r>
            <w:fldChar w:fldCharType="begin"/>
          </w:r>
          <w:r>
            <w:instrText xml:space="preserve"> PAGEREF _Toc18956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40CB118B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_Toc12255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rPr>
              <w:rFonts w:hint="eastAsia"/>
            </w:rPr>
            <w:t>质量控制措施</w:t>
          </w:r>
          <w:r>
            <w:tab/>
          </w:r>
          <w:r>
            <w:fldChar w:fldCharType="begin"/>
          </w:r>
          <w:r>
            <w:instrText xml:space="preserve"> PAGEREF _Toc12255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620A649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_Toc29951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rPr>
              <w:rFonts w:hint="eastAsia"/>
            </w:rPr>
            <w:t>风险管理</w:t>
          </w:r>
          <w:r>
            <w:tab/>
          </w:r>
          <w:r>
            <w:fldChar w:fldCharType="begin"/>
          </w:r>
          <w:r>
            <w:instrText xml:space="preserve"> PAGEREF _Toc29951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E454BA8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_Toc28042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培训与支持计划</w:t>
          </w:r>
          <w:r>
            <w:tab/>
          </w:r>
          <w:r>
            <w:fldChar w:fldCharType="begin"/>
          </w:r>
          <w:r>
            <w:instrText xml:space="preserve"> PAGEREF _Toc28042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33B8170F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_Toc26904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rPr>
              <w:rFonts w:hint="eastAsia"/>
            </w:rPr>
            <w:t>培训内容</w:t>
          </w:r>
          <w:r>
            <w:tab/>
          </w:r>
          <w:r>
            <w:fldChar w:fldCharType="begin"/>
          </w:r>
          <w:r>
            <w:instrText xml:space="preserve"> PAGEREF _Toc26904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631BF2B4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_Toc20493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rPr>
              <w:rFonts w:hint="eastAsia"/>
            </w:rPr>
            <w:t>培训方式</w:t>
          </w:r>
          <w:r>
            <w:tab/>
          </w:r>
          <w:r>
            <w:fldChar w:fldCharType="begin"/>
          </w:r>
          <w:r>
            <w:instrText xml:space="preserve"> PAGEREF _Toc20493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2391646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_Toc12994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rPr>
              <w:rFonts w:hint="eastAsia"/>
            </w:rPr>
            <w:t>运维支持</w:t>
          </w:r>
          <w:r>
            <w:tab/>
          </w:r>
          <w:r>
            <w:fldChar w:fldCharType="begin"/>
          </w:r>
          <w:r>
            <w:instrText xml:space="preserve"> PAGEREF _Toc12994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1560CE99">
          <w:pPr>
            <w:pStyle w:val="16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_Toc5779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rPr>
              <w:rFonts w:hint="eastAsia"/>
            </w:rPr>
            <w:t>验收标准与交付物</w:t>
          </w:r>
          <w:r>
            <w:tab/>
          </w:r>
          <w:r>
            <w:fldChar w:fldCharType="begin"/>
          </w:r>
          <w:r>
            <w:instrText xml:space="preserve"> PAGEREF _Toc5779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9AD67EE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_Toc3901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rPr>
              <w:rFonts w:hint="eastAsia"/>
            </w:rPr>
            <w:t>验收标准</w:t>
          </w:r>
          <w:r>
            <w:tab/>
          </w:r>
          <w:r>
            <w:fldChar w:fldCharType="begin"/>
          </w:r>
          <w:r>
            <w:instrText xml:space="preserve"> PAGEREF _Toc3901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27B29607">
          <w:pPr>
            <w:pStyle w:val="17"/>
            <w:tabs>
              <w:tab w:val="right" w:leader="dot" w:pos="8336"/>
            </w:tabs>
          </w:pPr>
          <w:r>
            <w:rPr>
              <w:rFonts w:ascii="Calibri" w:hAnsi="Calibri" w:eastAsia="Calibri" w:cs="Calibri"/>
              <w:szCs w:val="20"/>
            </w:rPr>
            <w:fldChar w:fldCharType="begin"/>
          </w:r>
          <w:r>
            <w:rPr>
              <w:rFonts w:ascii="Calibri" w:hAnsi="Calibri" w:eastAsia="Calibri" w:cs="Calibri"/>
              <w:szCs w:val="20"/>
            </w:rPr>
            <w:instrText xml:space="preserve"> HYPERLINK \l _Toc8475 </w:instrText>
          </w:r>
          <w:r>
            <w:rPr>
              <w:rFonts w:ascii="Calibri" w:hAnsi="Calibri" w:eastAsia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rPr>
              <w:rFonts w:hint="eastAsia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_Toc8475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0"/>
            </w:rPr>
            <w:fldChar w:fldCharType="end"/>
          </w:r>
        </w:p>
        <w:p w14:paraId="5D9BF1C7">
          <w:pPr>
            <w:spacing w:line="228" w:lineRule="auto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0"/>
            </w:rPr>
            <w:fldChar w:fldCharType="end"/>
          </w:r>
        </w:p>
      </w:sdtContent>
    </w:sdt>
    <w:p w14:paraId="2AA0CBC4">
      <w:pPr>
        <w:spacing w:line="228" w:lineRule="auto"/>
        <w:rPr>
          <w:rFonts w:ascii="Calibri" w:hAnsi="Calibri" w:eastAsia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space="720" w:num="1"/>
        </w:sectPr>
      </w:pPr>
    </w:p>
    <w:p w14:paraId="70FBC99F">
      <w:pPr>
        <w:pStyle w:val="28"/>
        <w:bidi w:val="0"/>
        <w:rPr>
          <w:rFonts w:hint="eastAsia"/>
        </w:rPr>
      </w:pPr>
      <w:bookmarkStart w:id="4" w:name="bookmark11"/>
      <w:bookmarkEnd w:id="4"/>
      <w:bookmarkStart w:id="5" w:name="_Toc16880"/>
      <w:r>
        <w:rPr>
          <w:rFonts w:hint="eastAsia"/>
        </w:rPr>
        <w:t>项目概述</w:t>
      </w:r>
      <w:bookmarkEnd w:id="5"/>
    </w:p>
    <w:p w14:paraId="73B8014C">
      <w:pPr>
        <w:pStyle w:val="30"/>
        <w:bidi w:val="0"/>
        <w:rPr>
          <w:rFonts w:hint="eastAsia"/>
        </w:rPr>
      </w:pPr>
      <w:bookmarkStart w:id="6" w:name="_Toc21377"/>
      <w:r>
        <w:rPr>
          <w:rFonts w:hint="eastAsia"/>
        </w:rPr>
        <w:t>项目背景</w:t>
      </w:r>
      <w:bookmarkEnd w:id="6"/>
    </w:p>
    <w:p w14:paraId="118558DC">
      <w:pPr>
        <w:pStyle w:val="29"/>
        <w:bidi w:val="0"/>
        <w:rPr>
          <w:rFonts w:hint="eastAsia"/>
        </w:rPr>
      </w:pPr>
      <w:r>
        <w:rPr>
          <w:rFonts w:hint="eastAsia"/>
        </w:rPr>
        <w:t>为响应国家“互联网+医疗健康”战略部署，提升医院服务效率与患者就医体验，临夏回族自治州中医医院启动“智慧银医”项目建设。项目旨在通过建设门诊/住院自助终端系统、统一支付结算平台等，实现全流程自助化服务，减少排队等待时间，优化医疗资源配置。</w:t>
      </w:r>
    </w:p>
    <w:p w14:paraId="38BE369A">
      <w:pPr>
        <w:pStyle w:val="30"/>
        <w:bidi w:val="0"/>
        <w:rPr>
          <w:rFonts w:hint="eastAsia"/>
        </w:rPr>
      </w:pPr>
      <w:bookmarkStart w:id="7" w:name="_Toc20927"/>
      <w:r>
        <w:rPr>
          <w:rFonts w:hint="eastAsia"/>
        </w:rPr>
        <w:t>项目目标</w:t>
      </w:r>
      <w:bookmarkEnd w:id="7"/>
    </w:p>
    <w:p w14:paraId="4BDECE04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实现门诊与住院全流程自助服务覆盖；</w:t>
      </w:r>
    </w:p>
    <w:p w14:paraId="45ED1678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支持医保、微信、支付宝、银联等多渠道支付；</w:t>
      </w:r>
    </w:p>
    <w:p w14:paraId="3B084628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与院内HIS、医保系统无缝对接；</w:t>
      </w:r>
    </w:p>
    <w:p w14:paraId="7ADF2FAA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构建统一支付对账与财务管理体系；</w:t>
      </w:r>
    </w:p>
    <w:p w14:paraId="178DB756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提升系统安全性、稳定性与用户体验；</w:t>
      </w:r>
    </w:p>
    <w:p w14:paraId="6C56CCA3">
      <w:pPr>
        <w:pStyle w:val="40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建立可持续运维与扩展机制。</w:t>
      </w:r>
    </w:p>
    <w:p w14:paraId="22F4E4B4">
      <w:pPr>
        <w:pStyle w:val="30"/>
        <w:bidi w:val="0"/>
        <w:rPr>
          <w:rFonts w:hint="eastAsia"/>
        </w:rPr>
      </w:pPr>
      <w:bookmarkStart w:id="8" w:name="_Toc925"/>
      <w:r>
        <w:rPr>
          <w:rFonts w:hint="eastAsia"/>
        </w:rPr>
        <w:t>实施原则</w:t>
      </w:r>
      <w:bookmarkEnd w:id="8"/>
    </w:p>
    <w:p w14:paraId="4E44E15B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规范化：遵循国家及行业标准，统一接口、代码、数据格式。</w:t>
      </w:r>
    </w:p>
    <w:p w14:paraId="2F3E2FE5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开放性：支持跨平台、跨系统对接，便于未来扩展。</w:t>
      </w:r>
    </w:p>
    <w:p w14:paraId="4A792943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安全性：实现数据加密、权限控制、日志审计等多层防护。</w:t>
      </w:r>
    </w:p>
    <w:p w14:paraId="4D3B2216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高效性：满足千万级数据查询响应时间≤2秒的性能要求。</w:t>
      </w:r>
    </w:p>
    <w:p w14:paraId="1EAD664C">
      <w:pPr>
        <w:pStyle w:val="29"/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易用性：界面简洁友好，操作流程贴合实际业务。</w:t>
      </w:r>
    </w:p>
    <w:p w14:paraId="62C2DB9B">
      <w:pPr>
        <w:pStyle w:val="28"/>
        <w:bidi w:val="0"/>
        <w:rPr>
          <w:rFonts w:hint="eastAsia"/>
        </w:rPr>
      </w:pPr>
      <w:bookmarkStart w:id="9" w:name="_Toc22507"/>
      <w:r>
        <w:rPr>
          <w:rFonts w:hint="eastAsia"/>
        </w:rPr>
        <w:t>实施范围与内容</w:t>
      </w:r>
      <w:bookmarkEnd w:id="9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3"/>
        <w:gridCol w:w="3770"/>
        <w:gridCol w:w="3611"/>
      </w:tblGrid>
      <w:tr w14:paraId="6572B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61C5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模块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E3B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主要功能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2C56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7C43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9280E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门诊自助服务系统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6E3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建档、挂号、缴费、报告打印、物价查询等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B87F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支持医保卡、身份证、电子健康卡、医保电子凭证等多介质识别</w:t>
            </w:r>
          </w:p>
        </w:tc>
      </w:tr>
      <w:tr w14:paraId="2B982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AA4F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住院自助服务系统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8CF7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入院办理、预缴金充值、日清单查询、出院结算等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C173E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支持聚合支付、原路退款、自助结算</w:t>
            </w:r>
          </w:p>
        </w:tc>
      </w:tr>
      <w:tr w14:paraId="330C5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EE1B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统一支付结算平台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E5C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多渠道支付接入、对账管理、异常账处理、财务统计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608626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提供商户管理、订单查询、退款操作、报表分析等功能</w:t>
            </w:r>
          </w:p>
        </w:tc>
      </w:tr>
      <w:tr w14:paraId="2EB9D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915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系统对接与集成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CDCF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与HIS、医保系统对接，实现数据实时同步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4343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支持HL7/FHIR标准、JSON/XML数据格式</w:t>
            </w:r>
          </w:p>
        </w:tc>
      </w:tr>
      <w:tr w14:paraId="49203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4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1DC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安全与运维体系</w:t>
            </w:r>
          </w:p>
        </w:tc>
        <w:tc>
          <w:tcPr>
            <w:tcW w:w="377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97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身份认证、权限管理、日志审计、设备监控、数据备份</w:t>
            </w:r>
          </w:p>
        </w:tc>
        <w:tc>
          <w:tcPr>
            <w:tcW w:w="36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D63DE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实现系统级、应用级、网络级全方位防护</w:t>
            </w:r>
          </w:p>
        </w:tc>
      </w:tr>
    </w:tbl>
    <w:p w14:paraId="7A6A902C">
      <w:pPr>
        <w:pStyle w:val="28"/>
        <w:numPr>
          <w:numId w:val="0"/>
        </w:numPr>
        <w:bidi w:val="0"/>
        <w:ind w:leftChars="0"/>
        <w:rPr>
          <w:rFonts w:hint="eastAsia"/>
        </w:rPr>
      </w:pPr>
      <w:bookmarkStart w:id="10" w:name="_Toc3644"/>
    </w:p>
    <w:p w14:paraId="1D1A9621">
      <w:pPr>
        <w:pStyle w:val="28"/>
        <w:bidi w:val="0"/>
        <w:rPr>
          <w:rFonts w:hint="eastAsia"/>
        </w:rPr>
      </w:pPr>
      <w:r>
        <w:rPr>
          <w:rFonts w:hint="eastAsia"/>
        </w:rPr>
        <w:t>实施阶段与计划</w:t>
      </w:r>
      <w:bookmarkEnd w:id="10"/>
    </w:p>
    <w:p w14:paraId="3D6E7482">
      <w:pPr>
        <w:pStyle w:val="30"/>
        <w:bidi w:val="0"/>
        <w:rPr>
          <w:rFonts w:hint="eastAsia"/>
        </w:rPr>
      </w:pPr>
      <w:bookmarkStart w:id="11" w:name="_Toc16076"/>
      <w:r>
        <w:rPr>
          <w:rFonts w:hint="eastAsia"/>
        </w:rPr>
        <w:t>第一阶段：项目启动与规划（第1-2周）</w:t>
      </w:r>
      <w:bookmarkEnd w:id="11"/>
    </w:p>
    <w:p w14:paraId="2AB1967A">
      <w:pPr>
        <w:pStyle w:val="29"/>
        <w:bidi w:val="0"/>
        <w:rPr>
          <w:rFonts w:hint="eastAsia"/>
        </w:rPr>
      </w:pPr>
      <w:r>
        <w:rPr>
          <w:rFonts w:hint="eastAsia"/>
        </w:rPr>
        <w:t>成立项目组，明确职责分工；</w:t>
      </w:r>
    </w:p>
    <w:p w14:paraId="0F255553">
      <w:pPr>
        <w:pStyle w:val="29"/>
        <w:bidi w:val="0"/>
        <w:rPr>
          <w:rFonts w:hint="eastAsia"/>
        </w:rPr>
      </w:pPr>
      <w:r>
        <w:rPr>
          <w:rFonts w:hint="eastAsia"/>
        </w:rPr>
        <w:t>开展需求深化调研，确认接口方案；</w:t>
      </w:r>
    </w:p>
    <w:p w14:paraId="2FB5D160">
      <w:pPr>
        <w:pStyle w:val="29"/>
        <w:bidi w:val="0"/>
        <w:rPr>
          <w:rFonts w:hint="eastAsia"/>
        </w:rPr>
      </w:pPr>
      <w:r>
        <w:rPr>
          <w:rFonts w:hint="eastAsia"/>
        </w:rPr>
        <w:t>制定详细实施计划与风险管理策略。</w:t>
      </w:r>
    </w:p>
    <w:p w14:paraId="437908E4">
      <w:pPr>
        <w:pStyle w:val="30"/>
        <w:bidi w:val="0"/>
        <w:rPr>
          <w:rFonts w:hint="eastAsia"/>
        </w:rPr>
      </w:pPr>
      <w:bookmarkStart w:id="12" w:name="_Toc11009"/>
      <w:r>
        <w:rPr>
          <w:rFonts w:hint="eastAsia"/>
        </w:rPr>
        <w:t>第二阶段：系统设计与开发（第3-8周）</w:t>
      </w:r>
      <w:bookmarkEnd w:id="12"/>
    </w:p>
    <w:p w14:paraId="3361D639">
      <w:pPr>
        <w:pStyle w:val="29"/>
        <w:bidi w:val="0"/>
        <w:rPr>
          <w:rFonts w:hint="eastAsia"/>
        </w:rPr>
      </w:pPr>
      <w:r>
        <w:rPr>
          <w:rFonts w:hint="eastAsia"/>
        </w:rPr>
        <w:t>完成系统架构设计、数据库设计、接口设计；</w:t>
      </w:r>
    </w:p>
    <w:p w14:paraId="546F68C3">
      <w:pPr>
        <w:pStyle w:val="29"/>
        <w:bidi w:val="0"/>
        <w:rPr>
          <w:rFonts w:hint="eastAsia"/>
        </w:rPr>
      </w:pPr>
      <w:r>
        <w:rPr>
          <w:rFonts w:hint="eastAsia"/>
        </w:rPr>
        <w:t>开发自助终端系统、统一支付平台；</w:t>
      </w:r>
    </w:p>
    <w:p w14:paraId="5D220EF8">
      <w:pPr>
        <w:pStyle w:val="29"/>
        <w:bidi w:val="0"/>
        <w:rPr>
          <w:rFonts w:hint="eastAsia"/>
        </w:rPr>
      </w:pPr>
      <w:r>
        <w:rPr>
          <w:rFonts w:hint="eastAsia"/>
        </w:rPr>
        <w:t>完成与HIS、医保系统的接口开发与联调。</w:t>
      </w:r>
    </w:p>
    <w:p w14:paraId="4AE3ECCD">
      <w:pPr>
        <w:pStyle w:val="30"/>
        <w:bidi w:val="0"/>
        <w:rPr>
          <w:rFonts w:hint="eastAsia"/>
        </w:rPr>
      </w:pPr>
      <w:bookmarkStart w:id="13" w:name="_Toc17250"/>
      <w:r>
        <w:rPr>
          <w:rFonts w:hint="eastAsia"/>
        </w:rPr>
        <w:t>第三阶段：部署与集成（第9-12周）</w:t>
      </w:r>
      <w:bookmarkEnd w:id="13"/>
    </w:p>
    <w:p w14:paraId="61540327">
      <w:pPr>
        <w:pStyle w:val="29"/>
        <w:bidi w:val="0"/>
        <w:rPr>
          <w:rFonts w:hint="eastAsia"/>
        </w:rPr>
      </w:pPr>
      <w:r>
        <w:rPr>
          <w:rFonts w:hint="eastAsia"/>
        </w:rPr>
        <w:t>硬件设备采购、安装、调试；</w:t>
      </w:r>
    </w:p>
    <w:p w14:paraId="755B35D5">
      <w:pPr>
        <w:pStyle w:val="29"/>
        <w:bidi w:val="0"/>
        <w:rPr>
          <w:rFonts w:hint="eastAsia"/>
        </w:rPr>
      </w:pPr>
      <w:r>
        <w:rPr>
          <w:rFonts w:hint="eastAsia"/>
        </w:rPr>
        <w:t>系统部署、数据初始化、权限配置；</w:t>
      </w:r>
    </w:p>
    <w:p w14:paraId="4C24F425">
      <w:pPr>
        <w:pStyle w:val="29"/>
        <w:bidi w:val="0"/>
        <w:rPr>
          <w:rFonts w:hint="eastAsia"/>
        </w:rPr>
      </w:pPr>
      <w:r>
        <w:rPr>
          <w:rFonts w:hint="eastAsia"/>
        </w:rPr>
        <w:t>完成内网环境下的系统集成与功能测试。</w:t>
      </w:r>
    </w:p>
    <w:p w14:paraId="769E93FD">
      <w:pPr>
        <w:pStyle w:val="30"/>
        <w:bidi w:val="0"/>
        <w:rPr>
          <w:rFonts w:hint="eastAsia"/>
        </w:rPr>
      </w:pPr>
      <w:bookmarkStart w:id="14" w:name="_Toc7988"/>
      <w:r>
        <w:rPr>
          <w:rFonts w:hint="eastAsia"/>
        </w:rPr>
        <w:t>第四阶段：测试与培训（第13-14周）</w:t>
      </w:r>
      <w:bookmarkEnd w:id="14"/>
    </w:p>
    <w:p w14:paraId="043C709A">
      <w:pPr>
        <w:pStyle w:val="29"/>
        <w:bidi w:val="0"/>
        <w:rPr>
          <w:rFonts w:hint="eastAsia"/>
        </w:rPr>
      </w:pPr>
      <w:r>
        <w:rPr>
          <w:rFonts w:hint="eastAsia"/>
        </w:rPr>
        <w:t>开展功能测试、性能测试、安全测试；</w:t>
      </w:r>
    </w:p>
    <w:p w14:paraId="3A7F9194">
      <w:pPr>
        <w:pStyle w:val="29"/>
        <w:bidi w:val="0"/>
        <w:rPr>
          <w:rFonts w:hint="eastAsia"/>
        </w:rPr>
      </w:pPr>
      <w:r>
        <w:rPr>
          <w:rFonts w:hint="eastAsia"/>
        </w:rPr>
        <w:t>组织医院工作人员操作培训；</w:t>
      </w:r>
    </w:p>
    <w:p w14:paraId="739FEBCC">
      <w:pPr>
        <w:pStyle w:val="29"/>
        <w:bidi w:val="0"/>
        <w:rPr>
          <w:rFonts w:hint="eastAsia"/>
        </w:rPr>
      </w:pPr>
      <w:r>
        <w:rPr>
          <w:rFonts w:hint="eastAsia"/>
        </w:rPr>
        <w:t>编制用户操作手册与故障处理指南。</w:t>
      </w:r>
    </w:p>
    <w:p w14:paraId="43BF9B7F">
      <w:pPr>
        <w:pStyle w:val="30"/>
        <w:bidi w:val="0"/>
        <w:rPr>
          <w:rFonts w:hint="eastAsia"/>
        </w:rPr>
      </w:pPr>
      <w:bookmarkStart w:id="15" w:name="_Toc10511"/>
      <w:r>
        <w:rPr>
          <w:rFonts w:hint="eastAsia"/>
        </w:rPr>
        <w:t>第五阶段：上线与运维支持（第15周起）</w:t>
      </w:r>
      <w:bookmarkEnd w:id="15"/>
    </w:p>
    <w:p w14:paraId="2F00F5B4">
      <w:pPr>
        <w:pStyle w:val="29"/>
        <w:bidi w:val="0"/>
        <w:rPr>
          <w:rFonts w:hint="eastAsia"/>
        </w:rPr>
      </w:pPr>
      <w:r>
        <w:rPr>
          <w:rFonts w:hint="eastAsia"/>
        </w:rPr>
        <w:t>系统正式上线运行；</w:t>
      </w:r>
    </w:p>
    <w:p w14:paraId="21710DB1">
      <w:pPr>
        <w:pStyle w:val="29"/>
        <w:bidi w:val="0"/>
        <w:rPr>
          <w:rFonts w:hint="eastAsia"/>
        </w:rPr>
      </w:pPr>
      <w:r>
        <w:rPr>
          <w:rFonts w:hint="eastAsia"/>
        </w:rPr>
        <w:t>提供7×24小时运维支持；</w:t>
      </w:r>
    </w:p>
    <w:p w14:paraId="7F79D22C">
      <w:pPr>
        <w:pStyle w:val="29"/>
        <w:bidi w:val="0"/>
        <w:rPr>
          <w:rFonts w:hint="eastAsia"/>
        </w:rPr>
      </w:pPr>
      <w:r>
        <w:rPr>
          <w:rFonts w:hint="eastAsia"/>
        </w:rPr>
        <w:t>定期开展系统优化与功能迭代。</w:t>
      </w:r>
    </w:p>
    <w:p w14:paraId="3EBAAB50">
      <w:pPr>
        <w:pStyle w:val="28"/>
        <w:bidi w:val="0"/>
        <w:rPr>
          <w:rFonts w:hint="eastAsia"/>
        </w:rPr>
      </w:pPr>
      <w:bookmarkStart w:id="16" w:name="_Toc20220"/>
      <w:r>
        <w:rPr>
          <w:rFonts w:hint="eastAsia"/>
        </w:rPr>
        <w:t>技术实施方案</w:t>
      </w:r>
      <w:bookmarkEnd w:id="16"/>
    </w:p>
    <w:p w14:paraId="281696C8">
      <w:pPr>
        <w:pStyle w:val="30"/>
        <w:bidi w:val="0"/>
        <w:rPr>
          <w:rFonts w:hint="eastAsia"/>
        </w:rPr>
      </w:pPr>
      <w:bookmarkStart w:id="17" w:name="_Toc103"/>
      <w:r>
        <w:rPr>
          <w:rFonts w:hint="eastAsia"/>
        </w:rPr>
        <w:t>系统架构设计</w:t>
      </w:r>
      <w:bookmarkEnd w:id="17"/>
    </w:p>
    <w:p w14:paraId="7F0B6D8E">
      <w:pPr>
        <w:pStyle w:val="29"/>
        <w:bidi w:val="0"/>
        <w:rPr>
          <w:rFonts w:hint="eastAsia"/>
        </w:rPr>
      </w:pPr>
      <w:r>
        <w:rPr>
          <w:rFonts w:hint="eastAsia"/>
        </w:rPr>
        <w:t>采用“一联五层”架构（外联平台+基础层、数据层、业务中台、应用层、访问层）；</w:t>
      </w:r>
    </w:p>
    <w:p w14:paraId="6F72843C">
      <w:pPr>
        <w:pStyle w:val="29"/>
        <w:bidi w:val="0"/>
        <w:rPr>
          <w:rFonts w:hint="eastAsia"/>
        </w:rPr>
      </w:pPr>
      <w:r>
        <w:rPr>
          <w:rFonts w:hint="eastAsia"/>
        </w:rPr>
        <w:t>支持B/S架构，适配自助终端、移动端等多场景接入；</w:t>
      </w:r>
    </w:p>
    <w:p w14:paraId="27FD621C">
      <w:pPr>
        <w:pStyle w:val="29"/>
        <w:bidi w:val="0"/>
        <w:rPr>
          <w:rFonts w:hint="eastAsia"/>
        </w:rPr>
      </w:pPr>
      <w:r>
        <w:rPr>
          <w:rFonts w:hint="eastAsia"/>
        </w:rPr>
        <w:t>模块化设计，便于功能扩展与升级。</w:t>
      </w:r>
    </w:p>
    <w:p w14:paraId="51EB87DC">
      <w:pPr>
        <w:pStyle w:val="30"/>
        <w:bidi w:val="0"/>
        <w:rPr>
          <w:rFonts w:hint="eastAsia"/>
        </w:rPr>
      </w:pPr>
      <w:bookmarkStart w:id="18" w:name="_Toc31108"/>
      <w:r>
        <w:rPr>
          <w:rFonts w:hint="eastAsia"/>
        </w:rPr>
        <w:t>接口对接方案</w:t>
      </w:r>
      <w:bookmarkEnd w:id="18"/>
    </w:p>
    <w:p w14:paraId="3DC2E31A">
      <w:pPr>
        <w:pStyle w:val="29"/>
        <w:bidi w:val="0"/>
        <w:rPr>
          <w:rFonts w:hint="eastAsia"/>
        </w:rPr>
      </w:pPr>
      <w:r>
        <w:rPr>
          <w:rFonts w:hint="eastAsia"/>
        </w:rPr>
        <w:t>使用HL7/FHIR标准进行医疗数据交换；</w:t>
      </w:r>
    </w:p>
    <w:p w14:paraId="7C8C6B50">
      <w:pPr>
        <w:pStyle w:val="29"/>
        <w:bidi w:val="0"/>
        <w:rPr>
          <w:rFonts w:hint="eastAsia"/>
        </w:rPr>
      </w:pPr>
      <w:r>
        <w:rPr>
          <w:rFonts w:hint="eastAsia"/>
        </w:rPr>
        <w:t>支持JSON/XML格式，通过院内专网与HIS、医保系统对接；</w:t>
      </w:r>
    </w:p>
    <w:p w14:paraId="7E810F4A">
      <w:pPr>
        <w:pStyle w:val="29"/>
        <w:bidi w:val="0"/>
        <w:rPr>
          <w:rFonts w:hint="eastAsia"/>
        </w:rPr>
      </w:pPr>
      <w:r>
        <w:rPr>
          <w:rFonts w:hint="eastAsia"/>
        </w:rPr>
        <w:t>提供MD5/SM3签名、RSA/SM4加密机制，保障数据传输安全。</w:t>
      </w:r>
    </w:p>
    <w:p w14:paraId="34B46BA5">
      <w:pPr>
        <w:pStyle w:val="30"/>
        <w:bidi w:val="0"/>
        <w:rPr>
          <w:rFonts w:hint="eastAsia"/>
        </w:rPr>
      </w:pPr>
      <w:bookmarkStart w:id="19" w:name="_Toc16710"/>
      <w:r>
        <w:rPr>
          <w:rFonts w:hint="eastAsia"/>
        </w:rPr>
        <w:t>安全实施方案</w:t>
      </w:r>
      <w:bookmarkEnd w:id="19"/>
    </w:p>
    <w:p w14:paraId="6ABE3F0F">
      <w:pPr>
        <w:pStyle w:val="29"/>
        <w:bidi w:val="0"/>
        <w:rPr>
          <w:rFonts w:hint="eastAsia"/>
        </w:rPr>
      </w:pPr>
      <w:r>
        <w:rPr>
          <w:rFonts w:hint="eastAsia"/>
        </w:rPr>
        <w:t>部署防火墙、入侵检测系统；</w:t>
      </w:r>
    </w:p>
    <w:p w14:paraId="6842366C">
      <w:pPr>
        <w:pStyle w:val="29"/>
        <w:bidi w:val="0"/>
        <w:rPr>
          <w:rFonts w:hint="eastAsia"/>
        </w:rPr>
      </w:pPr>
      <w:r>
        <w:rPr>
          <w:rFonts w:hint="eastAsia"/>
        </w:rPr>
        <w:t>实现用户身份统一认证与权限分级管理；</w:t>
      </w:r>
    </w:p>
    <w:p w14:paraId="32D18FE6">
      <w:pPr>
        <w:pStyle w:val="29"/>
        <w:bidi w:val="0"/>
        <w:rPr>
          <w:rFonts w:hint="eastAsia"/>
        </w:rPr>
      </w:pPr>
      <w:r>
        <w:rPr>
          <w:rFonts w:hint="eastAsia"/>
        </w:rPr>
        <w:t>数据库访问控制、日志全记录、数据加密存储与传输。</w:t>
      </w:r>
    </w:p>
    <w:p w14:paraId="5D58859B">
      <w:pPr>
        <w:pStyle w:val="30"/>
        <w:bidi w:val="0"/>
        <w:rPr>
          <w:rFonts w:hint="eastAsia"/>
        </w:rPr>
      </w:pPr>
      <w:bookmarkStart w:id="20" w:name="_Toc32548"/>
      <w:r>
        <w:rPr>
          <w:rFonts w:hint="eastAsia"/>
        </w:rPr>
        <w:t>性能保障措施</w:t>
      </w:r>
      <w:bookmarkEnd w:id="20"/>
    </w:p>
    <w:p w14:paraId="6A09877E">
      <w:pPr>
        <w:pStyle w:val="29"/>
        <w:bidi w:val="0"/>
        <w:rPr>
          <w:rFonts w:hint="eastAsia"/>
        </w:rPr>
      </w:pPr>
      <w:r>
        <w:rPr>
          <w:rFonts w:hint="eastAsia"/>
        </w:rPr>
        <w:t>采用负载均衡与缓存机制，提升系统响应速度；</w:t>
      </w:r>
    </w:p>
    <w:p w14:paraId="38BB53AE">
      <w:pPr>
        <w:pStyle w:val="29"/>
        <w:bidi w:val="0"/>
        <w:rPr>
          <w:rFonts w:hint="eastAsia"/>
        </w:rPr>
      </w:pPr>
      <w:r>
        <w:rPr>
          <w:rFonts w:hint="eastAsia"/>
        </w:rPr>
        <w:t>数据库索引优化，支持千万级数据高效查询；</w:t>
      </w:r>
    </w:p>
    <w:p w14:paraId="6B26C1F2">
      <w:pPr>
        <w:pStyle w:val="29"/>
        <w:bidi w:val="0"/>
        <w:rPr>
          <w:rFonts w:hint="eastAsia"/>
        </w:rPr>
      </w:pPr>
      <w:r>
        <w:rPr>
          <w:rFonts w:hint="eastAsia"/>
        </w:rPr>
        <w:t>定期进行压力测试与性能调优。</w:t>
      </w:r>
    </w:p>
    <w:p w14:paraId="146A5545">
      <w:pPr>
        <w:pStyle w:val="28"/>
        <w:bidi w:val="0"/>
        <w:rPr>
          <w:rFonts w:hint="eastAsia"/>
        </w:rPr>
      </w:pPr>
      <w:bookmarkStart w:id="21" w:name="_Toc15049"/>
      <w:r>
        <w:rPr>
          <w:rFonts w:hint="eastAsia"/>
        </w:rPr>
        <w:t>项目管理与组织架构</w:t>
      </w:r>
      <w:bookmarkEnd w:id="21"/>
    </w:p>
    <w:p w14:paraId="60D16B10">
      <w:pPr>
        <w:pStyle w:val="30"/>
        <w:bidi w:val="0"/>
        <w:rPr>
          <w:rFonts w:hint="eastAsia"/>
        </w:rPr>
      </w:pPr>
      <w:bookmarkStart w:id="22" w:name="_Toc18956"/>
      <w:r>
        <w:rPr>
          <w:rFonts w:hint="eastAsia"/>
        </w:rPr>
        <w:t>项目组织架构</w:t>
      </w:r>
      <w:bookmarkEnd w:id="22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3"/>
        <w:gridCol w:w="7371"/>
      </w:tblGrid>
      <w:tr w14:paraId="75AB3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6E2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F69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职责</w:t>
            </w:r>
          </w:p>
        </w:tc>
      </w:tr>
      <w:tr w14:paraId="69524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A8E1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运维部经理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E63C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总体协调、进度控制、风险管理</w:t>
            </w:r>
          </w:p>
        </w:tc>
      </w:tr>
      <w:tr w14:paraId="521F6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E677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3722F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系统设计、开发管理、技术攻关</w:t>
            </w:r>
          </w:p>
        </w:tc>
      </w:tr>
      <w:tr w14:paraId="1707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3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2B2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运维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实施工程师</w:t>
            </w:r>
          </w:p>
        </w:tc>
        <w:tc>
          <w:tcPr>
            <w:tcW w:w="737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D9CC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系统部署、调试、培训支持</w:t>
            </w:r>
          </w:p>
          <w:p w14:paraId="6547B7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系统监控、故障处理、日常维护</w:t>
            </w:r>
          </w:p>
        </w:tc>
      </w:tr>
    </w:tbl>
    <w:p w14:paraId="0FB8D0EF">
      <w:pPr>
        <w:pStyle w:val="30"/>
        <w:bidi w:val="0"/>
        <w:rPr>
          <w:rFonts w:hint="eastAsia"/>
        </w:rPr>
      </w:pPr>
      <w:bookmarkStart w:id="23" w:name="_Toc12255"/>
      <w:r>
        <w:rPr>
          <w:rFonts w:hint="eastAsia"/>
        </w:rPr>
        <w:t>质量控制措施</w:t>
      </w:r>
      <w:bookmarkEnd w:id="23"/>
    </w:p>
    <w:p w14:paraId="616710FE">
      <w:pPr>
        <w:pStyle w:val="29"/>
        <w:bidi w:val="0"/>
        <w:rPr>
          <w:rFonts w:hint="eastAsia"/>
        </w:rPr>
      </w:pPr>
      <w:r>
        <w:rPr>
          <w:rFonts w:hint="eastAsia"/>
        </w:rPr>
        <w:t>严格执行需求评审、设计评审、代码评审；</w:t>
      </w:r>
    </w:p>
    <w:p w14:paraId="28081CCE">
      <w:pPr>
        <w:pStyle w:val="29"/>
        <w:bidi w:val="0"/>
        <w:rPr>
          <w:rFonts w:hint="eastAsia"/>
        </w:rPr>
      </w:pPr>
      <w:r>
        <w:rPr>
          <w:rFonts w:hint="eastAsia"/>
        </w:rPr>
        <w:t>制定测试计划，覆盖功能、性能、安全、兼容性；</w:t>
      </w:r>
    </w:p>
    <w:p w14:paraId="24644243">
      <w:pPr>
        <w:pStyle w:val="29"/>
        <w:bidi w:val="0"/>
        <w:rPr>
          <w:rFonts w:hint="eastAsia"/>
        </w:rPr>
      </w:pPr>
      <w:r>
        <w:rPr>
          <w:rFonts w:hint="eastAsia"/>
        </w:rPr>
        <w:t>建立问题跟踪机制，确保问题闭环处理。</w:t>
      </w:r>
    </w:p>
    <w:p w14:paraId="3E583CBE">
      <w:pPr>
        <w:pStyle w:val="30"/>
        <w:bidi w:val="0"/>
        <w:rPr>
          <w:rFonts w:hint="eastAsia"/>
        </w:rPr>
      </w:pPr>
      <w:bookmarkStart w:id="24" w:name="_Toc29951"/>
      <w:r>
        <w:rPr>
          <w:rFonts w:hint="eastAsia"/>
        </w:rPr>
        <w:t>风险管理</w:t>
      </w:r>
      <w:bookmarkEnd w:id="24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1"/>
        <w:gridCol w:w="6263"/>
      </w:tblGrid>
      <w:tr w14:paraId="0B992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D4670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风险类型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019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应对措施</w:t>
            </w:r>
          </w:p>
        </w:tc>
      </w:tr>
      <w:tr w14:paraId="57FC3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42F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系统对接风险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7D9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提前联调、准备备用方案</w:t>
            </w:r>
          </w:p>
        </w:tc>
      </w:tr>
      <w:tr w14:paraId="4EAB6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286E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数据安全风险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362651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加密传输、权限控制、日志审计</w:t>
            </w:r>
          </w:p>
        </w:tc>
      </w:tr>
      <w:tr w14:paraId="7920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4D82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用户接受度低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91FE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加强培训、优化界面、设置引导员</w:t>
            </w:r>
          </w:p>
        </w:tc>
      </w:tr>
      <w:tr w14:paraId="605D8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6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3904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硬件故障风险</w:t>
            </w:r>
          </w:p>
        </w:tc>
        <w:tc>
          <w:tcPr>
            <w:tcW w:w="626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BE5B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设备冗余、快速更换机制</w:t>
            </w:r>
          </w:p>
        </w:tc>
      </w:tr>
    </w:tbl>
    <w:p w14:paraId="4DE3B43A">
      <w:pPr>
        <w:pStyle w:val="28"/>
        <w:numPr>
          <w:numId w:val="0"/>
        </w:numPr>
        <w:bidi w:val="0"/>
        <w:ind w:leftChars="0"/>
        <w:rPr>
          <w:rFonts w:hint="eastAsia"/>
        </w:rPr>
      </w:pPr>
      <w:bookmarkStart w:id="25" w:name="_Toc28042"/>
    </w:p>
    <w:p w14:paraId="2C7D48CC">
      <w:pPr>
        <w:pStyle w:val="28"/>
        <w:bidi w:val="0"/>
        <w:rPr>
          <w:rFonts w:hint="eastAsia"/>
        </w:rPr>
      </w:pPr>
      <w:r>
        <w:rPr>
          <w:rFonts w:hint="eastAsia"/>
        </w:rPr>
        <w:t>培训与支持计划</w:t>
      </w:r>
      <w:bookmarkEnd w:id="25"/>
    </w:p>
    <w:p w14:paraId="4E037AAC">
      <w:pPr>
        <w:pStyle w:val="30"/>
        <w:bidi w:val="0"/>
        <w:rPr>
          <w:rFonts w:hint="eastAsia"/>
        </w:rPr>
      </w:pPr>
      <w:bookmarkStart w:id="26" w:name="_Toc26904"/>
      <w:r>
        <w:rPr>
          <w:rFonts w:hint="eastAsia"/>
        </w:rPr>
        <w:t>培训内容</w:t>
      </w:r>
      <w:bookmarkEnd w:id="26"/>
    </w:p>
    <w:p w14:paraId="01A3A857">
      <w:pPr>
        <w:pStyle w:val="29"/>
        <w:bidi w:val="0"/>
        <w:rPr>
          <w:rFonts w:hint="eastAsia"/>
        </w:rPr>
      </w:pPr>
      <w:r>
        <w:rPr>
          <w:rFonts w:hint="eastAsia"/>
        </w:rPr>
        <w:t>自助终端操作流程；</w:t>
      </w:r>
    </w:p>
    <w:p w14:paraId="48BF8529">
      <w:pPr>
        <w:pStyle w:val="29"/>
        <w:bidi w:val="0"/>
        <w:rPr>
          <w:rFonts w:hint="eastAsia"/>
        </w:rPr>
      </w:pPr>
      <w:r>
        <w:rPr>
          <w:rFonts w:hint="eastAsia"/>
        </w:rPr>
        <w:t>统一支付平台使用；</w:t>
      </w:r>
    </w:p>
    <w:p w14:paraId="228ADC45">
      <w:pPr>
        <w:pStyle w:val="29"/>
        <w:bidi w:val="0"/>
        <w:rPr>
          <w:rFonts w:hint="eastAsia"/>
        </w:rPr>
      </w:pPr>
      <w:r>
        <w:rPr>
          <w:rFonts w:hint="eastAsia"/>
        </w:rPr>
        <w:t>异常账处理与对账管理；</w:t>
      </w:r>
    </w:p>
    <w:p w14:paraId="3D6720A9">
      <w:pPr>
        <w:pStyle w:val="29"/>
        <w:bidi w:val="0"/>
        <w:rPr>
          <w:rFonts w:hint="eastAsia"/>
        </w:rPr>
      </w:pPr>
      <w:r>
        <w:rPr>
          <w:rFonts w:hint="eastAsia"/>
        </w:rPr>
        <w:t>系统管理与维护基础。</w:t>
      </w:r>
    </w:p>
    <w:p w14:paraId="358EE6FE">
      <w:pPr>
        <w:pStyle w:val="30"/>
        <w:bidi w:val="0"/>
        <w:rPr>
          <w:rFonts w:hint="eastAsia"/>
        </w:rPr>
      </w:pPr>
      <w:bookmarkStart w:id="27" w:name="_Toc20493"/>
      <w:r>
        <w:rPr>
          <w:rFonts w:hint="eastAsia"/>
        </w:rPr>
        <w:t>培训方式</w:t>
      </w:r>
      <w:bookmarkEnd w:id="27"/>
    </w:p>
    <w:p w14:paraId="173DA216">
      <w:pPr>
        <w:pStyle w:val="29"/>
        <w:bidi w:val="0"/>
        <w:rPr>
          <w:rFonts w:hint="eastAsia"/>
        </w:rPr>
      </w:pPr>
      <w:r>
        <w:rPr>
          <w:rFonts w:hint="eastAsia"/>
        </w:rPr>
        <w:t>现场集中培训；</w:t>
      </w:r>
    </w:p>
    <w:p w14:paraId="0AB98BD1">
      <w:pPr>
        <w:pStyle w:val="29"/>
        <w:bidi w:val="0"/>
        <w:rPr>
          <w:rFonts w:hint="eastAsia"/>
        </w:rPr>
      </w:pPr>
      <w:r>
        <w:rPr>
          <w:rFonts w:hint="eastAsia"/>
        </w:rPr>
        <w:t>视频教程+操作手册；</w:t>
      </w:r>
    </w:p>
    <w:p w14:paraId="6A6D7575">
      <w:pPr>
        <w:pStyle w:val="29"/>
        <w:bidi w:val="0"/>
        <w:rPr>
          <w:rFonts w:hint="eastAsia"/>
        </w:rPr>
      </w:pPr>
      <w:r>
        <w:rPr>
          <w:rFonts w:hint="eastAsia"/>
        </w:rPr>
        <w:t>一对一辅导与实操演练。</w:t>
      </w:r>
    </w:p>
    <w:p w14:paraId="627EBAC2">
      <w:pPr>
        <w:pStyle w:val="30"/>
        <w:bidi w:val="0"/>
        <w:rPr>
          <w:rFonts w:hint="eastAsia"/>
        </w:rPr>
      </w:pPr>
      <w:bookmarkStart w:id="28" w:name="_Toc12994"/>
      <w:r>
        <w:rPr>
          <w:rFonts w:hint="eastAsia"/>
        </w:rPr>
        <w:t>运维支持</w:t>
      </w:r>
      <w:bookmarkEnd w:id="28"/>
    </w:p>
    <w:p w14:paraId="2C3122C0">
      <w:pPr>
        <w:pStyle w:val="29"/>
        <w:bidi w:val="0"/>
        <w:rPr>
          <w:rFonts w:hint="eastAsia"/>
        </w:rPr>
      </w:pPr>
      <w:r>
        <w:rPr>
          <w:rFonts w:hint="eastAsia"/>
        </w:rPr>
        <w:t>提供7×24小时电话与在线支持；</w:t>
      </w:r>
    </w:p>
    <w:p w14:paraId="2D4351A0">
      <w:pPr>
        <w:pStyle w:val="29"/>
        <w:bidi w:val="0"/>
        <w:rPr>
          <w:rFonts w:hint="eastAsia"/>
        </w:rPr>
      </w:pPr>
      <w:r>
        <w:rPr>
          <w:rFonts w:hint="eastAsia"/>
        </w:rPr>
        <w:t>定期巡检与系统健康检查；</w:t>
      </w:r>
    </w:p>
    <w:p w14:paraId="2944BB90">
      <w:pPr>
        <w:pStyle w:val="29"/>
        <w:bidi w:val="0"/>
        <w:rPr>
          <w:rFonts w:hint="eastAsia"/>
        </w:rPr>
      </w:pPr>
      <w:r>
        <w:rPr>
          <w:rFonts w:hint="eastAsia"/>
        </w:rPr>
        <w:t>建立用户反馈机制，持续优化系统体验。</w:t>
      </w:r>
    </w:p>
    <w:p w14:paraId="030DDD79">
      <w:pPr>
        <w:pStyle w:val="28"/>
        <w:bidi w:val="0"/>
        <w:rPr>
          <w:rFonts w:hint="eastAsia"/>
        </w:rPr>
      </w:pPr>
      <w:bookmarkStart w:id="29" w:name="_Toc5779"/>
      <w:r>
        <w:rPr>
          <w:rFonts w:hint="eastAsia"/>
        </w:rPr>
        <w:t>验收标准与交付物</w:t>
      </w:r>
      <w:bookmarkEnd w:id="29"/>
    </w:p>
    <w:p w14:paraId="0F2A4407">
      <w:pPr>
        <w:pStyle w:val="30"/>
        <w:bidi w:val="0"/>
        <w:rPr>
          <w:rFonts w:hint="eastAsia"/>
        </w:rPr>
      </w:pPr>
      <w:bookmarkStart w:id="30" w:name="_Toc3901"/>
      <w:r>
        <w:rPr>
          <w:rFonts w:hint="eastAsia"/>
        </w:rPr>
        <w:t>验收标准</w:t>
      </w:r>
      <w:bookmarkEnd w:id="30"/>
    </w:p>
    <w:p w14:paraId="55E68D89">
      <w:pPr>
        <w:spacing w:before="193" w:line="361" w:lineRule="auto"/>
        <w:ind w:left="22" w:firstLine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所有功能模块符合需求规格；</w:t>
      </w:r>
    </w:p>
    <w:p w14:paraId="179628C8">
      <w:pPr>
        <w:spacing w:before="193" w:line="361" w:lineRule="auto"/>
        <w:ind w:left="22" w:firstLine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系统性能满足响应时间要求（查询≤2秒，统计≤180秒）；</w:t>
      </w:r>
    </w:p>
    <w:p w14:paraId="2A92DFBA">
      <w:pPr>
        <w:spacing w:before="193" w:line="361" w:lineRule="auto"/>
        <w:ind w:left="22" w:firstLine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通过安全渗透测试与数据完整性校验；</w:t>
      </w:r>
    </w:p>
    <w:p w14:paraId="7EA2225A">
      <w:pPr>
        <w:spacing w:before="193" w:line="361" w:lineRule="auto"/>
        <w:ind w:left="22" w:firstLine="481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用户培训完成率达100%。</w:t>
      </w:r>
    </w:p>
    <w:p w14:paraId="49B275B6">
      <w:pPr>
        <w:pStyle w:val="30"/>
        <w:bidi w:val="0"/>
        <w:rPr>
          <w:rFonts w:hint="eastAsia"/>
        </w:rPr>
      </w:pPr>
      <w:bookmarkStart w:id="31" w:name="_Toc8475"/>
      <w:r>
        <w:rPr>
          <w:rFonts w:hint="eastAsia"/>
        </w:rPr>
        <w:t>交付物清单</w:t>
      </w:r>
      <w:bookmarkEnd w:id="31"/>
    </w:p>
    <w:p w14:paraId="55753393">
      <w:pPr>
        <w:pStyle w:val="29"/>
        <w:bidi w:val="0"/>
        <w:rPr>
          <w:rFonts w:hint="eastAsia"/>
        </w:rPr>
      </w:pPr>
      <w:r>
        <w:rPr>
          <w:rFonts w:hint="eastAsia"/>
        </w:rPr>
        <w:t>系统源代码及相关技术文档；</w:t>
      </w:r>
    </w:p>
    <w:p w14:paraId="0D979678">
      <w:pPr>
        <w:pStyle w:val="29"/>
        <w:bidi w:val="0"/>
        <w:rPr>
          <w:rFonts w:hint="eastAsia"/>
        </w:rPr>
      </w:pPr>
      <w:r>
        <w:rPr>
          <w:rFonts w:hint="eastAsia"/>
        </w:rPr>
        <w:t>部署手册、用户操作手册、运维手册；</w:t>
      </w:r>
    </w:p>
    <w:p w14:paraId="5590225D">
      <w:pPr>
        <w:pStyle w:val="29"/>
        <w:bidi w:val="0"/>
        <w:rPr>
          <w:rFonts w:hint="eastAsia"/>
        </w:rPr>
      </w:pPr>
      <w:r>
        <w:rPr>
          <w:rFonts w:hint="eastAsia"/>
        </w:rPr>
        <w:t>培训材料与视频教程；</w:t>
      </w:r>
      <w:bookmarkStart w:id="32" w:name="_GoBack"/>
      <w:bookmarkEnd w:id="32"/>
    </w:p>
    <w:p w14:paraId="7540D312">
      <w:pPr>
        <w:pStyle w:val="29"/>
        <w:bidi w:val="0"/>
        <w:rPr>
          <w:rFonts w:hint="eastAsia"/>
        </w:rPr>
      </w:pPr>
      <w:r>
        <w:rPr>
          <w:rFonts w:hint="eastAsia"/>
        </w:rPr>
        <w:t>系统测试报告与项目验收报告。</w:t>
      </w:r>
    </w:p>
    <w:p w14:paraId="2C9DC0E0">
      <w:pPr>
        <w:spacing w:before="193" w:line="361" w:lineRule="auto"/>
        <w:ind w:left="22" w:firstLine="481"/>
        <w:jc w:val="both"/>
        <w:rPr>
          <w:rFonts w:ascii="宋体" w:hAnsi="宋体" w:eastAsia="宋体" w:cs="宋体"/>
          <w:sz w:val="24"/>
          <w:szCs w:val="24"/>
        </w:rPr>
      </w:pPr>
    </w:p>
    <w:sectPr>
      <w:headerReference r:id="rId5" w:type="default"/>
      <w:pgSz w:w="11906" w:h="16838"/>
      <w:pgMar w:top="1040" w:right="1740" w:bottom="1298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A11AA">
    <w:pPr>
      <w:pStyle w:val="12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2992E7A9"/>
    <w:multiLevelType w:val="singleLevel"/>
    <w:tmpl w:val="2992E7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5ADC5A60"/>
    <w:multiLevelType w:val="singleLevel"/>
    <w:tmpl w:val="5ADC5A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NotTrackMoves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0A5E21"/>
    <w:rsid w:val="01376D9B"/>
    <w:rsid w:val="04190023"/>
    <w:rsid w:val="04E83035"/>
    <w:rsid w:val="062A4F87"/>
    <w:rsid w:val="06812F53"/>
    <w:rsid w:val="09465165"/>
    <w:rsid w:val="0E6A6868"/>
    <w:rsid w:val="16873D30"/>
    <w:rsid w:val="172A3039"/>
    <w:rsid w:val="17716EB9"/>
    <w:rsid w:val="20986000"/>
    <w:rsid w:val="246E70F7"/>
    <w:rsid w:val="2C6C4D47"/>
    <w:rsid w:val="2E530C6F"/>
    <w:rsid w:val="2EF02962"/>
    <w:rsid w:val="304C67C6"/>
    <w:rsid w:val="31C433BF"/>
    <w:rsid w:val="3A8B7453"/>
    <w:rsid w:val="3E720C9E"/>
    <w:rsid w:val="3ECD432C"/>
    <w:rsid w:val="3F2A1578"/>
    <w:rsid w:val="3FE931E1"/>
    <w:rsid w:val="407451A1"/>
    <w:rsid w:val="430976F7"/>
    <w:rsid w:val="43372AFC"/>
    <w:rsid w:val="4597548E"/>
    <w:rsid w:val="45AC08C1"/>
    <w:rsid w:val="45CA13BF"/>
    <w:rsid w:val="480E1DCD"/>
    <w:rsid w:val="495D254A"/>
    <w:rsid w:val="49EE011A"/>
    <w:rsid w:val="523F4EE3"/>
    <w:rsid w:val="5D651636"/>
    <w:rsid w:val="5D740137"/>
    <w:rsid w:val="5DD74D90"/>
    <w:rsid w:val="603E7826"/>
    <w:rsid w:val="606C1599"/>
    <w:rsid w:val="62582A4B"/>
    <w:rsid w:val="62AF447A"/>
    <w:rsid w:val="64557053"/>
    <w:rsid w:val="654E74BF"/>
    <w:rsid w:val="6BD44496"/>
    <w:rsid w:val="70946B31"/>
    <w:rsid w:val="71F46A46"/>
    <w:rsid w:val="725E0484"/>
    <w:rsid w:val="75475CD9"/>
    <w:rsid w:val="781C344D"/>
    <w:rsid w:val="785176A8"/>
    <w:rsid w:val="7A080AFF"/>
    <w:rsid w:val="7A996F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2117</Words>
  <Characters>2299</Characters>
  <Lines>0</Lines>
  <Paragraphs>0</Paragraphs>
  <TotalTime>1</TotalTime>
  <ScaleCrop>false</ScaleCrop>
  <LinksUpToDate>false</LinksUpToDate>
  <CharactersWithSpaces>2416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2025-08-21T08:48:00Z</dcterms:created>
  <dc:creator>18442</dc:creator>
  <cp:lastModifiedBy>nancy杨茜</cp:lastModifiedBy>
  <dcterms:modified xsi:type="dcterms:W3CDTF">2026-01-07T01:46:26Z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