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F5AD1">
      <w:pPr>
        <w:pStyle w:val="26"/>
        <w:bidi w:val="0"/>
        <w:rPr>
          <w:rFonts w:hint="eastAsia"/>
          <w:lang w:val="en-US" w:eastAsia="zh-CN"/>
        </w:rPr>
      </w:pPr>
      <w:bookmarkStart w:id="0" w:name="_Toc19614"/>
    </w:p>
    <w:p w14:paraId="364A7027"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临夏回族自治州中医医院“智慧银医”项目-阶段性总结报告</w:t>
      </w:r>
      <w:bookmarkEnd w:id="0"/>
    </w:p>
    <w:p w14:paraId="794872C3">
      <w:pPr>
        <w:bidi w:val="0"/>
      </w:pPr>
    </w:p>
    <w:p w14:paraId="48C2E5AC">
      <w:pPr>
        <w:pStyle w:val="27"/>
        <w:bidi w:val="0"/>
      </w:pPr>
      <w:bookmarkStart w:id="1" w:name="_Toc27186"/>
      <w:r>
        <w:t>甘肃国邦信息科技有限公司</w:t>
      </w:r>
      <w:bookmarkEnd w:id="1"/>
    </w:p>
    <w:p w14:paraId="7E59F2C8">
      <w:pPr>
        <w:spacing w:before="275"/>
        <w:ind w:left="3285"/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</w:p>
    <w:p w14:paraId="1A17B4B4">
      <w:pPr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br w:type="page"/>
      </w:r>
    </w:p>
    <w:p w14:paraId="3BE5FFB8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7401"/>
      <w:bookmarkStart w:id="3" w:name="_Toc29581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  <w:bookmarkEnd w:id="3"/>
    </w:p>
    <w:p w14:paraId="43CF8608">
      <w:pPr>
        <w:spacing w:line="16" w:lineRule="exact"/>
      </w:pPr>
    </w:p>
    <w:tbl>
      <w:tblPr>
        <w:tblStyle w:val="24"/>
        <w:tblW w:w="82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1906"/>
        <w:gridCol w:w="1476"/>
        <w:gridCol w:w="1608"/>
      </w:tblGrid>
      <w:tr w14:paraId="19B968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02DBC678">
            <w:pPr>
              <w:pStyle w:val="25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545" w:type="dxa"/>
            <w:gridSpan w:val="4"/>
          </w:tcPr>
          <w:p w14:paraId="43D550CB">
            <w:pPr>
              <w:pStyle w:val="25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项目实施计划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XMSSJH</w:t>
            </w:r>
            <w:r>
              <w:rPr>
                <w:spacing w:val="-1"/>
              </w:rPr>
              <w:t>）</w:t>
            </w:r>
          </w:p>
        </w:tc>
      </w:tr>
      <w:tr w14:paraId="6CE30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683F9C62">
            <w:pPr>
              <w:pStyle w:val="25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545" w:type="dxa"/>
            <w:gridSpan w:val="4"/>
          </w:tcPr>
          <w:p w14:paraId="298CDD2B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212A11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73FD13CB">
            <w:pPr>
              <w:pStyle w:val="25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4453EC2D">
            <w:pPr>
              <w:pStyle w:val="25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1906" w:type="dxa"/>
          </w:tcPr>
          <w:p w14:paraId="5DBB51B0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476" w:type="dxa"/>
          </w:tcPr>
          <w:p w14:paraId="57A7C91E">
            <w:pPr>
              <w:pStyle w:val="25"/>
              <w:spacing w:before="199" w:line="220" w:lineRule="auto"/>
              <w:ind w:left="575"/>
              <w:jc w:val="left"/>
            </w:pPr>
            <w:r>
              <w:rPr>
                <w:spacing w:val="-3"/>
              </w:rPr>
              <w:t>作者</w:t>
            </w:r>
          </w:p>
        </w:tc>
        <w:tc>
          <w:tcPr>
            <w:tcW w:w="1608" w:type="dxa"/>
          </w:tcPr>
          <w:p w14:paraId="7123BF33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49EF8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7FDBD2B">
            <w:pPr>
              <w:pStyle w:val="25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204F4CEF">
            <w:pPr>
              <w:pStyle w:val="25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1906" w:type="dxa"/>
          </w:tcPr>
          <w:p w14:paraId="3B8CDB1F">
            <w:pPr>
              <w:pStyle w:val="25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476" w:type="dxa"/>
          </w:tcPr>
          <w:p w14:paraId="19F3F7ED">
            <w:pPr>
              <w:pStyle w:val="25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胡葛鹏宇</w:t>
            </w:r>
          </w:p>
        </w:tc>
        <w:tc>
          <w:tcPr>
            <w:tcW w:w="1608" w:type="dxa"/>
          </w:tcPr>
          <w:p w14:paraId="75055F09">
            <w:pPr>
              <w:pStyle w:val="25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1FB80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1AFCCE0">
            <w:pPr>
              <w:pStyle w:val="25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087A7199">
            <w:pPr>
              <w:pStyle w:val="25"/>
              <w:spacing w:before="164"/>
              <w:ind w:left="361"/>
            </w:pPr>
          </w:p>
        </w:tc>
        <w:tc>
          <w:tcPr>
            <w:tcW w:w="1906" w:type="dxa"/>
          </w:tcPr>
          <w:p w14:paraId="1379C907">
            <w:pPr>
              <w:pStyle w:val="25"/>
              <w:spacing w:before="134" w:line="219" w:lineRule="auto"/>
              <w:ind w:left="737"/>
            </w:pPr>
          </w:p>
        </w:tc>
        <w:tc>
          <w:tcPr>
            <w:tcW w:w="1476" w:type="dxa"/>
          </w:tcPr>
          <w:p w14:paraId="79CE1020">
            <w:pPr>
              <w:pStyle w:val="25"/>
              <w:spacing w:before="135" w:line="220" w:lineRule="auto"/>
              <w:ind w:left="480"/>
            </w:pPr>
          </w:p>
        </w:tc>
        <w:tc>
          <w:tcPr>
            <w:tcW w:w="1608" w:type="dxa"/>
          </w:tcPr>
          <w:p w14:paraId="4F300CB4">
            <w:pPr>
              <w:pStyle w:val="25"/>
              <w:spacing w:before="134" w:line="220" w:lineRule="auto"/>
              <w:ind w:left="672"/>
            </w:pPr>
          </w:p>
        </w:tc>
      </w:tr>
      <w:tr w14:paraId="00384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2866C34F">
            <w:pPr>
              <w:pStyle w:val="25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59DE2D63">
            <w:pPr>
              <w:pStyle w:val="25"/>
              <w:spacing w:before="165"/>
              <w:ind w:left="361"/>
            </w:pPr>
          </w:p>
        </w:tc>
        <w:tc>
          <w:tcPr>
            <w:tcW w:w="1906" w:type="dxa"/>
          </w:tcPr>
          <w:p w14:paraId="705755B1">
            <w:pPr>
              <w:pStyle w:val="25"/>
              <w:spacing w:before="135" w:line="219" w:lineRule="auto"/>
              <w:ind w:left="737"/>
            </w:pPr>
          </w:p>
        </w:tc>
        <w:tc>
          <w:tcPr>
            <w:tcW w:w="1476" w:type="dxa"/>
          </w:tcPr>
          <w:p w14:paraId="025962A0">
            <w:pPr>
              <w:pStyle w:val="25"/>
              <w:spacing w:before="136" w:line="220" w:lineRule="auto"/>
              <w:ind w:left="480"/>
            </w:pPr>
          </w:p>
        </w:tc>
        <w:tc>
          <w:tcPr>
            <w:tcW w:w="1608" w:type="dxa"/>
          </w:tcPr>
          <w:p w14:paraId="757B6D38">
            <w:pPr>
              <w:pStyle w:val="25"/>
              <w:spacing w:before="135" w:line="220" w:lineRule="auto"/>
              <w:ind w:left="672"/>
            </w:pPr>
          </w:p>
        </w:tc>
      </w:tr>
      <w:tr w14:paraId="409056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FFB01DB">
            <w:pPr>
              <w:pStyle w:val="25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153D98A4">
            <w:pPr>
              <w:pStyle w:val="25"/>
              <w:spacing w:before="166"/>
              <w:ind w:left="361"/>
            </w:pPr>
          </w:p>
        </w:tc>
        <w:tc>
          <w:tcPr>
            <w:tcW w:w="1906" w:type="dxa"/>
          </w:tcPr>
          <w:p w14:paraId="5A38F3A3">
            <w:pPr>
              <w:pStyle w:val="25"/>
              <w:spacing w:before="136" w:line="219" w:lineRule="auto"/>
              <w:ind w:left="737"/>
            </w:pPr>
          </w:p>
        </w:tc>
        <w:tc>
          <w:tcPr>
            <w:tcW w:w="1476" w:type="dxa"/>
          </w:tcPr>
          <w:p w14:paraId="0E9DCC44">
            <w:pPr>
              <w:pStyle w:val="25"/>
              <w:spacing w:before="137" w:line="220" w:lineRule="auto"/>
              <w:ind w:left="480"/>
            </w:pPr>
          </w:p>
        </w:tc>
        <w:tc>
          <w:tcPr>
            <w:tcW w:w="1608" w:type="dxa"/>
          </w:tcPr>
          <w:p w14:paraId="461B3EAE">
            <w:pPr>
              <w:pStyle w:val="25"/>
              <w:spacing w:before="136" w:line="220" w:lineRule="auto"/>
              <w:ind w:left="672"/>
            </w:pPr>
          </w:p>
        </w:tc>
      </w:tr>
      <w:tr w14:paraId="6EB90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7A8CDFEC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19233A25">
            <w:pPr>
              <w:rPr>
                <w:rFonts w:ascii="Arial"/>
                <w:sz w:val="21"/>
              </w:rPr>
            </w:pPr>
          </w:p>
        </w:tc>
        <w:tc>
          <w:tcPr>
            <w:tcW w:w="1906" w:type="dxa"/>
          </w:tcPr>
          <w:p w14:paraId="64284439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</w:tcPr>
          <w:p w14:paraId="579B1E7B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</w:tcPr>
          <w:p w14:paraId="547F760E">
            <w:pPr>
              <w:rPr>
                <w:rFonts w:ascii="Arial"/>
                <w:sz w:val="21"/>
              </w:rPr>
            </w:pPr>
          </w:p>
        </w:tc>
      </w:tr>
    </w:tbl>
    <w:p w14:paraId="07B4EA70">
      <w:pPr>
        <w:spacing w:before="275"/>
        <w:ind w:left="3285"/>
        <w:rPr>
          <w:rFonts w:ascii="宋体" w:hAnsi="宋体" w:eastAsia="宋体" w:cs="宋体"/>
          <w:spacing w:val="-2"/>
          <w:sz w:val="36"/>
          <w:szCs w:val="36"/>
        </w:rPr>
      </w:pPr>
    </w:p>
    <w:p w14:paraId="5212E560">
      <w:pPr>
        <w:pStyle w:val="12"/>
        <w:spacing w:line="244" w:lineRule="auto"/>
      </w:pPr>
    </w:p>
    <w:p w14:paraId="362D497D">
      <w:pPr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258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</w:sdtEndPr>
      <w:sdtContent>
        <w:p w14:paraId="74B5145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37F4D8C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 w:val="20"/>
              <w:szCs w:val="20"/>
            </w:rPr>
            <w:fldChar w:fldCharType="begin"/>
          </w:r>
          <w:r>
            <w:rPr>
              <w:rFonts w:ascii="Calibri" w:hAnsi="Calibri" w:eastAsia="Calibri" w:cs="Calibri"/>
              <w:sz w:val="20"/>
              <w:szCs w:val="20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0"/>
              <w:szCs w:val="20"/>
            </w:rPr>
            <w:fldChar w:fldCharType="separate"/>
          </w: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_Toc19614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临夏回族自治州中医医院“智慧银医”项目-阶段性总结报告</w:t>
          </w:r>
          <w:r>
            <w:tab/>
          </w:r>
          <w:r>
            <w:fldChar w:fldCharType="begin"/>
          </w:r>
          <w:r>
            <w:instrText xml:space="preserve"> PAGEREF _Toc19614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C1B1E80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_Toc27186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_Toc27186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3658CED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_Toc29581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_Toc29581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A6523DB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_Toc3691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项目总体概述</w:t>
          </w:r>
          <w:r>
            <w:tab/>
          </w:r>
          <w:r>
            <w:fldChar w:fldCharType="begin"/>
          </w:r>
          <w:r>
            <w:instrText xml:space="preserve"> PAGEREF _Toc3691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DA3BCBC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_Toc16753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项目背景与目标</w:t>
          </w:r>
          <w:r>
            <w:tab/>
          </w:r>
          <w:r>
            <w:fldChar w:fldCharType="begin"/>
          </w:r>
          <w:r>
            <w:instrText xml:space="preserve"> PAGEREF _Toc16753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B5AA5CF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_Toc25642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当前项目阶段</w:t>
          </w:r>
          <w:r>
            <w:tab/>
          </w:r>
          <w:r>
            <w:fldChar w:fldCharType="begin"/>
          </w:r>
          <w:r>
            <w:instrText xml:space="preserve"> PAGEREF _Toc25642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9469AFC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_Toc13455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本阶段（至2025年10月）主要工作完成情况</w:t>
          </w:r>
          <w:r>
            <w:tab/>
          </w:r>
          <w:r>
            <w:fldChar w:fldCharType="begin"/>
          </w:r>
          <w:r>
            <w:instrText xml:space="preserve"> PAGEREF _Toc13455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1080716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_Toc5597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核心成果与关键数据</w:t>
          </w:r>
          <w:r>
            <w:tab/>
          </w:r>
          <w:r>
            <w:fldChar w:fldCharType="begin"/>
          </w:r>
          <w:r>
            <w:instrText xml:space="preserve"> PAGEREF _Toc5597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78FCA3F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_Toc17904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系统建设成果</w:t>
          </w:r>
          <w:r>
            <w:tab/>
          </w:r>
          <w:r>
            <w:fldChar w:fldCharType="begin"/>
          </w:r>
          <w:r>
            <w:instrText xml:space="preserve"> PAGEREF _Toc17904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DA8E69A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_Toc6004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试运行关键数据（截至10月31日）</w:t>
          </w:r>
          <w:r>
            <w:tab/>
          </w:r>
          <w:r>
            <w:fldChar w:fldCharType="begin"/>
          </w:r>
          <w:r>
            <w:instrText xml:space="preserve"> PAGEREF _Toc6004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51136AB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_Toc9377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遇到的问题、挑战及应对措施</w:t>
          </w:r>
          <w:r>
            <w:tab/>
          </w:r>
          <w:r>
            <w:fldChar w:fldCharType="begin"/>
          </w:r>
          <w:r>
            <w:instrText xml:space="preserve"> PAGEREF _Toc9377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BBEA4F9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_Toc17184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下一阶段工作计划</w:t>
          </w:r>
          <w:r>
            <w:tab/>
          </w:r>
          <w:r>
            <w:fldChar w:fldCharType="begin"/>
          </w:r>
          <w:r>
            <w:instrText xml:space="preserve"> PAGEREF _Toc17184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BA17951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_Toc29700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</w:rPr>
            <w:t>试运行持续优化（11月上中旬）</w:t>
          </w:r>
          <w:r>
            <w:tab/>
          </w:r>
          <w:r>
            <w:fldChar w:fldCharType="begin"/>
          </w:r>
          <w:r>
            <w:instrText xml:space="preserve"> PAGEREF _Toc29700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4656A71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_Toc24802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rPr>
              <w:rFonts w:hint="eastAsia"/>
            </w:rPr>
            <w:t>项目终验准备（11月下旬）</w:t>
          </w:r>
          <w:r>
            <w:tab/>
          </w:r>
          <w:r>
            <w:fldChar w:fldCharType="begin"/>
          </w:r>
          <w:r>
            <w:instrText xml:space="preserve"> PAGEREF _Toc24802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4089A3B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_Toc28053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</w:rPr>
            <w:t>项目终验与移交（12月上旬）</w:t>
          </w:r>
          <w:r>
            <w:tab/>
          </w:r>
          <w:r>
            <w:fldChar w:fldCharType="begin"/>
          </w:r>
          <w:r>
            <w:instrText xml:space="preserve"> PAGEREF _Toc28053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8E9F632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_Toc6086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总结与建议</w:t>
          </w:r>
          <w:r>
            <w:tab/>
          </w:r>
          <w:r>
            <w:fldChar w:fldCharType="begin"/>
          </w:r>
          <w:r>
            <w:instrText xml:space="preserve"> PAGEREF _Toc6086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8C7A328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_Toc2503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rPr>
              <w:rFonts w:hint="eastAsia"/>
            </w:rPr>
            <w:t>阶段性总结</w:t>
          </w:r>
          <w:r>
            <w:tab/>
          </w:r>
          <w:r>
            <w:fldChar w:fldCharType="begin"/>
          </w:r>
          <w:r>
            <w:instrText xml:space="preserve"> PAGEREF _Toc2503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F326187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_Toc32187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rPr>
              <w:rFonts w:hint="eastAsia"/>
            </w:rPr>
            <w:t>后续建议</w:t>
          </w:r>
          <w:r>
            <w:tab/>
          </w:r>
          <w:r>
            <w:fldChar w:fldCharType="begin"/>
          </w:r>
          <w:r>
            <w:instrText xml:space="preserve"> PAGEREF _Toc32187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D9BF1C7">
          <w:pPr>
            <w:spacing w:line="228" w:lineRule="auto"/>
            <w:rPr>
              <w:rFonts w:ascii="Calibri" w:hAnsi="Calibri" w:eastAsia="Calibri" w:cs="Calibri"/>
              <w:snapToGrid w:val="0"/>
              <w:color w:val="000000"/>
              <w:kern w:val="0"/>
              <w:sz w:val="21"/>
              <w:szCs w:val="20"/>
              <w:lang w:val="en-US" w:eastAsia="en-US" w:bidi="ar-SA"/>
            </w:rPr>
          </w:pPr>
          <w:r>
            <w:rPr>
              <w:rFonts w:ascii="Calibri" w:hAnsi="Calibri" w:eastAsia="Calibri" w:cs="Calibri"/>
              <w:szCs w:val="20"/>
            </w:rPr>
            <w:fldChar w:fldCharType="end"/>
          </w:r>
        </w:p>
      </w:sdtContent>
    </w:sdt>
    <w:p w14:paraId="2AA0CBC4">
      <w:pPr>
        <w:spacing w:line="228" w:lineRule="auto"/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577A51A7">
      <w:pPr>
        <w:pStyle w:val="28"/>
        <w:bidi w:val="0"/>
        <w:rPr>
          <w:rFonts w:hint="eastAsia"/>
        </w:rPr>
      </w:pPr>
      <w:bookmarkStart w:id="4" w:name="bookmark11"/>
      <w:bookmarkEnd w:id="4"/>
      <w:bookmarkStart w:id="5" w:name="_Toc3691"/>
      <w:r>
        <w:rPr>
          <w:rFonts w:hint="eastAsia"/>
        </w:rPr>
        <w:t>项目总体概述</w:t>
      </w:r>
      <w:bookmarkEnd w:id="5"/>
    </w:p>
    <w:p w14:paraId="7BA1B095">
      <w:pPr>
        <w:pStyle w:val="30"/>
        <w:bidi w:val="0"/>
        <w:rPr>
          <w:rFonts w:hint="eastAsia"/>
        </w:rPr>
      </w:pPr>
      <w:bookmarkStart w:id="6" w:name="_Toc16753"/>
      <w:r>
        <w:rPr>
          <w:rFonts w:hint="eastAsia"/>
        </w:rPr>
        <w:t>项目背景与目标</w:t>
      </w:r>
      <w:bookmarkEnd w:id="6"/>
    </w:p>
    <w:p w14:paraId="036163B3">
      <w:pPr>
        <w:pStyle w:val="29"/>
        <w:bidi w:val="0"/>
        <w:rPr>
          <w:rFonts w:hint="eastAsia"/>
        </w:rPr>
      </w:pPr>
      <w:r>
        <w:rPr>
          <w:rFonts w:hint="eastAsia"/>
        </w:rPr>
        <w:t>自项目启动以来，我司严格遵循国家“互联网+医疗健康”发展战略，依据《需求分析报告》与《产品规格说明书》，全面推进“智慧银医”项目建设。项目核心目标为：通过构建统一支付结算平台与门诊、住院自助服务系统，优化患者就医流程，提升医院运营效率与管理水平，实现“数据多跑路，患者少跑腿”的便民服务宗旨。</w:t>
      </w:r>
    </w:p>
    <w:p w14:paraId="49DE3826">
      <w:pPr>
        <w:pStyle w:val="30"/>
        <w:bidi w:val="0"/>
        <w:rPr>
          <w:rFonts w:hint="eastAsia"/>
        </w:rPr>
      </w:pPr>
      <w:bookmarkStart w:id="7" w:name="_Toc25642"/>
      <w:r>
        <w:rPr>
          <w:rFonts w:hint="eastAsia"/>
        </w:rPr>
        <w:t>当前项目阶段</w:t>
      </w:r>
      <w:bookmarkEnd w:id="7"/>
    </w:p>
    <w:p w14:paraId="7EC2F32F">
      <w:pPr>
        <w:pStyle w:val="29"/>
        <w:bidi w:val="0"/>
        <w:rPr>
          <w:rFonts w:hint="eastAsia"/>
        </w:rPr>
      </w:pPr>
      <w:r>
        <w:rPr>
          <w:rFonts w:hint="eastAsia"/>
        </w:rPr>
        <w:t>截至2025年10月31日，项目已按计划完成 系统开发、集成测试、用户培训及上线部署 等核心工作，系统已于 2025年10月8日 成功上线并进入 试运行阶段。当前项目处于 试运行监控与优化期，正按计划向最终验收推进。</w:t>
      </w:r>
    </w:p>
    <w:p w14:paraId="68B186E8">
      <w:pPr>
        <w:pStyle w:val="28"/>
        <w:bidi w:val="0"/>
        <w:rPr>
          <w:rFonts w:hint="eastAsia"/>
        </w:rPr>
      </w:pPr>
      <w:bookmarkStart w:id="8" w:name="_Toc13455"/>
      <w:r>
        <w:rPr>
          <w:rFonts w:hint="eastAsia"/>
        </w:rPr>
        <w:t>本阶段（至2025年10月）主要工作完成情况</w:t>
      </w:r>
      <w:bookmarkEnd w:id="8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8"/>
        <w:gridCol w:w="1595"/>
        <w:gridCol w:w="1046"/>
        <w:gridCol w:w="1086"/>
        <w:gridCol w:w="3558"/>
      </w:tblGrid>
      <w:tr w14:paraId="261AE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DB5D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工作模块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E199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计划完成时间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5367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实际完成时间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F298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完成状态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1FB4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关键成果简述</w:t>
            </w:r>
          </w:p>
        </w:tc>
      </w:tr>
      <w:tr w14:paraId="650B7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7C2A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项目启动与规划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F197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第2周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7E28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第2周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D42F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100%完成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F1D9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完成团队组建、需求确认、接口方案审定及详细实施计划编制。</w:t>
            </w:r>
          </w:p>
        </w:tc>
      </w:tr>
      <w:tr w14:paraId="1CB93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B21B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系统设计与开发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46A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第8周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B11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第8周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8D2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100%完成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C1CB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完成所有软件模块（统一支付平台、门诊/住院自助系统）的开发与单元测试。</w:t>
            </w:r>
          </w:p>
        </w:tc>
      </w:tr>
      <w:tr w14:paraId="1776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B7CA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硬件采购与部署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6E64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第9-12周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BA1F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第11周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3112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100%完成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3D21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20台自助终端设备全部到货、验收，并完成院内关键点位安装与网络接入。</w:t>
            </w:r>
          </w:p>
        </w:tc>
      </w:tr>
      <w:tr w14:paraId="5BF60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5E3F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系统集成测试 (SIT)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B50D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第10周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8998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第10周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0883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100%完成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7379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在模拟环境完成与HIS、医保系统的全接口联调，核心业务流程全部打通。</w:t>
            </w:r>
          </w:p>
        </w:tc>
      </w:tr>
      <w:tr w14:paraId="6753E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3A34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5. 用户验收测试 (UAT)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3EF8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第11周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894D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第11周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F81A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100%完成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4BF6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院方关键用户参与测试，共执行测试用例385条，通过率100%，签署UAT报告。</w:t>
            </w:r>
          </w:p>
        </w:tc>
      </w:tr>
      <w:tr w14:paraId="148D8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3290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6. 用户培训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1009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第11周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564A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第11周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5F10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100%完成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E10B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开展集中培训4场，覆盖财务、门诊、住院、信息等科室关键用户62人次，考核通过。</w:t>
            </w:r>
          </w:p>
        </w:tc>
      </w:tr>
      <w:tr w14:paraId="6E0A8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57CD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7. 生产环境部署与上线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E042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第13周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4653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第13周（10月8日）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D9A1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100%完成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55F4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系统平稳切换上线，上线期间未影响医院正常业务，各项服务即时可用。</w:t>
            </w:r>
          </w:p>
        </w:tc>
      </w:tr>
      <w:tr w14:paraId="3F41E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D0AC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8. 试运行支持与监控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B49C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第13-14周（及以后）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C319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进行中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0207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🔄 持续进行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5FD2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系统已稳定试运行近4周，我方提供现场+远程7×24小时支持，持续收集反馈并优化。</w:t>
            </w:r>
          </w:p>
        </w:tc>
      </w:tr>
    </w:tbl>
    <w:p w14:paraId="4A72585F">
      <w:pPr>
        <w:pStyle w:val="29"/>
        <w:rPr>
          <w:rFonts w:hint="eastAsia"/>
        </w:rPr>
      </w:pPr>
    </w:p>
    <w:p w14:paraId="3595E186">
      <w:pPr>
        <w:pStyle w:val="28"/>
        <w:bidi w:val="0"/>
        <w:rPr>
          <w:rFonts w:hint="eastAsia"/>
        </w:rPr>
      </w:pPr>
      <w:bookmarkStart w:id="9" w:name="_Toc5597"/>
      <w:r>
        <w:rPr>
          <w:rFonts w:hint="eastAsia"/>
        </w:rPr>
        <w:t>核心成果与关键数据</w:t>
      </w:r>
      <w:bookmarkEnd w:id="9"/>
    </w:p>
    <w:p w14:paraId="0BEDC176">
      <w:pPr>
        <w:pStyle w:val="30"/>
        <w:bidi w:val="0"/>
        <w:rPr>
          <w:rFonts w:hint="eastAsia"/>
        </w:rPr>
      </w:pPr>
      <w:bookmarkStart w:id="10" w:name="_Toc17904"/>
      <w:r>
        <w:rPr>
          <w:rFonts w:hint="eastAsia"/>
        </w:rPr>
        <w:t>系统建设成果</w:t>
      </w:r>
      <w:bookmarkEnd w:id="10"/>
    </w:p>
    <w:p w14:paraId="0210EC26">
      <w:pPr>
        <w:pStyle w:val="29"/>
        <w:bidi w:val="0"/>
        <w:rPr>
          <w:rFonts w:hint="eastAsia"/>
        </w:rPr>
      </w:pPr>
      <w:r>
        <w:rPr>
          <w:rFonts w:hint="eastAsia"/>
        </w:rPr>
        <w:t>统一支付结算平台：成功接入微信、支付宝、银联聚合支付，实现与HIS系统的实时对账与差错处理自动化。</w:t>
      </w:r>
    </w:p>
    <w:p w14:paraId="08EA5D4B">
      <w:pPr>
        <w:pStyle w:val="29"/>
        <w:bidi w:val="0"/>
        <w:rPr>
          <w:rFonts w:hint="eastAsia"/>
        </w:rPr>
      </w:pPr>
      <w:r>
        <w:rPr>
          <w:rFonts w:hint="eastAsia"/>
        </w:rPr>
        <w:t>门诊自助服务系统：全面实现建档、挂号、缴费、报告打印等8项核心功能，支持医保电子凭证全流程结算。</w:t>
      </w:r>
    </w:p>
    <w:p w14:paraId="194743FB">
      <w:pPr>
        <w:pStyle w:val="29"/>
        <w:bidi w:val="0"/>
        <w:rPr>
          <w:rFonts w:hint="eastAsia"/>
        </w:rPr>
      </w:pPr>
      <w:r>
        <w:rPr>
          <w:rFonts w:hint="eastAsia"/>
        </w:rPr>
        <w:t>住院自助服务系统：实现入院登记、预交金充值、日清单查询、出院结算等一站式服务。</w:t>
      </w:r>
    </w:p>
    <w:p w14:paraId="74DBC600">
      <w:pPr>
        <w:pStyle w:val="29"/>
        <w:bidi w:val="0"/>
        <w:rPr>
          <w:rFonts w:hint="eastAsia"/>
        </w:rPr>
      </w:pPr>
      <w:r>
        <w:rPr>
          <w:rFonts w:hint="eastAsia"/>
        </w:rPr>
        <w:t>系统对接：与医院HIS系统完成18个核心接口的对接，与省医保平台完成4个实时结算接口的联通。</w:t>
      </w:r>
    </w:p>
    <w:p w14:paraId="7CB374F1">
      <w:pPr>
        <w:pStyle w:val="30"/>
        <w:bidi w:val="0"/>
        <w:rPr>
          <w:rFonts w:hint="eastAsia"/>
        </w:rPr>
      </w:pPr>
      <w:bookmarkStart w:id="11" w:name="_Toc6004"/>
      <w:r>
        <w:rPr>
          <w:rFonts w:hint="eastAsia"/>
        </w:rPr>
        <w:t>试运行关键数据（截至10月31日）</w:t>
      </w:r>
      <w:bookmarkEnd w:id="11"/>
    </w:p>
    <w:p w14:paraId="7F167F6C">
      <w:pPr>
        <w:pStyle w:val="2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自助终端累计服务人次：12,458 人次</w:t>
      </w:r>
    </w:p>
    <w:p w14:paraId="5F91105E">
      <w:pPr>
        <w:pStyle w:val="2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线上支付交易成功率：99.7%</w:t>
      </w:r>
    </w:p>
    <w:p w14:paraId="590F6D54">
      <w:pPr>
        <w:pStyle w:val="2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医保电子凭证结算占比：41.5%</w:t>
      </w:r>
    </w:p>
    <w:p w14:paraId="4E3B0005">
      <w:pPr>
        <w:pStyle w:val="2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门诊窗口排队平均缩短时间：约15分钟</w:t>
      </w:r>
    </w:p>
    <w:p w14:paraId="13F4B335">
      <w:pPr>
        <w:pStyle w:val="2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系统平均响应时间：&lt;1.5秒（优于≤2秒的设计要求）</w:t>
      </w:r>
    </w:p>
    <w:p w14:paraId="73CC12C1">
      <w:pPr>
        <w:pStyle w:val="29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重大系统故障次数：0 次</w:t>
      </w:r>
    </w:p>
    <w:p w14:paraId="7BF85B47">
      <w:pPr>
        <w:pStyle w:val="28"/>
        <w:bidi w:val="0"/>
        <w:rPr>
          <w:rFonts w:hint="eastAsia"/>
        </w:rPr>
      </w:pPr>
      <w:bookmarkStart w:id="12" w:name="_Toc9377"/>
      <w:r>
        <w:rPr>
          <w:rFonts w:hint="eastAsia"/>
        </w:rPr>
        <w:t>遇到的问题、挑战及应对措施</w:t>
      </w:r>
      <w:bookmarkEnd w:id="12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5"/>
        <w:gridCol w:w="1044"/>
        <w:gridCol w:w="2436"/>
        <w:gridCol w:w="3078"/>
      </w:tblGrid>
      <w:tr w14:paraId="01515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885E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问题/挑战描述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7741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发生阶段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D93F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应对与解决措施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78C5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解决结果</w:t>
            </w:r>
          </w:p>
        </w:tc>
      </w:tr>
      <w:tr w14:paraId="4EC08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0353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医保电子凭证扫码识别率初期偏低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00E1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UAT阶段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3122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1. 优化扫码器驱动及对焦逻辑；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2. 增加屏幕动态提示与扫码引导；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3. 与医保平台侧联合排查解码库。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06AF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识别成功率从86%提升至99.2%，达到上线标准。</w:t>
            </w:r>
          </w:p>
        </w:tc>
      </w:tr>
      <w:tr w14:paraId="203E5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B5BA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HIS系统部分老旧接口返回数据格式不稳定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1823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集成测试阶段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4AB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1. 在统一支付平台侧增加数据清洗与容错机制；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2. 与HIS厂商协同优化接口服务。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2971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实现接口100%稳定调用，未出现因数据格式导致的中断。</w:t>
            </w:r>
          </w:p>
        </w:tc>
      </w:tr>
      <w:tr w14:paraId="73249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173C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上线初期部分老年患者操作不熟练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3C8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试运行初期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00D5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1. 在自助机旁增设图文并茂的简易操作指南；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2. 安排导诊志愿者进行现场引导；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3. 优化界面字体大小和色彩对比度。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0C96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老年患者自助办理业务的比例稳步上升，现场咨询压力显著下降。</w:t>
            </w:r>
          </w:p>
        </w:tc>
      </w:tr>
    </w:tbl>
    <w:p w14:paraId="399595C7">
      <w:pPr>
        <w:pStyle w:val="29"/>
        <w:rPr>
          <w:rFonts w:hint="eastAsia"/>
        </w:rPr>
      </w:pPr>
    </w:p>
    <w:p w14:paraId="6BBACB7B">
      <w:pPr>
        <w:pStyle w:val="28"/>
        <w:bidi w:val="0"/>
        <w:rPr>
          <w:rFonts w:hint="eastAsia"/>
        </w:rPr>
      </w:pPr>
      <w:bookmarkStart w:id="13" w:name="_Toc17184"/>
      <w:r>
        <w:rPr>
          <w:rFonts w:hint="eastAsia"/>
        </w:rPr>
        <w:t>下一阶段工作计划</w:t>
      </w:r>
      <w:bookmarkEnd w:id="13"/>
    </w:p>
    <w:p w14:paraId="3512556D">
      <w:pPr>
        <w:pStyle w:val="30"/>
        <w:bidi w:val="0"/>
        <w:rPr>
          <w:rFonts w:hint="eastAsia"/>
        </w:rPr>
      </w:pPr>
      <w:bookmarkStart w:id="14" w:name="_Toc29700"/>
      <w:r>
        <w:rPr>
          <w:rFonts w:hint="eastAsia"/>
        </w:rPr>
        <w:t>试运行持续优化（11月上中旬）</w:t>
      </w:r>
      <w:bookmarkEnd w:id="14"/>
    </w:p>
    <w:p w14:paraId="1DECEDAD">
      <w:pPr>
        <w:pStyle w:val="29"/>
        <w:bidi w:val="0"/>
        <w:rPr>
          <w:rFonts w:hint="eastAsia"/>
        </w:rPr>
      </w:pPr>
      <w:r>
        <w:rPr>
          <w:rFonts w:hint="eastAsia"/>
        </w:rPr>
        <w:t>根据试运行反馈，完成最后一批细节功能优化与界面调整。</w:t>
      </w:r>
    </w:p>
    <w:p w14:paraId="47350B2C">
      <w:pPr>
        <w:pStyle w:val="29"/>
        <w:bidi w:val="0"/>
        <w:rPr>
          <w:rFonts w:hint="eastAsia"/>
        </w:rPr>
      </w:pPr>
      <w:r>
        <w:rPr>
          <w:rFonts w:hint="eastAsia"/>
        </w:rPr>
        <w:t>完成系统性能压力测试，确保系统在高峰期的稳定性。</w:t>
      </w:r>
    </w:p>
    <w:p w14:paraId="5BF6EE45">
      <w:pPr>
        <w:pStyle w:val="30"/>
        <w:bidi w:val="0"/>
        <w:rPr>
          <w:rFonts w:hint="eastAsia"/>
        </w:rPr>
      </w:pPr>
      <w:bookmarkStart w:id="15" w:name="_Toc24802"/>
      <w:r>
        <w:rPr>
          <w:rFonts w:hint="eastAsia"/>
        </w:rPr>
        <w:t>项目终验准备（11月下旬）</w:t>
      </w:r>
      <w:bookmarkEnd w:id="15"/>
    </w:p>
    <w:p w14:paraId="0ED59247">
      <w:pPr>
        <w:pStyle w:val="29"/>
        <w:bidi w:val="0"/>
        <w:rPr>
          <w:rFonts w:hint="eastAsia"/>
        </w:rPr>
      </w:pPr>
      <w:r>
        <w:rPr>
          <w:rFonts w:hint="eastAsia"/>
        </w:rPr>
        <w:t>整理并提交全部项目交付文档。</w:t>
      </w:r>
    </w:p>
    <w:p w14:paraId="4C4FD680">
      <w:pPr>
        <w:pStyle w:val="29"/>
        <w:bidi w:val="0"/>
        <w:rPr>
          <w:rFonts w:hint="eastAsia"/>
        </w:rPr>
      </w:pPr>
      <w:r>
        <w:rPr>
          <w:rFonts w:hint="eastAsia"/>
        </w:rPr>
        <w:t>配合院方完成系统全面审查与数据核对。</w:t>
      </w:r>
    </w:p>
    <w:p w14:paraId="6EB421D9">
      <w:pPr>
        <w:pStyle w:val="30"/>
        <w:bidi w:val="0"/>
        <w:rPr>
          <w:rFonts w:hint="eastAsia"/>
        </w:rPr>
      </w:pPr>
      <w:bookmarkStart w:id="16" w:name="_Toc28053"/>
      <w:r>
        <w:rPr>
          <w:rFonts w:hint="eastAsia"/>
        </w:rPr>
        <w:t>项目终验与移交（12月上旬）</w:t>
      </w:r>
      <w:bookmarkEnd w:id="16"/>
    </w:p>
    <w:p w14:paraId="33CA1DF8">
      <w:pPr>
        <w:pStyle w:val="29"/>
        <w:bidi w:val="0"/>
        <w:rPr>
          <w:rFonts w:hint="eastAsia"/>
        </w:rPr>
      </w:pPr>
      <w:r>
        <w:rPr>
          <w:rFonts w:hint="eastAsia"/>
        </w:rPr>
        <w:t>召开项目终验评审会，邀请院方领导及相关科室负责人参与。</w:t>
      </w:r>
    </w:p>
    <w:p w14:paraId="3B48E82A">
      <w:pPr>
        <w:pStyle w:val="29"/>
        <w:bidi w:val="0"/>
        <w:rPr>
          <w:rFonts w:hint="eastAsia"/>
        </w:rPr>
      </w:pPr>
      <w:r>
        <w:rPr>
          <w:rFonts w:hint="eastAsia"/>
        </w:rPr>
        <w:t>签署《项目终验报告》与《验收合格证书》。</w:t>
      </w:r>
    </w:p>
    <w:p w14:paraId="3B61C2A6">
      <w:pPr>
        <w:pStyle w:val="29"/>
        <w:bidi w:val="0"/>
        <w:rPr>
          <w:rFonts w:hint="eastAsia"/>
        </w:rPr>
      </w:pPr>
      <w:r>
        <w:rPr>
          <w:rFonts w:hint="eastAsia"/>
        </w:rPr>
        <w:t>完成项目知识转移，正式进入为期一年的质量保证与运维服务期。</w:t>
      </w:r>
    </w:p>
    <w:p w14:paraId="39ABB6C4">
      <w:pPr>
        <w:pStyle w:val="28"/>
        <w:bidi w:val="0"/>
        <w:rPr>
          <w:rFonts w:hint="eastAsia"/>
        </w:rPr>
      </w:pPr>
      <w:bookmarkStart w:id="17" w:name="_Toc6086"/>
      <w:r>
        <w:rPr>
          <w:rFonts w:hint="eastAsia"/>
        </w:rPr>
        <w:t>总结与建议</w:t>
      </w:r>
      <w:bookmarkEnd w:id="17"/>
    </w:p>
    <w:p w14:paraId="48F59492">
      <w:pPr>
        <w:pStyle w:val="30"/>
        <w:bidi w:val="0"/>
        <w:rPr>
          <w:rFonts w:hint="eastAsia"/>
        </w:rPr>
      </w:pPr>
      <w:bookmarkStart w:id="18" w:name="_Toc2503"/>
      <w:r>
        <w:rPr>
          <w:rFonts w:hint="eastAsia"/>
        </w:rPr>
        <w:t>阶段性总结</w:t>
      </w:r>
      <w:bookmarkEnd w:id="18"/>
    </w:p>
    <w:p w14:paraId="6C7EB26B">
      <w:pPr>
        <w:pStyle w:val="29"/>
        <w:bidi w:val="0"/>
        <w:rPr>
          <w:rFonts w:hint="eastAsia"/>
        </w:rPr>
      </w:pPr>
      <w:r>
        <w:rPr>
          <w:rFonts w:hint="eastAsia"/>
        </w:rPr>
        <w:t>截至2025年10月，“智慧银医”项目已按既定计划高质量完成了开发、部署与上线工作，系统运行稳定，核心业务指标达到甚至优于预期目标。项目的成功实施，初步实现了优化流程、提升效率、改善体验的建设初衷，获得了院方领导与医护人员的初步认可。</w:t>
      </w:r>
    </w:p>
    <w:p w14:paraId="65F2C27F">
      <w:pPr>
        <w:pStyle w:val="30"/>
        <w:bidi w:val="0"/>
        <w:rPr>
          <w:rFonts w:hint="eastAsia"/>
        </w:rPr>
      </w:pPr>
      <w:bookmarkStart w:id="19" w:name="_Toc32187"/>
      <w:r>
        <w:rPr>
          <w:rFonts w:hint="eastAsia"/>
        </w:rPr>
        <w:t>后续建议</w:t>
      </w:r>
      <w:bookmarkEnd w:id="19"/>
    </w:p>
    <w:p w14:paraId="3E478EB9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持续推广与引导：建议医院持续加强对患者的宣传与引导，进一步提升自助服务的使用率与认同感。</w:t>
      </w:r>
    </w:p>
    <w:p w14:paraId="153E20C0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数据驱动决策：建议后续可基于平台积累的运营数据，分析患者行为与业务高峰，为医院服务资源调配提供决策支持。</w:t>
      </w:r>
    </w:p>
    <w:p w14:paraId="2C9DC0E0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</w:rPr>
        <w:t>迭代规划：本项目奠定了良好的数字化基础，建议可开始规划下一阶段迭代，如对接省统一健康平台、探索互联网医院服务等，以持续提升医院智慧服务能力。</w:t>
      </w:r>
      <w:bookmarkStart w:id="20" w:name="_GoBack"/>
      <w:bookmarkEnd w:id="20"/>
    </w:p>
    <w:sectPr>
      <w:headerReference r:id="rId5" w:type="default"/>
      <w:pgSz w:w="11906" w:h="16838"/>
      <w:pgMar w:top="1460" w:right="1740" w:bottom="1098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5A11AA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6E03A84"/>
    <w:multiLevelType w:val="singleLevel"/>
    <w:tmpl w:val="C6E03A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B643A"/>
    <w:rsid w:val="006E4A62"/>
    <w:rsid w:val="010A5E21"/>
    <w:rsid w:val="01376D9B"/>
    <w:rsid w:val="030B2A3C"/>
    <w:rsid w:val="03F23D2C"/>
    <w:rsid w:val="04073203"/>
    <w:rsid w:val="04190023"/>
    <w:rsid w:val="04E83035"/>
    <w:rsid w:val="062A4F87"/>
    <w:rsid w:val="06812F53"/>
    <w:rsid w:val="06E8731C"/>
    <w:rsid w:val="0865674A"/>
    <w:rsid w:val="088210AA"/>
    <w:rsid w:val="08B17BE1"/>
    <w:rsid w:val="09465165"/>
    <w:rsid w:val="0A037FC9"/>
    <w:rsid w:val="0E6A6868"/>
    <w:rsid w:val="0FA1450C"/>
    <w:rsid w:val="10866BAD"/>
    <w:rsid w:val="11D81D3B"/>
    <w:rsid w:val="16873D30"/>
    <w:rsid w:val="172A3039"/>
    <w:rsid w:val="19464D98"/>
    <w:rsid w:val="198F2C96"/>
    <w:rsid w:val="19B05F23"/>
    <w:rsid w:val="1A3366A8"/>
    <w:rsid w:val="1B7C7BDB"/>
    <w:rsid w:val="1B9158F5"/>
    <w:rsid w:val="1C5446B4"/>
    <w:rsid w:val="1C597795"/>
    <w:rsid w:val="1CBB4733"/>
    <w:rsid w:val="1D48246B"/>
    <w:rsid w:val="1E085F02"/>
    <w:rsid w:val="1E5B61CE"/>
    <w:rsid w:val="1FBE6A14"/>
    <w:rsid w:val="201E3957"/>
    <w:rsid w:val="20986000"/>
    <w:rsid w:val="218D2B42"/>
    <w:rsid w:val="22482F0D"/>
    <w:rsid w:val="228201CD"/>
    <w:rsid w:val="22943A5C"/>
    <w:rsid w:val="232474D6"/>
    <w:rsid w:val="23311CBD"/>
    <w:rsid w:val="23EC3D11"/>
    <w:rsid w:val="25E20C40"/>
    <w:rsid w:val="26802C75"/>
    <w:rsid w:val="27186243"/>
    <w:rsid w:val="27A42993"/>
    <w:rsid w:val="290556B4"/>
    <w:rsid w:val="29B03871"/>
    <w:rsid w:val="2A0E0598"/>
    <w:rsid w:val="2B7C7221"/>
    <w:rsid w:val="2C106849"/>
    <w:rsid w:val="2C6C4D47"/>
    <w:rsid w:val="2CF25F4F"/>
    <w:rsid w:val="2E530C6F"/>
    <w:rsid w:val="2EB6326D"/>
    <w:rsid w:val="2EF02962"/>
    <w:rsid w:val="2FCD159E"/>
    <w:rsid w:val="322664D2"/>
    <w:rsid w:val="33574D5E"/>
    <w:rsid w:val="342002E1"/>
    <w:rsid w:val="34F223A6"/>
    <w:rsid w:val="360B0081"/>
    <w:rsid w:val="36CE4427"/>
    <w:rsid w:val="382D42DF"/>
    <w:rsid w:val="385B709E"/>
    <w:rsid w:val="395C1C6F"/>
    <w:rsid w:val="39C11183"/>
    <w:rsid w:val="3A8B7453"/>
    <w:rsid w:val="3AB06A4D"/>
    <w:rsid w:val="3B300A0F"/>
    <w:rsid w:val="3C6A5B02"/>
    <w:rsid w:val="3CF63839"/>
    <w:rsid w:val="3DA46DF1"/>
    <w:rsid w:val="3DF32A45"/>
    <w:rsid w:val="3E3D0FF4"/>
    <w:rsid w:val="3E720C9E"/>
    <w:rsid w:val="3E8C122A"/>
    <w:rsid w:val="3ECD432C"/>
    <w:rsid w:val="3EEA2F2A"/>
    <w:rsid w:val="3F2A1578"/>
    <w:rsid w:val="3FE931E1"/>
    <w:rsid w:val="3FF12096"/>
    <w:rsid w:val="3FFD4EDF"/>
    <w:rsid w:val="407451A1"/>
    <w:rsid w:val="40B32646"/>
    <w:rsid w:val="42731488"/>
    <w:rsid w:val="42B04734"/>
    <w:rsid w:val="42ED2FE9"/>
    <w:rsid w:val="430976F7"/>
    <w:rsid w:val="43290AF5"/>
    <w:rsid w:val="43372AFC"/>
    <w:rsid w:val="434D31F4"/>
    <w:rsid w:val="45230F44"/>
    <w:rsid w:val="4597548E"/>
    <w:rsid w:val="45AC08C1"/>
    <w:rsid w:val="45CA13BF"/>
    <w:rsid w:val="464A3349"/>
    <w:rsid w:val="47AB62D1"/>
    <w:rsid w:val="47E1141E"/>
    <w:rsid w:val="480E1DCD"/>
    <w:rsid w:val="481D3E1B"/>
    <w:rsid w:val="495D254A"/>
    <w:rsid w:val="49EE011A"/>
    <w:rsid w:val="4DBC3CE3"/>
    <w:rsid w:val="4F471CD3"/>
    <w:rsid w:val="523F4EE3"/>
    <w:rsid w:val="531E0F9C"/>
    <w:rsid w:val="534A1D91"/>
    <w:rsid w:val="53E73A84"/>
    <w:rsid w:val="54E35919"/>
    <w:rsid w:val="56064CB0"/>
    <w:rsid w:val="570E7A86"/>
    <w:rsid w:val="57633CE5"/>
    <w:rsid w:val="58900246"/>
    <w:rsid w:val="598F49A2"/>
    <w:rsid w:val="59C1070F"/>
    <w:rsid w:val="5A0E1D6B"/>
    <w:rsid w:val="5BBB1A7E"/>
    <w:rsid w:val="5D651636"/>
    <w:rsid w:val="5D740137"/>
    <w:rsid w:val="5DD74D90"/>
    <w:rsid w:val="5E9F7435"/>
    <w:rsid w:val="5FDC0215"/>
    <w:rsid w:val="606C1599"/>
    <w:rsid w:val="61475B62"/>
    <w:rsid w:val="6223037D"/>
    <w:rsid w:val="62582A4B"/>
    <w:rsid w:val="62AF447A"/>
    <w:rsid w:val="63391F7B"/>
    <w:rsid w:val="63666773"/>
    <w:rsid w:val="63A23524"/>
    <w:rsid w:val="64557053"/>
    <w:rsid w:val="654E74BF"/>
    <w:rsid w:val="668F1B3D"/>
    <w:rsid w:val="66B477F6"/>
    <w:rsid w:val="66CA7019"/>
    <w:rsid w:val="67544B35"/>
    <w:rsid w:val="67F85DF9"/>
    <w:rsid w:val="683706DE"/>
    <w:rsid w:val="6ABE50E7"/>
    <w:rsid w:val="6AE306AA"/>
    <w:rsid w:val="6B197DF0"/>
    <w:rsid w:val="6BB67B6C"/>
    <w:rsid w:val="6BD44496"/>
    <w:rsid w:val="6F410095"/>
    <w:rsid w:val="70946B31"/>
    <w:rsid w:val="715045BF"/>
    <w:rsid w:val="71F46A46"/>
    <w:rsid w:val="725E0484"/>
    <w:rsid w:val="72A05985"/>
    <w:rsid w:val="74A4534E"/>
    <w:rsid w:val="74AF5AA0"/>
    <w:rsid w:val="75475CD9"/>
    <w:rsid w:val="75C94940"/>
    <w:rsid w:val="76592168"/>
    <w:rsid w:val="77C16248"/>
    <w:rsid w:val="781C344D"/>
    <w:rsid w:val="785176A8"/>
    <w:rsid w:val="78E52D65"/>
    <w:rsid w:val="790C1713"/>
    <w:rsid w:val="7A080AFF"/>
    <w:rsid w:val="7A996FD7"/>
    <w:rsid w:val="7ADE49EA"/>
    <w:rsid w:val="7B5178B1"/>
    <w:rsid w:val="7D3E0ACF"/>
    <w:rsid w:val="7E3275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2140</Words>
  <Characters>2351</Characters>
  <Lines>0</Lines>
  <Paragraphs>0</Paragraphs>
  <TotalTime>0</TotalTime>
  <ScaleCrop>false</ScaleCrop>
  <LinksUpToDate>false</LinksUpToDate>
  <CharactersWithSpaces>2454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2025-08-21T08:48:00Z</dcterms:created>
  <dc:creator>18442</dc:creator>
  <cp:lastModifiedBy>nancy杨茜</cp:lastModifiedBy>
  <dcterms:modified xsi:type="dcterms:W3CDTF">2026-01-07T02:04:47Z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22E2BC15CE804118916ED915060B47E6_12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