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BodyText"/>
      </w:pPr>
      <w:r>
        <w:drawing>
          <wp:anchor distT="0" distB="0" distL="114300" distR="114300" simplePos="0" relativeHeight="251658240" behindDoc="1" locked="0" layoutInCell="1" allowOverlap="1">
            <wp:simplePos x="0" y="0"/>
            <wp:positionH relativeFrom="column">
              <wp:posOffset>-84455</wp:posOffset>
            </wp:positionH>
            <wp:positionV relativeFrom="paragraph">
              <wp:posOffset>-480060</wp:posOffset>
            </wp:positionV>
            <wp:extent cx="7729855" cy="11254105"/>
            <wp:effectExtent l="0" t="0" r="4445" b="4445"/>
            <wp:wrapNone/>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xmlns:r="http://schemas.openxmlformats.org/officeDocument/2006/relationships" r:embed="rId5"/>
                    <a:stretch>
                      <a:fillRect/>
                    </a:stretch>
                  </pic:blipFill>
                  <pic:spPr>
                    <a:xfrm>
                      <a:off x="0" y="0"/>
                      <a:ext cx="7729855" cy="11254105"/>
                    </a:xfrm>
                    <a:prstGeom prst="rect">
                      <a:avLst/>
                    </a:prstGeom>
                    <a:noFill/>
                    <a:ln>
                      <a:noFill/>
                    </a:ln>
                  </pic:spPr>
                </pic:pic>
              </a:graphicData>
            </a:graphic>
          </wp:anchor>
        </w:drawing>
      </w:r>
    </w:p>
    <w:p>
      <w:pPr>
        <w:pStyle w:val="BodyText"/>
      </w:pPr>
    </w:p>
    <w:p>
      <w:pPr>
        <w:pStyle w:val="BodyText"/>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spacing w:before="223" w:line="183" w:lineRule="auto"/>
        <w:ind w:left="2612"/>
      </w:pPr>
      <w:r>
        <w:rPr>
          <w:rFonts w:ascii="微软雅黑" w:eastAsia="微软雅黑" w:hAnsi="微软雅黑" w:cs="微软雅黑"/>
          <w:b/>
          <w:bCs/>
          <w:spacing w:val="-3"/>
          <w:sz w:val="52"/>
          <w:szCs w:val="52"/>
        </w:rPr>
        <w:t>甘肃国邦信息科技有限公司</w:t>
      </w:r>
    </w:p>
    <w:p>
      <w:pPr>
        <w:pStyle w:val="BodyText"/>
        <w:spacing w:line="297" w:lineRule="auto"/>
      </w:pPr>
    </w:p>
    <w:p>
      <w:pPr>
        <w:spacing w:before="153" w:line="223" w:lineRule="auto"/>
        <w:ind w:left="4101"/>
        <w:rPr>
          <w:rFonts w:ascii="宋体" w:eastAsia="宋体" w:hAnsi="宋体" w:cs="宋体"/>
          <w:sz w:val="47"/>
          <w:szCs w:val="47"/>
        </w:rPr>
      </w:pPr>
      <w:r>
        <w:rPr>
          <w:rFonts w:ascii="宋体" w:eastAsia="宋体" w:hAnsi="宋体" w:cs="宋体"/>
          <w:b/>
          <w:bCs/>
          <w:spacing w:val="-4"/>
          <w:sz w:val="47"/>
          <w:szCs w:val="47"/>
        </w:rPr>
        <w:t>内部审核管理制度</w:t>
      </w:r>
    </w:p>
    <w:p>
      <w:pPr>
        <w:pStyle w:val="BodyText"/>
        <w:spacing w:line="252" w:lineRule="auto"/>
      </w:pPr>
    </w:p>
    <w:p>
      <w:pPr>
        <w:pStyle w:val="BodyText"/>
        <w:spacing w:line="252" w:lineRule="auto"/>
      </w:pPr>
    </w:p>
    <w:p>
      <w:pPr>
        <w:pStyle w:val="BodyText"/>
        <w:spacing w:line="253" w:lineRule="auto"/>
      </w:pPr>
    </w:p>
    <w:p>
      <w:pPr>
        <w:pStyle w:val="BodyText"/>
        <w:spacing w:line="253" w:lineRule="auto"/>
      </w:pPr>
    </w:p>
    <w:p>
      <w:pPr>
        <w:spacing w:before="114" w:line="464" w:lineRule="exact"/>
        <w:ind w:left="4515"/>
        <w:rPr>
          <w:rFonts w:ascii="宋体" w:eastAsia="宋体" w:hAnsi="宋体" w:cs="宋体"/>
          <w:sz w:val="35"/>
          <w:szCs w:val="35"/>
        </w:rPr>
      </w:pPr>
      <w:r>
        <w:rPr>
          <w:rFonts w:ascii="宋体" w:eastAsia="宋体" w:hAnsi="宋体" w:cs="宋体"/>
          <w:b/>
          <w:bCs/>
          <w:position w:val="2"/>
          <w:sz w:val="35"/>
          <w:szCs w:val="35"/>
        </w:rPr>
        <w:t>GSGB</w:t>
      </w:r>
      <w:r>
        <w:rPr>
          <w:rFonts w:ascii="宋体" w:eastAsia="宋体" w:hAnsi="宋体" w:cs="宋体"/>
          <w:b/>
          <w:bCs/>
          <w:spacing w:val="3"/>
          <w:position w:val="2"/>
          <w:sz w:val="35"/>
          <w:szCs w:val="35"/>
        </w:rPr>
        <w:t>-</w:t>
      </w:r>
      <w:r>
        <w:rPr>
          <w:rFonts w:ascii="宋体" w:eastAsia="宋体" w:hAnsi="宋体" w:cs="宋体"/>
          <w:b/>
          <w:bCs/>
          <w:position w:val="2"/>
          <w:sz w:val="35"/>
          <w:szCs w:val="35"/>
        </w:rPr>
        <w:t>ITSS</w:t>
      </w:r>
      <w:r>
        <w:rPr>
          <w:rFonts w:ascii="宋体" w:eastAsia="宋体" w:hAnsi="宋体" w:cs="宋体"/>
          <w:b/>
          <w:bCs/>
          <w:spacing w:val="3"/>
          <w:position w:val="2"/>
          <w:sz w:val="35"/>
          <w:szCs w:val="35"/>
        </w:rPr>
        <w:t>-07-01</w:t>
      </w:r>
    </w:p>
    <w:p>
      <w:pPr>
        <w:pStyle w:val="BodyText"/>
        <w:spacing w:line="249" w:lineRule="auto"/>
      </w:pPr>
    </w:p>
    <w:p>
      <w:pPr>
        <w:pStyle w:val="BodyText"/>
        <w:spacing w:line="250" w:lineRule="auto"/>
      </w:pPr>
    </w:p>
    <w:p>
      <w:pPr>
        <w:pStyle w:val="BodyText"/>
        <w:spacing w:line="250" w:lineRule="auto"/>
      </w:pPr>
    </w:p>
    <w:p>
      <w:pPr>
        <w:pStyle w:val="BodyText"/>
        <w:spacing w:line="250" w:lineRule="auto"/>
      </w:pPr>
    </w:p>
    <w:p>
      <w:pPr>
        <w:pStyle w:val="BodyText"/>
        <w:spacing w:line="250" w:lineRule="auto"/>
      </w:pPr>
    </w:p>
    <w:p>
      <w:pPr>
        <w:spacing w:before="101" w:line="224" w:lineRule="auto"/>
        <w:ind w:left="3413"/>
        <w:rPr>
          <w:rFonts w:ascii="宋体" w:eastAsia="宋体" w:hAnsi="宋体" w:cs="宋体"/>
          <w:sz w:val="31"/>
          <w:szCs w:val="31"/>
        </w:rPr>
      </w:pPr>
      <w:r>
        <w:rPr>
          <w:rFonts w:ascii="宋体" w:eastAsia="宋体" w:hAnsi="宋体" w:cs="宋体"/>
          <w:spacing w:val="6"/>
          <w:sz w:val="31"/>
          <w:szCs w:val="31"/>
        </w:rPr>
        <w:t>拟制人：</w:t>
      </w:r>
      <w:r>
        <w:rPr>
          <w:rFonts w:ascii="宋体" w:eastAsia="宋体" w:hAnsi="宋体" w:cs="宋体"/>
          <w:spacing w:val="6"/>
          <w:sz w:val="31"/>
          <w:szCs w:val="31"/>
          <w:u w:val="single" w:color="auto"/>
        </w:rPr>
        <w:t xml:space="preserve">         刘文慧</w:t>
      </w:r>
      <w:r>
        <w:rPr>
          <w:rFonts w:ascii="宋体" w:eastAsia="宋体" w:hAnsi="宋体" w:cs="宋体"/>
          <w:sz w:val="31"/>
          <w:szCs w:val="31"/>
          <w:u w:val="single" w:color="auto"/>
        </w:rPr>
        <w:t xml:space="preserve">             </w:t>
      </w:r>
    </w:p>
    <w:p>
      <w:pPr>
        <w:pStyle w:val="BodyText"/>
        <w:spacing w:line="320" w:lineRule="auto"/>
      </w:pPr>
    </w:p>
    <w:p>
      <w:pPr>
        <w:pStyle w:val="BodyText"/>
        <w:spacing w:line="320" w:lineRule="auto"/>
      </w:pPr>
    </w:p>
    <w:p>
      <w:pPr>
        <w:spacing w:before="102" w:line="225" w:lineRule="auto"/>
        <w:ind w:left="3429"/>
        <w:rPr>
          <w:rFonts w:ascii="宋体" w:eastAsia="宋体" w:hAnsi="宋体" w:cs="宋体"/>
          <w:sz w:val="31"/>
          <w:szCs w:val="31"/>
        </w:rPr>
      </w:pPr>
      <w:r>
        <w:rPr>
          <w:rFonts w:ascii="宋体" w:eastAsia="宋体" w:hAnsi="宋体" w:cs="宋体"/>
          <w:spacing w:val="4"/>
          <w:sz w:val="31"/>
          <w:szCs w:val="31"/>
        </w:rPr>
        <w:t>审核人：</w:t>
      </w:r>
      <w:r>
        <w:rPr>
          <w:rFonts w:ascii="宋体" w:eastAsia="宋体" w:hAnsi="宋体" w:cs="宋体"/>
          <w:spacing w:val="6"/>
          <w:sz w:val="31"/>
          <w:szCs w:val="31"/>
          <w:u w:val="single" w:color="auto"/>
        </w:rPr>
        <w:t xml:space="preserve">         </w:t>
      </w:r>
      <w:r>
        <w:rPr>
          <w:rFonts w:ascii="宋体" w:eastAsia="宋体" w:hAnsi="宋体" w:cs="宋体"/>
          <w:spacing w:val="4"/>
          <w:sz w:val="31"/>
          <w:szCs w:val="31"/>
          <w:u w:val="single" w:color="auto"/>
        </w:rPr>
        <w:t>兰伟东</w:t>
      </w:r>
      <w:r>
        <w:rPr>
          <w:rFonts w:ascii="宋体" w:eastAsia="宋体" w:hAnsi="宋体" w:cs="宋体"/>
          <w:sz w:val="31"/>
          <w:szCs w:val="31"/>
          <w:u w:val="single" w:color="auto"/>
        </w:rPr>
        <w:t xml:space="preserve">             </w:t>
      </w:r>
    </w:p>
    <w:p>
      <w:pPr>
        <w:pStyle w:val="BodyText"/>
        <w:spacing w:line="318" w:lineRule="auto"/>
      </w:pPr>
    </w:p>
    <w:p>
      <w:pPr>
        <w:pStyle w:val="BodyText"/>
        <w:spacing w:line="319" w:lineRule="auto"/>
      </w:pPr>
    </w:p>
    <w:p>
      <w:pPr>
        <w:spacing w:before="101" w:line="226" w:lineRule="auto"/>
        <w:ind w:left="3411"/>
        <w:rPr>
          <w:rFonts w:ascii="宋体" w:eastAsia="宋体" w:hAnsi="宋体" w:cs="宋体"/>
          <w:sz w:val="31"/>
          <w:szCs w:val="31"/>
        </w:rPr>
      </w:pPr>
      <w:r>
        <w:rPr>
          <w:rFonts w:ascii="宋体" w:eastAsia="宋体" w:hAnsi="宋体" w:cs="宋体"/>
          <w:spacing w:val="3"/>
          <w:sz w:val="31"/>
          <w:szCs w:val="31"/>
        </w:rPr>
        <w:t>批准人：</w:t>
      </w:r>
      <w:r>
        <w:rPr>
          <w:rFonts w:ascii="宋体" w:eastAsia="宋体" w:hAnsi="宋体" w:cs="宋体"/>
          <w:spacing w:val="6"/>
          <w:sz w:val="31"/>
          <w:szCs w:val="31"/>
          <w:u w:val="single" w:color="auto"/>
        </w:rPr>
        <w:t xml:space="preserve">         </w:t>
      </w:r>
      <w:r>
        <w:rPr>
          <w:rFonts w:ascii="宋体" w:eastAsia="宋体" w:hAnsi="宋体" w:cs="宋体"/>
          <w:spacing w:val="3"/>
          <w:sz w:val="31"/>
          <w:szCs w:val="31"/>
          <w:u w:val="single" w:color="auto"/>
        </w:rPr>
        <w:t>赵</w:t>
      </w:r>
      <w:r>
        <w:rPr>
          <w:rFonts w:ascii="宋体" w:eastAsia="宋体" w:hAnsi="宋体" w:cs="宋体"/>
          <w:spacing w:val="14"/>
          <w:sz w:val="31"/>
          <w:szCs w:val="31"/>
          <w:u w:val="single" w:color="auto"/>
        </w:rPr>
        <w:t xml:space="preserve">  </w:t>
      </w:r>
      <w:r>
        <w:rPr>
          <w:rFonts w:ascii="宋体" w:eastAsia="宋体" w:hAnsi="宋体" w:cs="宋体"/>
          <w:spacing w:val="3"/>
          <w:sz w:val="31"/>
          <w:szCs w:val="31"/>
          <w:u w:val="single" w:color="auto"/>
        </w:rPr>
        <w:t>鑫</w:t>
      </w:r>
      <w:r>
        <w:rPr>
          <w:rFonts w:ascii="宋体" w:eastAsia="宋体" w:hAnsi="宋体" w:cs="宋体"/>
          <w:sz w:val="31"/>
          <w:szCs w:val="31"/>
          <w:u w:val="single" w:color="auto"/>
        </w:rPr>
        <w:t xml:space="preserve">             </w:t>
      </w:r>
    </w:p>
    <w:p>
      <w:pPr>
        <w:spacing w:line="226" w:lineRule="auto"/>
        <w:rPr>
          <w:rFonts w:ascii="宋体" w:eastAsia="宋体" w:hAnsi="宋体" w:cs="宋体"/>
          <w:sz w:val="31"/>
          <w:szCs w:val="31"/>
        </w:rPr>
        <w:sectPr>
          <w:headerReference w:type="default" r:id="rId6"/>
          <w:pgSz w:w="11906" w:h="16839"/>
          <w:pgMar w:top="400" w:right="0" w:bottom="0" w:left="0" w:header="0" w:footer="0" w:gutter="0"/>
          <w:cols w:num="1" w:space="720"/>
        </w:sectPr>
      </w:pPr>
    </w:p>
    <w:p>
      <w:pPr>
        <w:spacing w:before="255" w:line="187" w:lineRule="auto"/>
        <w:ind w:left="3917"/>
        <w:rPr>
          <w:rFonts w:ascii="微软雅黑" w:eastAsia="微软雅黑" w:hAnsi="微软雅黑" w:cs="微软雅黑"/>
          <w:sz w:val="35"/>
          <w:szCs w:val="35"/>
        </w:rPr>
      </w:pPr>
      <w:r>
        <w:rPr>
          <w:rFonts w:ascii="微软雅黑" w:eastAsia="微软雅黑" w:hAnsi="微软雅黑" w:cs="微软雅黑"/>
          <w:spacing w:val="8"/>
          <w:sz w:val="35"/>
          <w:szCs w:val="35"/>
        </w:rPr>
        <w:t>修改记录</w:t>
      </w:r>
    </w:p>
    <w:p>
      <w:pPr>
        <w:spacing w:before="105"/>
      </w:pPr>
    </w:p>
    <w:tbl>
      <w:tblPr>
        <w:tblStyle w:val="TableNormal0"/>
        <w:tblW w:w="8520" w:type="dxa"/>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390"/>
        <w:gridCol w:w="1377"/>
        <w:gridCol w:w="1377"/>
        <w:gridCol w:w="1377"/>
        <w:gridCol w:w="1492"/>
        <w:gridCol w:w="1507"/>
      </w:tblGrid>
      <w:tr>
        <w:tblPrEx>
          <w:tblW w:w="8520" w:type="dxa"/>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61"/>
        </w:trPr>
        <w:tc>
          <w:tcPr>
            <w:tcW w:w="1390" w:type="dxa"/>
            <w:tcBorders>
              <w:top w:val="single" w:sz="10" w:space="0" w:color="000000"/>
              <w:left w:val="single" w:sz="10" w:space="0" w:color="000000"/>
            </w:tcBorders>
          </w:tcPr>
          <w:p>
            <w:pPr>
              <w:spacing w:before="222" w:line="183" w:lineRule="auto"/>
              <w:ind w:left="441"/>
              <w:rPr>
                <w:rFonts w:ascii="微软雅黑" w:eastAsia="微软雅黑" w:hAnsi="微软雅黑" w:cs="微软雅黑"/>
                <w:sz w:val="24"/>
                <w:szCs w:val="24"/>
              </w:rPr>
            </w:pPr>
            <w:r>
              <w:rPr>
                <w:rFonts w:ascii="微软雅黑" w:eastAsia="微软雅黑" w:hAnsi="微软雅黑" w:cs="微软雅黑"/>
                <w:spacing w:val="-2"/>
                <w:sz w:val="24"/>
                <w:szCs w:val="24"/>
              </w:rPr>
              <w:t>版本</w:t>
            </w:r>
          </w:p>
        </w:tc>
        <w:tc>
          <w:tcPr>
            <w:tcW w:w="1377" w:type="dxa"/>
            <w:tcBorders>
              <w:top w:val="single" w:sz="10" w:space="0" w:color="000000"/>
            </w:tcBorders>
          </w:tcPr>
          <w:p>
            <w:pPr>
              <w:spacing w:before="176" w:line="226" w:lineRule="auto"/>
              <w:ind w:left="149"/>
              <w:rPr>
                <w:rFonts w:ascii="微软雅黑" w:eastAsia="微软雅黑" w:hAnsi="微软雅黑" w:cs="微软雅黑"/>
                <w:sz w:val="24"/>
                <w:szCs w:val="24"/>
              </w:rPr>
            </w:pPr>
            <w:r>
              <w:rPr>
                <w:rFonts w:ascii="微软雅黑" w:eastAsia="微软雅黑" w:hAnsi="微软雅黑" w:cs="微软雅黑"/>
                <w:spacing w:val="-1"/>
                <w:sz w:val="24"/>
                <w:szCs w:val="24"/>
              </w:rPr>
              <w:t>新建/修改</w:t>
            </w:r>
          </w:p>
        </w:tc>
        <w:tc>
          <w:tcPr>
            <w:tcW w:w="1377" w:type="dxa"/>
            <w:tcBorders>
              <w:top w:val="single" w:sz="10" w:space="0" w:color="000000"/>
            </w:tcBorders>
          </w:tcPr>
          <w:p>
            <w:pPr>
              <w:spacing w:before="222" w:line="183" w:lineRule="auto"/>
              <w:ind w:left="324"/>
              <w:rPr>
                <w:rFonts w:ascii="微软雅黑" w:eastAsia="微软雅黑" w:hAnsi="微软雅黑" w:cs="微软雅黑"/>
                <w:sz w:val="24"/>
                <w:szCs w:val="24"/>
              </w:rPr>
            </w:pPr>
            <w:r>
              <w:rPr>
                <w:rFonts w:ascii="微软雅黑" w:eastAsia="微软雅黑" w:hAnsi="微软雅黑" w:cs="微软雅黑"/>
                <w:spacing w:val="-2"/>
                <w:sz w:val="24"/>
                <w:szCs w:val="24"/>
              </w:rPr>
              <w:t>拟制人</w:t>
            </w:r>
          </w:p>
        </w:tc>
        <w:tc>
          <w:tcPr>
            <w:tcW w:w="1377" w:type="dxa"/>
            <w:tcBorders>
              <w:top w:val="single" w:sz="10" w:space="0" w:color="000000"/>
            </w:tcBorders>
          </w:tcPr>
          <w:p>
            <w:pPr>
              <w:spacing w:before="220" w:line="184" w:lineRule="auto"/>
              <w:ind w:left="337"/>
              <w:rPr>
                <w:rFonts w:ascii="微软雅黑" w:eastAsia="微软雅黑" w:hAnsi="微软雅黑" w:cs="微软雅黑"/>
                <w:sz w:val="24"/>
                <w:szCs w:val="24"/>
              </w:rPr>
            </w:pPr>
            <w:r>
              <w:rPr>
                <w:rFonts w:ascii="微软雅黑" w:eastAsia="微软雅黑" w:hAnsi="微软雅黑" w:cs="微软雅黑"/>
                <w:spacing w:val="-5"/>
                <w:sz w:val="24"/>
                <w:szCs w:val="24"/>
              </w:rPr>
              <w:t>审核人</w:t>
            </w:r>
          </w:p>
        </w:tc>
        <w:tc>
          <w:tcPr>
            <w:tcW w:w="1492" w:type="dxa"/>
            <w:tcBorders>
              <w:top w:val="single" w:sz="10" w:space="0" w:color="000000"/>
            </w:tcBorders>
          </w:tcPr>
          <w:p>
            <w:pPr>
              <w:spacing w:before="222" w:line="183" w:lineRule="auto"/>
              <w:ind w:left="390"/>
              <w:rPr>
                <w:rFonts w:ascii="微软雅黑" w:eastAsia="微软雅黑" w:hAnsi="微软雅黑" w:cs="微软雅黑"/>
                <w:sz w:val="24"/>
                <w:szCs w:val="24"/>
              </w:rPr>
            </w:pPr>
            <w:r>
              <w:rPr>
                <w:rFonts w:ascii="微软雅黑" w:eastAsia="微软雅黑" w:hAnsi="微软雅黑" w:cs="微软雅黑"/>
                <w:spacing w:val="-2"/>
                <w:sz w:val="24"/>
                <w:szCs w:val="24"/>
              </w:rPr>
              <w:t>批准人</w:t>
            </w:r>
          </w:p>
        </w:tc>
        <w:tc>
          <w:tcPr>
            <w:tcW w:w="1507" w:type="dxa"/>
            <w:tcBorders>
              <w:top w:val="single" w:sz="10" w:space="0" w:color="000000"/>
              <w:right w:val="single" w:sz="10" w:space="0" w:color="000000"/>
            </w:tcBorders>
          </w:tcPr>
          <w:p>
            <w:pPr>
              <w:spacing w:before="227" w:line="180" w:lineRule="auto"/>
              <w:ind w:left="547"/>
              <w:rPr>
                <w:rFonts w:ascii="微软雅黑" w:eastAsia="微软雅黑" w:hAnsi="微软雅黑" w:cs="微软雅黑"/>
                <w:sz w:val="24"/>
                <w:szCs w:val="24"/>
              </w:rPr>
            </w:pPr>
            <w:r>
              <w:rPr>
                <w:rFonts w:ascii="微软雅黑" w:eastAsia="微软雅黑" w:hAnsi="微软雅黑" w:cs="微软雅黑"/>
                <w:spacing w:val="-19"/>
                <w:sz w:val="24"/>
                <w:szCs w:val="24"/>
              </w:rPr>
              <w:t>日期</w:t>
            </w:r>
          </w:p>
        </w:tc>
      </w:tr>
      <w:tr>
        <w:tblPrEx>
          <w:tblW w:w="8520" w:type="dxa"/>
          <w:tblInd w:w="12" w:type="dxa"/>
          <w:tblLayout w:type="fixed"/>
          <w:tblCellMar>
            <w:top w:w="0" w:type="dxa"/>
            <w:left w:w="0" w:type="dxa"/>
            <w:bottom w:w="0" w:type="dxa"/>
            <w:right w:w="0" w:type="dxa"/>
          </w:tblCellMar>
        </w:tblPrEx>
        <w:trPr>
          <w:trHeight w:val="654"/>
        </w:trPr>
        <w:tc>
          <w:tcPr>
            <w:tcW w:w="1390" w:type="dxa"/>
            <w:tcBorders>
              <w:left w:val="single" w:sz="10" w:space="0" w:color="000000"/>
            </w:tcBorders>
          </w:tcPr>
          <w:p>
            <w:pPr>
              <w:spacing w:before="173" w:line="417" w:lineRule="exact"/>
              <w:ind w:left="447"/>
              <w:rPr>
                <w:rFonts w:ascii="微软雅黑" w:eastAsia="微软雅黑" w:hAnsi="微软雅黑" w:cs="微软雅黑"/>
                <w:sz w:val="24"/>
                <w:szCs w:val="24"/>
              </w:rPr>
            </w:pPr>
            <w:r>
              <w:rPr>
                <w:rFonts w:ascii="微软雅黑" w:eastAsia="微软雅黑" w:hAnsi="微软雅黑" w:cs="微软雅黑"/>
                <w:spacing w:val="-1"/>
                <w:position w:val="3"/>
                <w:sz w:val="24"/>
                <w:szCs w:val="24"/>
              </w:rPr>
              <w:t>v1.0</w:t>
            </w:r>
          </w:p>
        </w:tc>
        <w:tc>
          <w:tcPr>
            <w:tcW w:w="1377" w:type="dxa"/>
          </w:tcPr>
          <w:p>
            <w:pPr>
              <w:spacing w:before="218" w:line="183" w:lineRule="auto"/>
              <w:ind w:left="439"/>
              <w:rPr>
                <w:rFonts w:ascii="微软雅黑" w:eastAsia="微软雅黑" w:hAnsi="微软雅黑" w:cs="微软雅黑"/>
                <w:sz w:val="24"/>
                <w:szCs w:val="24"/>
              </w:rPr>
            </w:pPr>
            <w:r>
              <w:rPr>
                <w:rFonts w:ascii="微软雅黑" w:eastAsia="微软雅黑" w:hAnsi="微软雅黑" w:cs="微软雅黑"/>
                <w:spacing w:val="-2"/>
                <w:sz w:val="24"/>
                <w:szCs w:val="24"/>
              </w:rPr>
              <w:t>新建</w:t>
            </w:r>
          </w:p>
        </w:tc>
        <w:tc>
          <w:tcPr>
            <w:tcW w:w="1377" w:type="dxa"/>
          </w:tcPr>
          <w:p>
            <w:pPr>
              <w:spacing w:before="218" w:line="183" w:lineRule="auto"/>
              <w:ind w:left="325"/>
              <w:rPr>
                <w:rFonts w:ascii="微软雅黑" w:eastAsia="微软雅黑" w:hAnsi="微软雅黑" w:cs="微软雅黑"/>
                <w:sz w:val="24"/>
                <w:szCs w:val="24"/>
              </w:rPr>
            </w:pPr>
            <w:r>
              <w:rPr>
                <w:rFonts w:ascii="微软雅黑" w:eastAsia="微软雅黑" w:hAnsi="微软雅黑" w:cs="微软雅黑"/>
                <w:spacing w:val="-2"/>
                <w:sz w:val="24"/>
                <w:szCs w:val="24"/>
              </w:rPr>
              <w:t>刘文慧</w:t>
            </w:r>
          </w:p>
        </w:tc>
        <w:tc>
          <w:tcPr>
            <w:tcW w:w="1377" w:type="dxa"/>
          </w:tcPr>
          <w:p>
            <w:pPr>
              <w:spacing w:before="218" w:line="183" w:lineRule="auto"/>
              <w:ind w:left="327"/>
              <w:rPr>
                <w:rFonts w:ascii="微软雅黑" w:eastAsia="微软雅黑" w:hAnsi="微软雅黑" w:cs="微软雅黑"/>
                <w:sz w:val="24"/>
                <w:szCs w:val="24"/>
              </w:rPr>
            </w:pPr>
            <w:r>
              <w:rPr>
                <w:rFonts w:ascii="微软雅黑" w:eastAsia="微软雅黑" w:hAnsi="微软雅黑" w:cs="微软雅黑"/>
                <w:spacing w:val="-2"/>
                <w:sz w:val="24"/>
                <w:szCs w:val="24"/>
              </w:rPr>
              <w:t>兰伟东</w:t>
            </w:r>
          </w:p>
        </w:tc>
        <w:tc>
          <w:tcPr>
            <w:tcW w:w="1492" w:type="dxa"/>
          </w:tcPr>
          <w:p>
            <w:pPr>
              <w:spacing w:before="221" w:line="181" w:lineRule="auto"/>
              <w:ind w:left="510"/>
              <w:rPr>
                <w:rFonts w:ascii="微软雅黑" w:eastAsia="微软雅黑" w:hAnsi="微软雅黑" w:cs="微软雅黑"/>
                <w:sz w:val="24"/>
                <w:szCs w:val="24"/>
              </w:rPr>
            </w:pPr>
            <w:r>
              <w:rPr>
                <w:rFonts w:ascii="微软雅黑" w:eastAsia="微软雅黑" w:hAnsi="微软雅黑" w:cs="微软雅黑"/>
                <w:spacing w:val="-2"/>
                <w:sz w:val="24"/>
                <w:szCs w:val="24"/>
              </w:rPr>
              <w:t>黄益溪</w:t>
            </w:r>
          </w:p>
        </w:tc>
        <w:tc>
          <w:tcPr>
            <w:tcW w:w="1507" w:type="dxa"/>
            <w:tcBorders>
              <w:right w:val="single" w:sz="10" w:space="0" w:color="000000"/>
            </w:tcBorders>
          </w:tcPr>
          <w:p>
            <w:pPr>
              <w:spacing w:before="173" w:line="417" w:lineRule="exact"/>
              <w:ind w:left="215"/>
              <w:rPr>
                <w:rFonts w:ascii="微软雅黑" w:eastAsia="微软雅黑" w:hAnsi="微软雅黑" w:cs="微软雅黑"/>
                <w:sz w:val="24"/>
                <w:szCs w:val="24"/>
              </w:rPr>
            </w:pPr>
            <w:r>
              <w:rPr>
                <w:rFonts w:ascii="微软雅黑" w:eastAsia="微软雅黑" w:hAnsi="微软雅黑" w:cs="微软雅黑"/>
                <w:spacing w:val="-2"/>
                <w:position w:val="3"/>
                <w:sz w:val="24"/>
                <w:szCs w:val="24"/>
              </w:rPr>
              <w:t>2025.1.7</w:t>
            </w:r>
          </w:p>
        </w:tc>
      </w:tr>
      <w:tr>
        <w:tblPrEx>
          <w:tblW w:w="8520" w:type="dxa"/>
          <w:tblInd w:w="12" w:type="dxa"/>
          <w:tblLayout w:type="fixed"/>
          <w:tblCellMar>
            <w:top w:w="0" w:type="dxa"/>
            <w:left w:w="0" w:type="dxa"/>
            <w:bottom w:w="0" w:type="dxa"/>
            <w:right w:w="0" w:type="dxa"/>
          </w:tblCellMar>
        </w:tblPrEx>
        <w:trPr>
          <w:trHeight w:val="522"/>
        </w:trPr>
        <w:tc>
          <w:tcPr>
            <w:tcW w:w="1390" w:type="dxa"/>
            <w:tcBorders>
              <w:left w:val="single" w:sz="10" w:space="0" w:color="000000"/>
            </w:tcBorders>
          </w:tcPr>
          <w:p>
            <w:pPr>
              <w:pStyle w:val="TableText"/>
            </w:pPr>
          </w:p>
        </w:tc>
        <w:tc>
          <w:tcPr>
            <w:tcW w:w="1377" w:type="dxa"/>
          </w:tcPr>
          <w:p>
            <w:pPr>
              <w:pStyle w:val="TableText"/>
            </w:pPr>
          </w:p>
        </w:tc>
        <w:tc>
          <w:tcPr>
            <w:tcW w:w="1377" w:type="dxa"/>
          </w:tcPr>
          <w:p>
            <w:pPr>
              <w:pStyle w:val="TableText"/>
            </w:pPr>
          </w:p>
        </w:tc>
        <w:tc>
          <w:tcPr>
            <w:tcW w:w="1377" w:type="dxa"/>
          </w:tcPr>
          <w:p>
            <w:pPr>
              <w:pStyle w:val="TableText"/>
            </w:pPr>
          </w:p>
        </w:tc>
        <w:tc>
          <w:tcPr>
            <w:tcW w:w="1492" w:type="dxa"/>
          </w:tcPr>
          <w:p>
            <w:pPr>
              <w:pStyle w:val="TableText"/>
            </w:pPr>
          </w:p>
        </w:tc>
        <w:tc>
          <w:tcPr>
            <w:tcW w:w="1507" w:type="dxa"/>
            <w:tcBorders>
              <w:right w:val="single" w:sz="10" w:space="0" w:color="000000"/>
            </w:tcBorders>
          </w:tcPr>
          <w:p>
            <w:pPr>
              <w:pStyle w:val="TableText"/>
            </w:pPr>
          </w:p>
        </w:tc>
      </w:tr>
      <w:tr>
        <w:tblPrEx>
          <w:tblW w:w="8520" w:type="dxa"/>
          <w:tblInd w:w="12" w:type="dxa"/>
          <w:tblLayout w:type="fixed"/>
          <w:tblCellMar>
            <w:top w:w="0" w:type="dxa"/>
            <w:left w:w="0" w:type="dxa"/>
            <w:bottom w:w="0" w:type="dxa"/>
            <w:right w:w="0" w:type="dxa"/>
          </w:tblCellMar>
        </w:tblPrEx>
        <w:trPr>
          <w:trHeight w:val="523"/>
        </w:trPr>
        <w:tc>
          <w:tcPr>
            <w:tcW w:w="1390" w:type="dxa"/>
            <w:tcBorders>
              <w:left w:val="single" w:sz="10" w:space="0" w:color="000000"/>
            </w:tcBorders>
          </w:tcPr>
          <w:p>
            <w:pPr>
              <w:pStyle w:val="TableText"/>
            </w:pPr>
          </w:p>
        </w:tc>
        <w:tc>
          <w:tcPr>
            <w:tcW w:w="1377" w:type="dxa"/>
          </w:tcPr>
          <w:p>
            <w:pPr>
              <w:pStyle w:val="TableText"/>
            </w:pPr>
          </w:p>
        </w:tc>
        <w:tc>
          <w:tcPr>
            <w:tcW w:w="1377" w:type="dxa"/>
          </w:tcPr>
          <w:p>
            <w:pPr>
              <w:pStyle w:val="TableText"/>
            </w:pPr>
          </w:p>
        </w:tc>
        <w:tc>
          <w:tcPr>
            <w:tcW w:w="1377" w:type="dxa"/>
          </w:tcPr>
          <w:p>
            <w:pPr>
              <w:pStyle w:val="TableText"/>
            </w:pPr>
          </w:p>
        </w:tc>
        <w:tc>
          <w:tcPr>
            <w:tcW w:w="1492" w:type="dxa"/>
          </w:tcPr>
          <w:p>
            <w:pPr>
              <w:pStyle w:val="TableText"/>
            </w:pPr>
          </w:p>
        </w:tc>
        <w:tc>
          <w:tcPr>
            <w:tcW w:w="1507" w:type="dxa"/>
            <w:tcBorders>
              <w:right w:val="single" w:sz="10" w:space="0" w:color="000000"/>
            </w:tcBorders>
          </w:tcPr>
          <w:p>
            <w:pPr>
              <w:pStyle w:val="TableText"/>
            </w:pPr>
          </w:p>
        </w:tc>
      </w:tr>
      <w:tr>
        <w:tblPrEx>
          <w:tblW w:w="8520" w:type="dxa"/>
          <w:tblInd w:w="12" w:type="dxa"/>
          <w:tblLayout w:type="fixed"/>
          <w:tblCellMar>
            <w:top w:w="0" w:type="dxa"/>
            <w:left w:w="0" w:type="dxa"/>
            <w:bottom w:w="0" w:type="dxa"/>
            <w:right w:w="0" w:type="dxa"/>
          </w:tblCellMar>
        </w:tblPrEx>
        <w:trPr>
          <w:trHeight w:val="523"/>
        </w:trPr>
        <w:tc>
          <w:tcPr>
            <w:tcW w:w="1390" w:type="dxa"/>
            <w:tcBorders>
              <w:left w:val="single" w:sz="10" w:space="0" w:color="000000"/>
            </w:tcBorders>
          </w:tcPr>
          <w:p>
            <w:pPr>
              <w:pStyle w:val="TableText"/>
            </w:pPr>
          </w:p>
        </w:tc>
        <w:tc>
          <w:tcPr>
            <w:tcW w:w="1377" w:type="dxa"/>
          </w:tcPr>
          <w:p>
            <w:pPr>
              <w:pStyle w:val="TableText"/>
            </w:pPr>
          </w:p>
        </w:tc>
        <w:tc>
          <w:tcPr>
            <w:tcW w:w="1377" w:type="dxa"/>
          </w:tcPr>
          <w:p>
            <w:pPr>
              <w:pStyle w:val="TableText"/>
            </w:pPr>
          </w:p>
        </w:tc>
        <w:tc>
          <w:tcPr>
            <w:tcW w:w="1377" w:type="dxa"/>
          </w:tcPr>
          <w:p>
            <w:pPr>
              <w:pStyle w:val="TableText"/>
            </w:pPr>
          </w:p>
        </w:tc>
        <w:tc>
          <w:tcPr>
            <w:tcW w:w="1492" w:type="dxa"/>
          </w:tcPr>
          <w:p>
            <w:pPr>
              <w:pStyle w:val="TableText"/>
            </w:pPr>
          </w:p>
        </w:tc>
        <w:tc>
          <w:tcPr>
            <w:tcW w:w="1507" w:type="dxa"/>
            <w:tcBorders>
              <w:right w:val="single" w:sz="10" w:space="0" w:color="000000"/>
            </w:tcBorders>
          </w:tcPr>
          <w:p>
            <w:pPr>
              <w:pStyle w:val="TableText"/>
            </w:pPr>
          </w:p>
        </w:tc>
      </w:tr>
      <w:tr>
        <w:tblPrEx>
          <w:tblW w:w="8520" w:type="dxa"/>
          <w:tblInd w:w="12" w:type="dxa"/>
          <w:tblLayout w:type="fixed"/>
          <w:tblCellMar>
            <w:top w:w="0" w:type="dxa"/>
            <w:left w:w="0" w:type="dxa"/>
            <w:bottom w:w="0" w:type="dxa"/>
            <w:right w:w="0" w:type="dxa"/>
          </w:tblCellMar>
        </w:tblPrEx>
        <w:trPr>
          <w:trHeight w:val="523"/>
        </w:trPr>
        <w:tc>
          <w:tcPr>
            <w:tcW w:w="1390" w:type="dxa"/>
            <w:tcBorders>
              <w:left w:val="single" w:sz="10" w:space="0" w:color="000000"/>
            </w:tcBorders>
          </w:tcPr>
          <w:p>
            <w:pPr>
              <w:pStyle w:val="TableText"/>
            </w:pPr>
          </w:p>
        </w:tc>
        <w:tc>
          <w:tcPr>
            <w:tcW w:w="1377" w:type="dxa"/>
          </w:tcPr>
          <w:p>
            <w:pPr>
              <w:pStyle w:val="TableText"/>
            </w:pPr>
          </w:p>
        </w:tc>
        <w:tc>
          <w:tcPr>
            <w:tcW w:w="1377" w:type="dxa"/>
          </w:tcPr>
          <w:p>
            <w:pPr>
              <w:pStyle w:val="TableText"/>
            </w:pPr>
          </w:p>
        </w:tc>
        <w:tc>
          <w:tcPr>
            <w:tcW w:w="1377" w:type="dxa"/>
          </w:tcPr>
          <w:p>
            <w:pPr>
              <w:pStyle w:val="TableText"/>
            </w:pPr>
          </w:p>
        </w:tc>
        <w:tc>
          <w:tcPr>
            <w:tcW w:w="1492" w:type="dxa"/>
          </w:tcPr>
          <w:p>
            <w:pPr>
              <w:pStyle w:val="TableText"/>
            </w:pPr>
          </w:p>
        </w:tc>
        <w:tc>
          <w:tcPr>
            <w:tcW w:w="1507" w:type="dxa"/>
            <w:tcBorders>
              <w:right w:val="single" w:sz="10" w:space="0" w:color="000000"/>
            </w:tcBorders>
          </w:tcPr>
          <w:p>
            <w:pPr>
              <w:pStyle w:val="TableText"/>
            </w:pPr>
          </w:p>
        </w:tc>
      </w:tr>
      <w:tr>
        <w:tblPrEx>
          <w:tblW w:w="8520" w:type="dxa"/>
          <w:tblInd w:w="12" w:type="dxa"/>
          <w:tblLayout w:type="fixed"/>
          <w:tblCellMar>
            <w:top w:w="0" w:type="dxa"/>
            <w:left w:w="0" w:type="dxa"/>
            <w:bottom w:w="0" w:type="dxa"/>
            <w:right w:w="0" w:type="dxa"/>
          </w:tblCellMar>
        </w:tblPrEx>
        <w:trPr>
          <w:trHeight w:val="522"/>
        </w:trPr>
        <w:tc>
          <w:tcPr>
            <w:tcW w:w="1390" w:type="dxa"/>
            <w:tcBorders>
              <w:left w:val="single" w:sz="10" w:space="0" w:color="000000"/>
            </w:tcBorders>
          </w:tcPr>
          <w:p>
            <w:pPr>
              <w:pStyle w:val="TableText"/>
            </w:pPr>
          </w:p>
        </w:tc>
        <w:tc>
          <w:tcPr>
            <w:tcW w:w="1377" w:type="dxa"/>
          </w:tcPr>
          <w:p>
            <w:pPr>
              <w:pStyle w:val="TableText"/>
            </w:pPr>
          </w:p>
        </w:tc>
        <w:tc>
          <w:tcPr>
            <w:tcW w:w="1377" w:type="dxa"/>
          </w:tcPr>
          <w:p>
            <w:pPr>
              <w:pStyle w:val="TableText"/>
            </w:pPr>
          </w:p>
        </w:tc>
        <w:tc>
          <w:tcPr>
            <w:tcW w:w="1377" w:type="dxa"/>
          </w:tcPr>
          <w:p>
            <w:pPr>
              <w:pStyle w:val="TableText"/>
            </w:pPr>
          </w:p>
        </w:tc>
        <w:tc>
          <w:tcPr>
            <w:tcW w:w="1492" w:type="dxa"/>
          </w:tcPr>
          <w:p>
            <w:pPr>
              <w:pStyle w:val="TableText"/>
            </w:pPr>
          </w:p>
        </w:tc>
        <w:tc>
          <w:tcPr>
            <w:tcW w:w="1507" w:type="dxa"/>
            <w:tcBorders>
              <w:right w:val="single" w:sz="10" w:space="0" w:color="000000"/>
            </w:tcBorders>
          </w:tcPr>
          <w:p>
            <w:pPr>
              <w:pStyle w:val="TableText"/>
            </w:pPr>
          </w:p>
        </w:tc>
      </w:tr>
      <w:tr>
        <w:tblPrEx>
          <w:tblW w:w="8520" w:type="dxa"/>
          <w:tblInd w:w="12" w:type="dxa"/>
          <w:tblLayout w:type="fixed"/>
          <w:tblCellMar>
            <w:top w:w="0" w:type="dxa"/>
            <w:left w:w="0" w:type="dxa"/>
            <w:bottom w:w="0" w:type="dxa"/>
            <w:right w:w="0" w:type="dxa"/>
          </w:tblCellMar>
        </w:tblPrEx>
        <w:trPr>
          <w:trHeight w:val="523"/>
        </w:trPr>
        <w:tc>
          <w:tcPr>
            <w:tcW w:w="1390" w:type="dxa"/>
            <w:tcBorders>
              <w:left w:val="single" w:sz="10" w:space="0" w:color="000000"/>
            </w:tcBorders>
          </w:tcPr>
          <w:p>
            <w:pPr>
              <w:pStyle w:val="TableText"/>
            </w:pPr>
          </w:p>
        </w:tc>
        <w:tc>
          <w:tcPr>
            <w:tcW w:w="1377" w:type="dxa"/>
          </w:tcPr>
          <w:p>
            <w:pPr>
              <w:pStyle w:val="TableText"/>
            </w:pPr>
          </w:p>
        </w:tc>
        <w:tc>
          <w:tcPr>
            <w:tcW w:w="1377" w:type="dxa"/>
          </w:tcPr>
          <w:p>
            <w:pPr>
              <w:pStyle w:val="TableText"/>
            </w:pPr>
          </w:p>
        </w:tc>
        <w:tc>
          <w:tcPr>
            <w:tcW w:w="1377" w:type="dxa"/>
          </w:tcPr>
          <w:p>
            <w:pPr>
              <w:pStyle w:val="TableText"/>
            </w:pPr>
          </w:p>
        </w:tc>
        <w:tc>
          <w:tcPr>
            <w:tcW w:w="1492" w:type="dxa"/>
          </w:tcPr>
          <w:p>
            <w:pPr>
              <w:pStyle w:val="TableText"/>
            </w:pPr>
          </w:p>
        </w:tc>
        <w:tc>
          <w:tcPr>
            <w:tcW w:w="1507" w:type="dxa"/>
            <w:tcBorders>
              <w:right w:val="single" w:sz="10" w:space="0" w:color="000000"/>
            </w:tcBorders>
          </w:tcPr>
          <w:p>
            <w:pPr>
              <w:pStyle w:val="TableText"/>
            </w:pPr>
          </w:p>
        </w:tc>
      </w:tr>
      <w:tr>
        <w:tblPrEx>
          <w:tblW w:w="8520" w:type="dxa"/>
          <w:tblInd w:w="12" w:type="dxa"/>
          <w:tblLayout w:type="fixed"/>
          <w:tblCellMar>
            <w:top w:w="0" w:type="dxa"/>
            <w:left w:w="0" w:type="dxa"/>
            <w:bottom w:w="0" w:type="dxa"/>
            <w:right w:w="0" w:type="dxa"/>
          </w:tblCellMar>
        </w:tblPrEx>
        <w:trPr>
          <w:trHeight w:val="522"/>
        </w:trPr>
        <w:tc>
          <w:tcPr>
            <w:tcW w:w="1390" w:type="dxa"/>
            <w:tcBorders>
              <w:left w:val="single" w:sz="10" w:space="0" w:color="000000"/>
            </w:tcBorders>
          </w:tcPr>
          <w:p>
            <w:pPr>
              <w:pStyle w:val="TableText"/>
            </w:pPr>
          </w:p>
        </w:tc>
        <w:tc>
          <w:tcPr>
            <w:tcW w:w="1377" w:type="dxa"/>
          </w:tcPr>
          <w:p>
            <w:pPr>
              <w:pStyle w:val="TableText"/>
            </w:pPr>
          </w:p>
        </w:tc>
        <w:tc>
          <w:tcPr>
            <w:tcW w:w="1377" w:type="dxa"/>
          </w:tcPr>
          <w:p>
            <w:pPr>
              <w:pStyle w:val="TableText"/>
            </w:pPr>
          </w:p>
        </w:tc>
        <w:tc>
          <w:tcPr>
            <w:tcW w:w="1377" w:type="dxa"/>
          </w:tcPr>
          <w:p>
            <w:pPr>
              <w:pStyle w:val="TableText"/>
            </w:pPr>
          </w:p>
        </w:tc>
        <w:tc>
          <w:tcPr>
            <w:tcW w:w="1492" w:type="dxa"/>
          </w:tcPr>
          <w:p>
            <w:pPr>
              <w:pStyle w:val="TableText"/>
            </w:pPr>
          </w:p>
        </w:tc>
        <w:tc>
          <w:tcPr>
            <w:tcW w:w="1507" w:type="dxa"/>
            <w:tcBorders>
              <w:right w:val="single" w:sz="10" w:space="0" w:color="000000"/>
            </w:tcBorders>
          </w:tcPr>
          <w:p>
            <w:pPr>
              <w:pStyle w:val="TableText"/>
            </w:pPr>
          </w:p>
        </w:tc>
      </w:tr>
      <w:tr>
        <w:tblPrEx>
          <w:tblW w:w="8520" w:type="dxa"/>
          <w:tblInd w:w="12" w:type="dxa"/>
          <w:tblLayout w:type="fixed"/>
          <w:tblCellMar>
            <w:top w:w="0" w:type="dxa"/>
            <w:left w:w="0" w:type="dxa"/>
            <w:bottom w:w="0" w:type="dxa"/>
            <w:right w:w="0" w:type="dxa"/>
          </w:tblCellMar>
        </w:tblPrEx>
        <w:trPr>
          <w:trHeight w:val="544"/>
        </w:trPr>
        <w:tc>
          <w:tcPr>
            <w:tcW w:w="1390" w:type="dxa"/>
            <w:tcBorders>
              <w:left w:val="single" w:sz="10" w:space="0" w:color="000000"/>
              <w:bottom w:val="single" w:sz="10" w:space="0" w:color="000000"/>
            </w:tcBorders>
          </w:tcPr>
          <w:p>
            <w:pPr>
              <w:pStyle w:val="TableText"/>
            </w:pPr>
          </w:p>
        </w:tc>
        <w:tc>
          <w:tcPr>
            <w:tcW w:w="1377" w:type="dxa"/>
            <w:tcBorders>
              <w:bottom w:val="single" w:sz="10" w:space="0" w:color="000000"/>
            </w:tcBorders>
          </w:tcPr>
          <w:p>
            <w:pPr>
              <w:pStyle w:val="TableText"/>
            </w:pPr>
          </w:p>
        </w:tc>
        <w:tc>
          <w:tcPr>
            <w:tcW w:w="1377" w:type="dxa"/>
            <w:tcBorders>
              <w:bottom w:val="single" w:sz="10" w:space="0" w:color="000000"/>
            </w:tcBorders>
          </w:tcPr>
          <w:p>
            <w:pPr>
              <w:pStyle w:val="TableText"/>
            </w:pPr>
          </w:p>
        </w:tc>
        <w:tc>
          <w:tcPr>
            <w:tcW w:w="1377" w:type="dxa"/>
            <w:tcBorders>
              <w:bottom w:val="single" w:sz="10" w:space="0" w:color="000000"/>
            </w:tcBorders>
          </w:tcPr>
          <w:p>
            <w:pPr>
              <w:pStyle w:val="TableText"/>
            </w:pPr>
          </w:p>
        </w:tc>
        <w:tc>
          <w:tcPr>
            <w:tcW w:w="1492" w:type="dxa"/>
            <w:tcBorders>
              <w:bottom w:val="single" w:sz="10" w:space="0" w:color="000000"/>
            </w:tcBorders>
          </w:tcPr>
          <w:p>
            <w:pPr>
              <w:pStyle w:val="TableText"/>
            </w:pPr>
          </w:p>
        </w:tc>
        <w:tc>
          <w:tcPr>
            <w:tcW w:w="1507" w:type="dxa"/>
            <w:tcBorders>
              <w:bottom w:val="single" w:sz="10" w:space="0" w:color="000000"/>
              <w:right w:val="single" w:sz="10" w:space="0" w:color="000000"/>
            </w:tcBorders>
          </w:tcPr>
          <w:p>
            <w:pPr>
              <w:pStyle w:val="TableText"/>
            </w:pPr>
          </w:p>
        </w:tc>
      </w:tr>
    </w:tbl>
    <w:p>
      <w:pPr>
        <w:pStyle w:val="BodyText"/>
      </w:pPr>
    </w:p>
    <w:p>
      <w:pPr>
        <w:sectPr>
          <w:headerReference w:type="default" r:id="rId7"/>
          <w:pgSz w:w="11906" w:h="16839"/>
          <w:pgMar w:top="1347" w:right="1680" w:bottom="0" w:left="1679" w:header="947" w:footer="0" w:gutter="0"/>
          <w:cols w:num="1" w:space="720"/>
        </w:sectPr>
      </w:pPr>
    </w:p>
    <w:p>
      <w:pPr>
        <w:pStyle w:val="BodyText"/>
        <w:spacing w:line="262" w:lineRule="auto"/>
      </w:pPr>
    </w:p>
    <w:p>
      <w:pPr>
        <w:pStyle w:val="BodyText"/>
        <w:spacing w:line="262" w:lineRule="auto"/>
      </w:pPr>
      <w:bookmarkStart w:id="0" w:name="_GoBack"/>
      <w:bookmarkEnd w:id="0"/>
    </w:p>
    <w:sdt>
      <w:sdtPr>
        <w:rPr>
          <w:rFonts w:ascii="仿宋" w:eastAsia="仿宋" w:hAnsi="仿宋" w:cs="仿宋"/>
          <w:sz w:val="28"/>
          <w:szCs w:val="28"/>
        </w:rPr>
        <w:id w:val="20898636"/>
        <w:docPartObj>
          <w:docPartGallery w:val="Table of Contents"/>
          <w:docPartUnique/>
        </w:docPartObj>
      </w:sdtPr>
      <w:sdtEndPr>
        <w:rPr>
          <w:rFonts w:ascii="Times New Roman" w:eastAsia="Times New Roman" w:hAnsi="Times New Roman" w:cs="Times New Roman"/>
          <w:sz w:val="19"/>
          <w:szCs w:val="19"/>
        </w:rPr>
      </w:sdtEndPr>
      <w:sdtContent>
        <w:p>
          <w:pPr>
            <w:spacing w:before="91" w:line="224" w:lineRule="auto"/>
            <w:ind w:left="3814"/>
            <w:rPr>
              <w:rFonts w:ascii="仿宋" w:eastAsia="仿宋" w:hAnsi="仿宋" w:cs="仿宋"/>
              <w:sz w:val="28"/>
              <w:szCs w:val="28"/>
            </w:rPr>
          </w:pPr>
          <w:bookmarkStart w:id="1" w:name="bookmark1"/>
          <w:bookmarkEnd w:id="1"/>
          <w:r>
            <w:rPr>
              <w:rFonts w:ascii="仿宋" w:eastAsia="仿宋" w:hAnsi="仿宋" w:cs="仿宋"/>
              <w:b/>
              <w:bCs/>
              <w:spacing w:val="-37"/>
              <w:sz w:val="28"/>
              <w:szCs w:val="28"/>
            </w:rPr>
            <w:t>目</w:t>
          </w:r>
          <w:r>
            <w:rPr>
              <w:rFonts w:ascii="仿宋" w:eastAsia="仿宋" w:hAnsi="仿宋" w:cs="仿宋"/>
              <w:spacing w:val="14"/>
              <w:sz w:val="28"/>
              <w:szCs w:val="28"/>
            </w:rPr>
            <w:t xml:space="preserve">  </w:t>
          </w:r>
          <w:r>
            <w:rPr>
              <w:rFonts w:ascii="仿宋" w:eastAsia="仿宋" w:hAnsi="仿宋" w:cs="仿宋"/>
              <w:b/>
              <w:bCs/>
              <w:spacing w:val="-37"/>
              <w:sz w:val="28"/>
              <w:szCs w:val="28"/>
            </w:rPr>
            <w:t>录</w:t>
          </w:r>
        </w:p>
        <w:p>
          <w:pPr>
            <w:pStyle w:val="BodyText"/>
            <w:spacing w:line="281" w:lineRule="auto"/>
          </w:pPr>
        </w:p>
        <w:p>
          <w:pPr>
            <w:tabs>
              <w:tab w:val="right" w:leader="dot" w:pos="8314"/>
            </w:tabs>
            <w:spacing w:before="62" w:line="235" w:lineRule="auto"/>
            <w:ind w:left="35"/>
            <w:rPr>
              <w:rFonts w:ascii="Times New Roman" w:eastAsia="Times New Roman" w:hAnsi="Times New Roman" w:cs="Times New Roman"/>
              <w:sz w:val="19"/>
              <w:szCs w:val="19"/>
            </w:rPr>
          </w:pPr>
          <w:r>
            <w:fldChar w:fldCharType="begin"/>
          </w:r>
          <w:r>
            <w:instrText xml:space="preserve"> HYPERLINK \l "bookmark2" </w:instrText>
          </w:r>
          <w:r>
            <w:fldChar w:fldCharType="separate"/>
          </w:r>
          <w:r>
            <w:rPr>
              <w:rFonts w:ascii="仿宋" w:eastAsia="仿宋" w:hAnsi="仿宋" w:cs="仿宋"/>
              <w:b/>
              <w:bCs/>
              <w:spacing w:val="-10"/>
              <w:sz w:val="19"/>
              <w:szCs w:val="19"/>
            </w:rPr>
            <w:t>1.</w:t>
          </w:r>
          <w:r>
            <w:rPr>
              <w:rFonts w:ascii="仿宋" w:eastAsia="仿宋" w:hAnsi="仿宋" w:cs="仿宋"/>
              <w:spacing w:val="-10"/>
              <w:sz w:val="19"/>
              <w:szCs w:val="19"/>
            </w:rPr>
            <w:t xml:space="preserve">   </w:t>
          </w:r>
          <w:r>
            <w:rPr>
              <w:rFonts w:ascii="仿宋" w:eastAsia="仿宋" w:hAnsi="仿宋" w:cs="仿宋"/>
              <w:b/>
              <w:bCs/>
              <w:spacing w:val="-10"/>
              <w:sz w:val="19"/>
              <w:szCs w:val="19"/>
            </w:rPr>
            <w:t>目的</w:t>
          </w:r>
          <w:r>
            <w:rPr>
              <w:rFonts w:ascii="仿宋" w:eastAsia="仿宋" w:hAnsi="仿宋" w:cs="仿宋"/>
              <w:b/>
              <w:bCs/>
              <w:sz w:val="19"/>
              <w:szCs w:val="19"/>
            </w:rPr>
            <w:tab/>
          </w:r>
          <w:r>
            <w:rPr>
              <w:rFonts w:ascii="Times New Roman" w:eastAsia="Times New Roman" w:hAnsi="Times New Roman" w:cs="Times New Roman"/>
              <w:b/>
              <w:bCs/>
              <w:spacing w:val="11"/>
              <w:sz w:val="19"/>
              <w:szCs w:val="19"/>
            </w:rPr>
            <w:t>1</w:t>
          </w:r>
          <w:r>
            <w:fldChar w:fldCharType="end"/>
          </w:r>
        </w:p>
        <w:p>
          <w:pPr>
            <w:tabs>
              <w:tab w:val="right" w:leader="dot" w:pos="8314"/>
            </w:tabs>
            <w:spacing w:before="267" w:line="232" w:lineRule="auto"/>
            <w:ind w:left="23"/>
            <w:rPr>
              <w:rFonts w:ascii="Times New Roman" w:eastAsia="Times New Roman" w:hAnsi="Times New Roman" w:cs="Times New Roman"/>
              <w:sz w:val="19"/>
              <w:szCs w:val="19"/>
            </w:rPr>
          </w:pPr>
          <w:r>
            <w:fldChar w:fldCharType="begin"/>
          </w:r>
          <w:r>
            <w:instrText xml:space="preserve"> HYPERLINK \l "bookmark3" </w:instrText>
          </w:r>
          <w:r>
            <w:fldChar w:fldCharType="separate"/>
          </w:r>
          <w:r>
            <w:rPr>
              <w:rFonts w:ascii="仿宋" w:eastAsia="仿宋" w:hAnsi="仿宋" w:cs="仿宋"/>
              <w:b/>
              <w:bCs/>
              <w:spacing w:val="2"/>
              <w:sz w:val="19"/>
              <w:szCs w:val="19"/>
            </w:rPr>
            <w:t>2.</w:t>
          </w:r>
          <w:r>
            <w:rPr>
              <w:rFonts w:ascii="仿宋" w:eastAsia="仿宋" w:hAnsi="仿宋" w:cs="仿宋"/>
              <w:spacing w:val="23"/>
              <w:sz w:val="19"/>
              <w:szCs w:val="19"/>
            </w:rPr>
            <w:t xml:space="preserve">  </w:t>
          </w:r>
          <w:r>
            <w:rPr>
              <w:rFonts w:ascii="仿宋" w:eastAsia="仿宋" w:hAnsi="仿宋" w:cs="仿宋"/>
              <w:b/>
              <w:bCs/>
              <w:spacing w:val="2"/>
              <w:sz w:val="19"/>
              <w:szCs w:val="19"/>
            </w:rPr>
            <w:t>适用范围</w:t>
          </w:r>
          <w:r>
            <w:rPr>
              <w:rFonts w:ascii="仿宋" w:eastAsia="仿宋" w:hAnsi="仿宋" w:cs="仿宋"/>
              <w:spacing w:val="-59"/>
              <w:sz w:val="19"/>
              <w:szCs w:val="19"/>
            </w:rPr>
            <w:t xml:space="preserve"> </w:t>
          </w:r>
          <w:r>
            <w:rPr>
              <w:rFonts w:ascii="仿宋" w:eastAsia="仿宋" w:hAnsi="仿宋" w:cs="仿宋"/>
              <w:sz w:val="19"/>
              <w:szCs w:val="19"/>
            </w:rPr>
            <w:tab/>
          </w:r>
          <w:r>
            <w:rPr>
              <w:rFonts w:ascii="Times New Roman" w:eastAsia="Times New Roman" w:hAnsi="Times New Roman" w:cs="Times New Roman"/>
              <w:b/>
              <w:bCs/>
              <w:spacing w:val="8"/>
              <w:sz w:val="19"/>
              <w:szCs w:val="19"/>
            </w:rPr>
            <w:t>1</w:t>
          </w:r>
          <w:r>
            <w:fldChar w:fldCharType="end"/>
          </w:r>
        </w:p>
        <w:p>
          <w:pPr>
            <w:tabs>
              <w:tab w:val="right" w:leader="dot" w:pos="8314"/>
            </w:tabs>
            <w:spacing w:before="272" w:line="233" w:lineRule="auto"/>
            <w:ind w:left="25"/>
            <w:rPr>
              <w:rFonts w:ascii="Times New Roman" w:eastAsia="Times New Roman" w:hAnsi="Times New Roman" w:cs="Times New Roman"/>
              <w:sz w:val="19"/>
              <w:szCs w:val="19"/>
            </w:rPr>
          </w:pPr>
          <w:r>
            <w:fldChar w:fldCharType="begin"/>
          </w:r>
          <w:r>
            <w:instrText xml:space="preserve"> HYPERLINK \l "bookmark4" </w:instrText>
          </w:r>
          <w:r>
            <w:fldChar w:fldCharType="separate"/>
          </w:r>
          <w:r>
            <w:rPr>
              <w:rFonts w:ascii="仿宋" w:eastAsia="仿宋" w:hAnsi="仿宋" w:cs="仿宋"/>
              <w:b/>
              <w:bCs/>
              <w:spacing w:val="-1"/>
              <w:sz w:val="19"/>
              <w:szCs w:val="19"/>
            </w:rPr>
            <w:t>3.</w:t>
          </w:r>
          <w:r>
            <w:rPr>
              <w:rFonts w:ascii="仿宋" w:eastAsia="仿宋" w:hAnsi="仿宋" w:cs="仿宋"/>
              <w:spacing w:val="22"/>
              <w:sz w:val="19"/>
              <w:szCs w:val="19"/>
            </w:rPr>
            <w:t xml:space="preserve">  </w:t>
          </w:r>
          <w:r>
            <w:rPr>
              <w:rFonts w:ascii="仿宋" w:eastAsia="仿宋" w:hAnsi="仿宋" w:cs="仿宋"/>
              <w:b/>
              <w:bCs/>
              <w:spacing w:val="-1"/>
              <w:sz w:val="19"/>
              <w:szCs w:val="19"/>
            </w:rPr>
            <w:t>职责</w:t>
          </w:r>
          <w:r>
            <w:rPr>
              <w:rFonts w:ascii="仿宋" w:eastAsia="仿宋" w:hAnsi="仿宋" w:cs="仿宋"/>
              <w:b/>
              <w:bCs/>
              <w:sz w:val="19"/>
              <w:szCs w:val="19"/>
            </w:rPr>
            <w:tab/>
          </w:r>
          <w:r>
            <w:rPr>
              <w:rFonts w:ascii="Times New Roman" w:eastAsia="Times New Roman" w:hAnsi="Times New Roman" w:cs="Times New Roman"/>
              <w:b/>
              <w:bCs/>
              <w:spacing w:val="11"/>
              <w:sz w:val="19"/>
              <w:szCs w:val="19"/>
            </w:rPr>
            <w:t>1</w:t>
          </w:r>
          <w:r>
            <w:fldChar w:fldCharType="end"/>
          </w:r>
        </w:p>
        <w:p>
          <w:pPr>
            <w:tabs>
              <w:tab w:val="right" w:leader="dot" w:pos="8314"/>
            </w:tabs>
            <w:spacing w:before="271" w:line="229" w:lineRule="auto"/>
            <w:ind w:left="20"/>
            <w:rPr>
              <w:rFonts w:ascii="Times New Roman" w:eastAsia="Times New Roman" w:hAnsi="Times New Roman" w:cs="Times New Roman"/>
              <w:sz w:val="19"/>
              <w:szCs w:val="19"/>
            </w:rPr>
          </w:pPr>
          <w:r>
            <w:fldChar w:fldCharType="begin"/>
          </w:r>
          <w:r>
            <w:instrText xml:space="preserve"> HYPERLINK \l "bookmark5" </w:instrText>
          </w:r>
          <w:r>
            <w:fldChar w:fldCharType="separate"/>
          </w:r>
          <w:r>
            <w:rPr>
              <w:rFonts w:ascii="仿宋" w:eastAsia="仿宋" w:hAnsi="仿宋" w:cs="仿宋"/>
              <w:b/>
              <w:bCs/>
              <w:spacing w:val="2"/>
              <w:sz w:val="19"/>
              <w:szCs w:val="19"/>
            </w:rPr>
            <w:t>4.</w:t>
          </w:r>
          <w:r>
            <w:rPr>
              <w:rFonts w:ascii="仿宋" w:eastAsia="仿宋" w:hAnsi="仿宋" w:cs="仿宋"/>
              <w:spacing w:val="25"/>
              <w:sz w:val="19"/>
              <w:szCs w:val="19"/>
            </w:rPr>
            <w:t xml:space="preserve">  </w:t>
          </w:r>
          <w:r>
            <w:rPr>
              <w:rFonts w:ascii="仿宋" w:eastAsia="仿宋" w:hAnsi="仿宋" w:cs="仿宋"/>
              <w:b/>
              <w:bCs/>
              <w:spacing w:val="2"/>
              <w:sz w:val="19"/>
              <w:szCs w:val="19"/>
            </w:rPr>
            <w:t>工作程序</w:t>
          </w:r>
          <w:r>
            <w:rPr>
              <w:rFonts w:ascii="仿宋" w:eastAsia="仿宋" w:hAnsi="仿宋" w:cs="仿宋"/>
              <w:spacing w:val="-60"/>
              <w:sz w:val="19"/>
              <w:szCs w:val="19"/>
            </w:rPr>
            <w:t xml:space="preserve"> </w:t>
          </w:r>
          <w:r>
            <w:rPr>
              <w:rFonts w:ascii="仿宋" w:eastAsia="仿宋" w:hAnsi="仿宋" w:cs="仿宋"/>
              <w:sz w:val="19"/>
              <w:szCs w:val="19"/>
            </w:rPr>
            <w:tab/>
          </w:r>
          <w:r>
            <w:rPr>
              <w:rFonts w:ascii="Times New Roman" w:eastAsia="Times New Roman" w:hAnsi="Times New Roman" w:cs="Times New Roman"/>
              <w:b/>
              <w:bCs/>
              <w:spacing w:val="8"/>
              <w:sz w:val="19"/>
              <w:szCs w:val="19"/>
            </w:rPr>
            <w:t>1</w:t>
          </w:r>
          <w:r>
            <w:fldChar w:fldCharType="end"/>
          </w:r>
        </w:p>
        <w:p>
          <w:pPr>
            <w:tabs>
              <w:tab w:val="right" w:leader="hyphen" w:pos="8309"/>
            </w:tabs>
            <w:spacing w:before="275" w:line="231" w:lineRule="auto"/>
            <w:ind w:left="229"/>
            <w:rPr>
              <w:rFonts w:ascii="Times New Roman" w:eastAsia="Times New Roman" w:hAnsi="Times New Roman" w:cs="Times New Roman"/>
              <w:sz w:val="19"/>
              <w:szCs w:val="19"/>
            </w:rPr>
          </w:pPr>
          <w:r>
            <w:fldChar w:fldCharType="begin"/>
          </w:r>
          <w:r>
            <w:instrText xml:space="preserve"> HYPERLINK \l "bookmark6" </w:instrText>
          </w:r>
          <w:r>
            <w:fldChar w:fldCharType="separate"/>
          </w:r>
          <w:r>
            <w:rPr>
              <w:rFonts w:ascii="仿宋" w:eastAsia="仿宋" w:hAnsi="仿宋" w:cs="仿宋"/>
              <w:spacing w:val="2"/>
              <w:sz w:val="19"/>
              <w:szCs w:val="19"/>
            </w:rPr>
            <w:t>4.1 内部审核策划</w:t>
          </w:r>
          <w:r>
            <w:rPr>
              <w:rFonts w:ascii="仿宋" w:eastAsia="仿宋" w:hAnsi="仿宋" w:cs="仿宋"/>
              <w:spacing w:val="-51"/>
              <w:sz w:val="19"/>
              <w:szCs w:val="19"/>
            </w:rPr>
            <w:t xml:space="preserve"> </w:t>
          </w:r>
          <w:r>
            <w:rPr>
              <w:rFonts w:ascii="仿宋" w:eastAsia="仿宋" w:hAnsi="仿宋" w:cs="仿宋"/>
              <w:sz w:val="19"/>
              <w:szCs w:val="19"/>
            </w:rPr>
            <w:tab/>
          </w:r>
          <w:r>
            <w:rPr>
              <w:rFonts w:ascii="Times New Roman" w:eastAsia="Times New Roman" w:hAnsi="Times New Roman" w:cs="Times New Roman"/>
              <w:spacing w:val="5"/>
              <w:sz w:val="19"/>
              <w:szCs w:val="19"/>
            </w:rPr>
            <w:t>1</w:t>
          </w:r>
          <w:r>
            <w:fldChar w:fldCharType="end"/>
          </w:r>
        </w:p>
        <w:p>
          <w:pPr>
            <w:tabs>
              <w:tab w:val="right" w:leader="hyphen" w:pos="8309"/>
            </w:tabs>
            <w:spacing w:before="276" w:line="231" w:lineRule="auto"/>
            <w:ind w:left="229"/>
            <w:rPr>
              <w:rFonts w:ascii="Times New Roman" w:eastAsia="Times New Roman" w:hAnsi="Times New Roman" w:cs="Times New Roman"/>
              <w:sz w:val="19"/>
              <w:szCs w:val="19"/>
            </w:rPr>
          </w:pPr>
          <w:r>
            <w:fldChar w:fldCharType="begin"/>
          </w:r>
          <w:r>
            <w:instrText xml:space="preserve"> HYPERLINK \l "bookmark7" </w:instrText>
          </w:r>
          <w:r>
            <w:fldChar w:fldCharType="separate"/>
          </w:r>
          <w:r>
            <w:rPr>
              <w:rFonts w:ascii="仿宋" w:eastAsia="仿宋" w:hAnsi="仿宋" w:cs="仿宋"/>
              <w:spacing w:val="2"/>
              <w:sz w:val="19"/>
              <w:szCs w:val="19"/>
            </w:rPr>
            <w:t>4.2 内部审核实施</w:t>
          </w:r>
          <w:r>
            <w:rPr>
              <w:rFonts w:ascii="仿宋" w:eastAsia="仿宋" w:hAnsi="仿宋" w:cs="仿宋"/>
              <w:spacing w:val="-51"/>
              <w:sz w:val="19"/>
              <w:szCs w:val="19"/>
            </w:rPr>
            <w:t xml:space="preserve"> </w:t>
          </w:r>
          <w:r>
            <w:rPr>
              <w:rFonts w:ascii="仿宋" w:eastAsia="仿宋" w:hAnsi="仿宋" w:cs="仿宋"/>
              <w:sz w:val="19"/>
              <w:szCs w:val="19"/>
            </w:rPr>
            <w:tab/>
          </w:r>
          <w:r>
            <w:rPr>
              <w:rFonts w:ascii="Times New Roman" w:eastAsia="Times New Roman" w:hAnsi="Times New Roman" w:cs="Times New Roman"/>
              <w:spacing w:val="5"/>
              <w:sz w:val="19"/>
              <w:szCs w:val="19"/>
            </w:rPr>
            <w:t>2</w:t>
          </w:r>
          <w:r>
            <w:fldChar w:fldCharType="end"/>
          </w:r>
        </w:p>
        <w:p>
          <w:pPr>
            <w:tabs>
              <w:tab w:val="right" w:leader="hyphen" w:pos="8309"/>
            </w:tabs>
            <w:spacing w:before="270" w:line="231" w:lineRule="auto"/>
            <w:ind w:left="229"/>
            <w:rPr>
              <w:rFonts w:ascii="Times New Roman" w:eastAsia="Times New Roman" w:hAnsi="Times New Roman" w:cs="Times New Roman"/>
              <w:sz w:val="19"/>
              <w:szCs w:val="19"/>
            </w:rPr>
          </w:pPr>
          <w:r>
            <w:fldChar w:fldCharType="begin"/>
          </w:r>
          <w:r>
            <w:instrText xml:space="preserve"> HYPERLINK \l "bookmark8" </w:instrText>
          </w:r>
          <w:r>
            <w:fldChar w:fldCharType="separate"/>
          </w:r>
          <w:r>
            <w:rPr>
              <w:rFonts w:ascii="仿宋" w:eastAsia="仿宋" w:hAnsi="仿宋" w:cs="仿宋"/>
              <w:spacing w:val="6"/>
              <w:sz w:val="19"/>
              <w:szCs w:val="19"/>
            </w:rPr>
            <w:t>4.3</w:t>
          </w:r>
          <w:r>
            <w:rPr>
              <w:rFonts w:ascii="仿宋" w:eastAsia="仿宋" w:hAnsi="仿宋" w:cs="仿宋"/>
              <w:spacing w:val="-20"/>
              <w:sz w:val="19"/>
              <w:szCs w:val="19"/>
            </w:rPr>
            <w:t xml:space="preserve"> </w:t>
          </w:r>
          <w:r>
            <w:rPr>
              <w:rFonts w:ascii="仿宋" w:eastAsia="仿宋" w:hAnsi="仿宋" w:cs="仿宋"/>
              <w:spacing w:val="6"/>
              <w:sz w:val="19"/>
              <w:szCs w:val="19"/>
            </w:rPr>
            <w:t>纠正措施与跟踪实施</w:t>
          </w:r>
          <w:r>
            <w:rPr>
              <w:rFonts w:ascii="仿宋" w:eastAsia="仿宋" w:hAnsi="仿宋" w:cs="仿宋"/>
              <w:spacing w:val="-53"/>
              <w:sz w:val="19"/>
              <w:szCs w:val="19"/>
            </w:rPr>
            <w:t xml:space="preserve"> </w:t>
          </w:r>
          <w:r>
            <w:rPr>
              <w:rFonts w:ascii="仿宋" w:eastAsia="仿宋" w:hAnsi="仿宋" w:cs="仿宋"/>
              <w:sz w:val="19"/>
              <w:szCs w:val="19"/>
            </w:rPr>
            <w:tab/>
          </w:r>
          <w:r>
            <w:rPr>
              <w:rFonts w:ascii="仿宋" w:eastAsia="仿宋" w:hAnsi="仿宋" w:cs="仿宋"/>
              <w:spacing w:val="-46"/>
              <w:sz w:val="19"/>
              <w:szCs w:val="19"/>
            </w:rPr>
            <w:t xml:space="preserve"> </w:t>
          </w:r>
          <w:r>
            <w:rPr>
              <w:rFonts w:ascii="Times New Roman" w:eastAsia="Times New Roman" w:hAnsi="Times New Roman" w:cs="Times New Roman"/>
              <w:sz w:val="19"/>
              <w:szCs w:val="19"/>
            </w:rPr>
            <w:t>3</w:t>
          </w:r>
          <w:r>
            <w:fldChar w:fldCharType="end"/>
          </w:r>
        </w:p>
        <w:p>
          <w:pPr>
            <w:tabs>
              <w:tab w:val="right" w:leader="dot" w:pos="8314"/>
            </w:tabs>
            <w:spacing w:before="274" w:line="231" w:lineRule="auto"/>
            <w:ind w:left="25"/>
            <w:rPr>
              <w:rFonts w:ascii="Times New Roman" w:eastAsia="Times New Roman" w:hAnsi="Times New Roman" w:cs="Times New Roman"/>
              <w:sz w:val="19"/>
              <w:szCs w:val="19"/>
            </w:rPr>
          </w:pPr>
          <w:r>
            <w:fldChar w:fldCharType="begin"/>
          </w:r>
          <w:r>
            <w:instrText xml:space="preserve"> HYPERLINK \l "bookmark9" </w:instrText>
          </w:r>
          <w:r>
            <w:fldChar w:fldCharType="separate"/>
          </w:r>
          <w:r>
            <w:rPr>
              <w:rFonts w:ascii="仿宋" w:eastAsia="仿宋" w:hAnsi="仿宋" w:cs="仿宋"/>
              <w:b/>
              <w:bCs/>
              <w:spacing w:val="2"/>
              <w:sz w:val="19"/>
              <w:szCs w:val="19"/>
            </w:rPr>
            <w:t>5.</w:t>
          </w:r>
          <w:r>
            <w:rPr>
              <w:rFonts w:ascii="仿宋" w:eastAsia="仿宋" w:hAnsi="仿宋" w:cs="仿宋"/>
              <w:spacing w:val="22"/>
              <w:sz w:val="19"/>
              <w:szCs w:val="19"/>
            </w:rPr>
            <w:t xml:space="preserve">  </w:t>
          </w:r>
          <w:r>
            <w:rPr>
              <w:rFonts w:ascii="仿宋" w:eastAsia="仿宋" w:hAnsi="仿宋" w:cs="仿宋"/>
              <w:b/>
              <w:bCs/>
              <w:spacing w:val="2"/>
              <w:sz w:val="19"/>
              <w:szCs w:val="19"/>
            </w:rPr>
            <w:t>相关文件</w:t>
          </w:r>
          <w:r>
            <w:rPr>
              <w:rFonts w:ascii="仿宋" w:eastAsia="仿宋" w:hAnsi="仿宋" w:cs="仿宋"/>
              <w:spacing w:val="-59"/>
              <w:sz w:val="19"/>
              <w:szCs w:val="19"/>
            </w:rPr>
            <w:t xml:space="preserve"> </w:t>
          </w:r>
          <w:r>
            <w:rPr>
              <w:rFonts w:ascii="仿宋" w:eastAsia="仿宋" w:hAnsi="仿宋" w:cs="仿宋"/>
              <w:sz w:val="19"/>
              <w:szCs w:val="19"/>
            </w:rPr>
            <w:tab/>
          </w:r>
          <w:r>
            <w:rPr>
              <w:rFonts w:ascii="Times New Roman" w:eastAsia="Times New Roman" w:hAnsi="Times New Roman" w:cs="Times New Roman"/>
              <w:b/>
              <w:bCs/>
              <w:spacing w:val="8"/>
              <w:sz w:val="19"/>
              <w:szCs w:val="19"/>
            </w:rPr>
            <w:t>3</w:t>
          </w:r>
          <w:r>
            <w:fldChar w:fldCharType="end"/>
          </w:r>
        </w:p>
      </w:sdtContent>
    </w:sdt>
    <w:p>
      <w:pPr>
        <w:spacing w:line="231" w:lineRule="auto"/>
        <w:rPr>
          <w:rFonts w:ascii="Times New Roman" w:eastAsia="Times New Roman" w:hAnsi="Times New Roman" w:cs="Times New Roman"/>
          <w:sz w:val="19"/>
          <w:szCs w:val="19"/>
        </w:rPr>
        <w:sectPr>
          <w:headerReference w:type="default" r:id="rId8"/>
          <w:pgSz w:w="11906" w:h="16839"/>
          <w:pgMar w:top="1347" w:right="1785" w:bottom="0" w:left="1785" w:header="947" w:footer="0" w:gutter="0"/>
          <w:cols w:num="1" w:space="720"/>
        </w:sectPr>
      </w:pPr>
    </w:p>
    <w:p>
      <w:pPr>
        <w:spacing w:before="216" w:line="226" w:lineRule="auto"/>
        <w:ind w:left="40"/>
        <w:outlineLvl w:val="0"/>
        <w:rPr>
          <w:rFonts w:ascii="仿宋" w:eastAsia="仿宋" w:hAnsi="仿宋" w:cs="仿宋"/>
          <w:sz w:val="24"/>
          <w:szCs w:val="24"/>
        </w:rPr>
      </w:pPr>
      <w:bookmarkStart w:id="2" w:name="bookmark2"/>
      <w:bookmarkEnd w:id="2"/>
      <w:r>
        <w:rPr>
          <w:rFonts w:ascii="仿宋" w:eastAsia="仿宋" w:hAnsi="仿宋" w:cs="仿宋"/>
          <w:b/>
          <w:bCs/>
          <w:spacing w:val="-23"/>
          <w:sz w:val="24"/>
          <w:szCs w:val="24"/>
        </w:rPr>
        <w:t>1.</w:t>
      </w:r>
      <w:r>
        <w:rPr>
          <w:rFonts w:ascii="仿宋" w:eastAsia="仿宋" w:hAnsi="仿宋" w:cs="仿宋"/>
          <w:spacing w:val="3"/>
          <w:sz w:val="24"/>
          <w:szCs w:val="24"/>
        </w:rPr>
        <w:t xml:space="preserve">  </w:t>
      </w:r>
      <w:r>
        <w:rPr>
          <w:rFonts w:ascii="仿宋" w:eastAsia="仿宋" w:hAnsi="仿宋" w:cs="仿宋"/>
          <w:b/>
          <w:bCs/>
          <w:spacing w:val="-23"/>
          <w:sz w:val="24"/>
          <w:szCs w:val="24"/>
        </w:rPr>
        <w:t>目的</w:t>
      </w:r>
    </w:p>
    <w:p>
      <w:pPr>
        <w:spacing w:before="316" w:line="377" w:lineRule="auto"/>
        <w:ind w:left="36" w:right="83" w:firstLine="474"/>
        <w:rPr>
          <w:rFonts w:ascii="仿宋" w:eastAsia="仿宋" w:hAnsi="仿宋" w:cs="仿宋"/>
          <w:sz w:val="24"/>
          <w:szCs w:val="24"/>
        </w:rPr>
      </w:pPr>
      <w:r>
        <w:rPr>
          <w:rFonts w:ascii="仿宋" w:eastAsia="仿宋" w:hAnsi="仿宋" w:cs="仿宋"/>
          <w:spacing w:val="-1"/>
          <w:sz w:val="24"/>
          <w:szCs w:val="24"/>
        </w:rPr>
        <w:t>本制度用于审核运维服务管理体系涉及部门所开展的活动及其结果是否符</w:t>
      </w:r>
      <w:r>
        <w:rPr>
          <w:rFonts w:ascii="仿宋" w:eastAsia="仿宋" w:hAnsi="仿宋" w:cs="仿宋"/>
          <w:spacing w:val="-3"/>
          <w:sz w:val="24"/>
          <w:szCs w:val="24"/>
        </w:rPr>
        <w:t>合要求，确保运维服务管理体系持续有效地运行，</w:t>
      </w:r>
      <w:r>
        <w:rPr>
          <w:rFonts w:ascii="仿宋" w:eastAsia="仿宋" w:hAnsi="仿宋" w:cs="仿宋"/>
          <w:spacing w:val="-4"/>
          <w:sz w:val="24"/>
          <w:szCs w:val="24"/>
        </w:rPr>
        <w:t>并为运维服务管理体系符合要</w:t>
      </w:r>
      <w:r>
        <w:rPr>
          <w:rFonts w:ascii="仿宋" w:eastAsia="仿宋" w:hAnsi="仿宋" w:cs="仿宋"/>
          <w:spacing w:val="-3"/>
          <w:sz w:val="24"/>
          <w:szCs w:val="24"/>
        </w:rPr>
        <w:t>求及改进提供有效依据。</w:t>
      </w:r>
    </w:p>
    <w:p>
      <w:pPr>
        <w:spacing w:before="115" w:line="223" w:lineRule="auto"/>
        <w:ind w:left="25"/>
        <w:outlineLvl w:val="0"/>
        <w:rPr>
          <w:rFonts w:ascii="仿宋" w:eastAsia="仿宋" w:hAnsi="仿宋" w:cs="仿宋"/>
          <w:sz w:val="24"/>
          <w:szCs w:val="24"/>
        </w:rPr>
      </w:pPr>
      <w:bookmarkStart w:id="3" w:name="bookmark3"/>
      <w:bookmarkEnd w:id="3"/>
      <w:r>
        <w:rPr>
          <w:rFonts w:ascii="仿宋" w:eastAsia="仿宋" w:hAnsi="仿宋" w:cs="仿宋"/>
          <w:b/>
          <w:bCs/>
          <w:spacing w:val="-7"/>
          <w:sz w:val="24"/>
          <w:szCs w:val="24"/>
        </w:rPr>
        <w:t>2.</w:t>
      </w:r>
      <w:r>
        <w:rPr>
          <w:rFonts w:ascii="仿宋" w:eastAsia="仿宋" w:hAnsi="仿宋" w:cs="仿宋"/>
          <w:spacing w:val="88"/>
          <w:sz w:val="24"/>
          <w:szCs w:val="24"/>
        </w:rPr>
        <w:t xml:space="preserve"> </w:t>
      </w:r>
      <w:r>
        <w:rPr>
          <w:rFonts w:ascii="仿宋" w:eastAsia="仿宋" w:hAnsi="仿宋" w:cs="仿宋"/>
          <w:b/>
          <w:bCs/>
          <w:spacing w:val="-7"/>
          <w:sz w:val="24"/>
          <w:szCs w:val="24"/>
        </w:rPr>
        <w:t>适用范围</w:t>
      </w:r>
    </w:p>
    <w:p>
      <w:pPr>
        <w:pStyle w:val="BodyText"/>
      </w:pPr>
    </w:p>
    <w:p>
      <w:pPr>
        <w:spacing w:before="78" w:line="221" w:lineRule="auto"/>
        <w:ind w:left="510"/>
        <w:rPr>
          <w:rFonts w:ascii="仿宋" w:eastAsia="仿宋" w:hAnsi="仿宋" w:cs="仿宋"/>
          <w:sz w:val="24"/>
          <w:szCs w:val="24"/>
        </w:rPr>
      </w:pPr>
      <w:r>
        <w:rPr>
          <w:rFonts w:ascii="仿宋" w:eastAsia="仿宋" w:hAnsi="仿宋" w:cs="仿宋"/>
          <w:spacing w:val="-1"/>
          <w:sz w:val="24"/>
          <w:szCs w:val="24"/>
        </w:rPr>
        <w:t>本制度适用于对运维服务管理体系运行内部审核的管理。</w:t>
      </w:r>
    </w:p>
    <w:p>
      <w:pPr>
        <w:pStyle w:val="BodyText"/>
        <w:spacing w:line="243" w:lineRule="auto"/>
      </w:pPr>
    </w:p>
    <w:p>
      <w:pPr>
        <w:spacing w:before="78" w:line="224" w:lineRule="auto"/>
        <w:ind w:left="27"/>
        <w:outlineLvl w:val="0"/>
        <w:rPr>
          <w:rFonts w:ascii="仿宋" w:eastAsia="仿宋" w:hAnsi="仿宋" w:cs="仿宋"/>
          <w:sz w:val="24"/>
          <w:szCs w:val="24"/>
        </w:rPr>
      </w:pPr>
      <w:bookmarkStart w:id="4" w:name="bookmark4"/>
      <w:bookmarkEnd w:id="4"/>
      <w:r>
        <w:rPr>
          <w:rFonts w:ascii="仿宋" w:eastAsia="仿宋" w:hAnsi="仿宋" w:cs="仿宋"/>
          <w:b/>
          <w:bCs/>
          <w:spacing w:val="-10"/>
          <w:sz w:val="24"/>
          <w:szCs w:val="24"/>
        </w:rPr>
        <w:t>3.</w:t>
      </w:r>
      <w:r>
        <w:rPr>
          <w:rFonts w:ascii="仿宋" w:eastAsia="仿宋" w:hAnsi="仿宋" w:cs="仿宋"/>
          <w:spacing w:val="87"/>
          <w:sz w:val="24"/>
          <w:szCs w:val="24"/>
        </w:rPr>
        <w:t xml:space="preserve"> </w:t>
      </w:r>
      <w:r>
        <w:rPr>
          <w:rFonts w:ascii="仿宋" w:eastAsia="仿宋" w:hAnsi="仿宋" w:cs="仿宋"/>
          <w:b/>
          <w:bCs/>
          <w:spacing w:val="-10"/>
          <w:sz w:val="24"/>
          <w:szCs w:val="24"/>
        </w:rPr>
        <w:t>职责</w:t>
      </w:r>
    </w:p>
    <w:p>
      <w:pPr>
        <w:spacing w:before="185" w:line="302" w:lineRule="auto"/>
        <w:ind w:left="448" w:right="83" w:hanging="414"/>
        <w:rPr>
          <w:rFonts w:ascii="仿宋" w:eastAsia="仿宋" w:hAnsi="仿宋" w:cs="仿宋"/>
          <w:sz w:val="24"/>
          <w:szCs w:val="24"/>
        </w:rPr>
      </w:pPr>
      <w:r>
        <w:rPr>
          <w:rFonts w:ascii="Wingdings" w:eastAsia="Wingdings" w:hAnsi="Wingdings" w:cs="Wingdings"/>
          <w:spacing w:val="-2"/>
          <w:sz w:val="24"/>
          <w:szCs w:val="24"/>
        </w:rPr>
        <w:t xml:space="preserve">l </w:t>
      </w:r>
      <w:r>
        <w:rPr>
          <w:rFonts w:ascii="仿宋" w:eastAsia="仿宋" w:hAnsi="仿宋" w:cs="仿宋"/>
          <w:spacing w:val="-2"/>
          <w:sz w:val="24"/>
          <w:szCs w:val="24"/>
        </w:rPr>
        <w:t>质量部负责制定体系运行内部审核工作计划，组织体系内部审核及跟踪、验证，保存相关记录；</w:t>
      </w:r>
    </w:p>
    <w:p>
      <w:pPr>
        <w:spacing w:before="194" w:line="236" w:lineRule="auto"/>
        <w:ind w:left="34"/>
        <w:rPr>
          <w:rFonts w:ascii="仿宋" w:eastAsia="仿宋" w:hAnsi="仿宋" w:cs="仿宋"/>
          <w:sz w:val="24"/>
          <w:szCs w:val="24"/>
        </w:rPr>
      </w:pPr>
      <w:r>
        <w:rPr>
          <w:rFonts w:ascii="Wingdings" w:eastAsia="Wingdings" w:hAnsi="Wingdings" w:cs="Wingdings"/>
          <w:spacing w:val="-1"/>
          <w:sz w:val="24"/>
          <w:szCs w:val="24"/>
        </w:rPr>
        <w:t xml:space="preserve">l </w:t>
      </w:r>
      <w:r>
        <w:rPr>
          <w:rFonts w:ascii="仿宋" w:eastAsia="仿宋" w:hAnsi="仿宋" w:cs="仿宋"/>
          <w:spacing w:val="-1"/>
          <w:sz w:val="24"/>
          <w:szCs w:val="24"/>
        </w:rPr>
        <w:t>总经理负责年度体系运行内部审核工作计划的批准及协调工作；</w:t>
      </w:r>
    </w:p>
    <w:p>
      <w:pPr>
        <w:spacing w:before="183" w:line="302" w:lineRule="auto"/>
        <w:ind w:left="452" w:right="169" w:hanging="418"/>
        <w:rPr>
          <w:rFonts w:ascii="仿宋" w:eastAsia="仿宋" w:hAnsi="仿宋" w:cs="仿宋"/>
          <w:sz w:val="24"/>
          <w:szCs w:val="24"/>
        </w:rPr>
      </w:pPr>
      <w:r>
        <w:rPr>
          <w:rFonts w:ascii="Wingdings" w:eastAsia="Wingdings" w:hAnsi="Wingdings" w:cs="Wingdings"/>
          <w:spacing w:val="-1"/>
          <w:sz w:val="24"/>
          <w:szCs w:val="24"/>
        </w:rPr>
        <w:t xml:space="preserve">l </w:t>
      </w:r>
      <w:r>
        <w:rPr>
          <w:rFonts w:ascii="仿宋" w:eastAsia="仿宋" w:hAnsi="仿宋" w:cs="仿宋"/>
          <w:spacing w:val="-1"/>
          <w:sz w:val="24"/>
          <w:szCs w:val="24"/>
        </w:rPr>
        <w:t>体系所涉及的业务部门配合内部审核工作,对审核中发现的不符合项制定纠</w:t>
      </w:r>
      <w:r>
        <w:rPr>
          <w:rFonts w:ascii="仿宋" w:eastAsia="仿宋" w:hAnsi="仿宋" w:cs="仿宋"/>
          <w:spacing w:val="-2"/>
          <w:sz w:val="24"/>
          <w:szCs w:val="24"/>
        </w:rPr>
        <w:t>正措施计划,并组织实施。</w:t>
      </w:r>
    </w:p>
    <w:p>
      <w:pPr>
        <w:spacing w:before="201" w:line="220" w:lineRule="auto"/>
        <w:ind w:left="21"/>
        <w:outlineLvl w:val="0"/>
        <w:rPr>
          <w:rFonts w:ascii="仿宋" w:eastAsia="仿宋" w:hAnsi="仿宋" w:cs="仿宋"/>
          <w:sz w:val="24"/>
          <w:szCs w:val="24"/>
        </w:rPr>
      </w:pPr>
      <w:bookmarkStart w:id="5" w:name="bookmark6"/>
      <w:bookmarkEnd w:id="5"/>
      <w:bookmarkStart w:id="6" w:name="bookmark5"/>
      <w:bookmarkEnd w:id="6"/>
      <w:r>
        <w:rPr>
          <w:rFonts w:ascii="仿宋" w:eastAsia="仿宋" w:hAnsi="仿宋" w:cs="仿宋"/>
          <w:b/>
          <w:bCs/>
          <w:spacing w:val="-7"/>
          <w:sz w:val="24"/>
          <w:szCs w:val="24"/>
        </w:rPr>
        <w:t>4.</w:t>
      </w:r>
      <w:r>
        <w:rPr>
          <w:rFonts w:ascii="仿宋" w:eastAsia="仿宋" w:hAnsi="仿宋" w:cs="仿宋"/>
          <w:spacing w:val="92"/>
          <w:sz w:val="24"/>
          <w:szCs w:val="24"/>
        </w:rPr>
        <w:t xml:space="preserve"> </w:t>
      </w:r>
      <w:r>
        <w:rPr>
          <w:rFonts w:ascii="仿宋" w:eastAsia="仿宋" w:hAnsi="仿宋" w:cs="仿宋"/>
          <w:b/>
          <w:bCs/>
          <w:spacing w:val="-7"/>
          <w:sz w:val="24"/>
          <w:szCs w:val="24"/>
        </w:rPr>
        <w:t>工作程序</w:t>
      </w:r>
    </w:p>
    <w:p>
      <w:pPr>
        <w:spacing w:before="204" w:line="222" w:lineRule="auto"/>
        <w:ind w:left="21"/>
        <w:outlineLvl w:val="1"/>
        <w:rPr>
          <w:rFonts w:ascii="仿宋" w:eastAsia="仿宋" w:hAnsi="仿宋" w:cs="仿宋"/>
          <w:sz w:val="24"/>
          <w:szCs w:val="24"/>
        </w:rPr>
      </w:pPr>
      <w:bookmarkStart w:id="7" w:name="bookmark10"/>
      <w:bookmarkEnd w:id="7"/>
      <w:r>
        <w:rPr>
          <w:rFonts w:ascii="仿宋" w:eastAsia="仿宋" w:hAnsi="仿宋" w:cs="仿宋"/>
          <w:b/>
          <w:bCs/>
          <w:spacing w:val="-9"/>
          <w:sz w:val="24"/>
          <w:szCs w:val="24"/>
        </w:rPr>
        <w:t>4.1</w:t>
      </w:r>
      <w:r>
        <w:rPr>
          <w:rFonts w:ascii="仿宋" w:eastAsia="仿宋" w:hAnsi="仿宋" w:cs="仿宋"/>
          <w:spacing w:val="-9"/>
          <w:sz w:val="24"/>
          <w:szCs w:val="24"/>
        </w:rPr>
        <w:t xml:space="preserve"> </w:t>
      </w:r>
      <w:r>
        <w:rPr>
          <w:rFonts w:ascii="仿宋" w:eastAsia="仿宋" w:hAnsi="仿宋" w:cs="仿宋"/>
          <w:b/>
          <w:bCs/>
          <w:spacing w:val="-9"/>
          <w:sz w:val="24"/>
          <w:szCs w:val="24"/>
        </w:rPr>
        <w:t>内部审核策划</w:t>
      </w:r>
    </w:p>
    <w:p>
      <w:pPr>
        <w:pStyle w:val="BodyText"/>
        <w:spacing w:line="242" w:lineRule="auto"/>
      </w:pPr>
    </w:p>
    <w:p>
      <w:pPr>
        <w:spacing w:before="79" w:line="376" w:lineRule="auto"/>
        <w:ind w:left="29" w:right="83" w:firstLine="511"/>
        <w:jc w:val="both"/>
        <w:rPr>
          <w:rFonts w:ascii="仿宋" w:eastAsia="仿宋" w:hAnsi="仿宋" w:cs="仿宋"/>
          <w:sz w:val="24"/>
          <w:szCs w:val="24"/>
        </w:rPr>
      </w:pPr>
      <w:r>
        <w:rPr>
          <w:rFonts w:ascii="仿宋" w:eastAsia="仿宋" w:hAnsi="仿宋" w:cs="仿宋"/>
          <w:spacing w:val="-4"/>
          <w:sz w:val="24"/>
          <w:szCs w:val="24"/>
        </w:rPr>
        <w:t>由质量部制定年度内部质量审核工作计划，报总经理</w:t>
      </w:r>
      <w:r>
        <w:rPr>
          <w:rFonts w:ascii="仿宋" w:eastAsia="仿宋" w:hAnsi="仿宋" w:cs="仿宋"/>
          <w:spacing w:val="-5"/>
          <w:sz w:val="24"/>
          <w:szCs w:val="24"/>
        </w:rPr>
        <w:t>批准后实施。内部质量</w:t>
      </w:r>
      <w:r>
        <w:rPr>
          <w:rFonts w:ascii="仿宋" w:eastAsia="仿宋" w:hAnsi="仿宋" w:cs="仿宋"/>
          <w:spacing w:val="-2"/>
          <w:sz w:val="24"/>
          <w:szCs w:val="24"/>
        </w:rPr>
        <w:t>审核活动每年不少于一次，且两次内审活动时间不超过</w:t>
      </w:r>
      <w:r>
        <w:rPr>
          <w:rFonts w:ascii="仿宋" w:eastAsia="仿宋" w:hAnsi="仿宋" w:cs="仿宋"/>
          <w:spacing w:val="-23"/>
          <w:sz w:val="24"/>
          <w:szCs w:val="24"/>
        </w:rPr>
        <w:t xml:space="preserve"> </w:t>
      </w:r>
      <w:r>
        <w:rPr>
          <w:rFonts w:ascii="仿宋" w:eastAsia="仿宋" w:hAnsi="仿宋" w:cs="仿宋"/>
          <w:spacing w:val="-2"/>
          <w:sz w:val="24"/>
          <w:szCs w:val="24"/>
        </w:rPr>
        <w:t>12</w:t>
      </w:r>
      <w:r>
        <w:rPr>
          <w:rFonts w:ascii="仿宋" w:eastAsia="仿宋" w:hAnsi="仿宋" w:cs="仿宋"/>
          <w:spacing w:val="-44"/>
          <w:sz w:val="24"/>
          <w:szCs w:val="24"/>
        </w:rPr>
        <w:t xml:space="preserve"> </w:t>
      </w:r>
      <w:r>
        <w:rPr>
          <w:rFonts w:ascii="仿宋" w:eastAsia="仿宋" w:hAnsi="仿宋" w:cs="仿宋"/>
          <w:spacing w:val="-2"/>
          <w:sz w:val="24"/>
          <w:szCs w:val="24"/>
        </w:rPr>
        <w:t>个月。在公司产品结</w:t>
      </w:r>
      <w:r>
        <w:rPr>
          <w:rFonts w:ascii="仿宋" w:eastAsia="仿宋" w:hAnsi="仿宋" w:cs="仿宋"/>
          <w:spacing w:val="-3"/>
          <w:sz w:val="24"/>
          <w:szCs w:val="24"/>
        </w:rPr>
        <w:t>构有重大调整、体系要素或组织机构有较大变动时，应适当增加内审</w:t>
      </w:r>
      <w:r>
        <w:rPr>
          <w:rFonts w:ascii="仿宋" w:eastAsia="仿宋" w:hAnsi="仿宋" w:cs="仿宋"/>
          <w:spacing w:val="-4"/>
          <w:sz w:val="24"/>
          <w:szCs w:val="24"/>
        </w:rPr>
        <w:t>次数并考虑</w:t>
      </w:r>
      <w:r>
        <w:rPr>
          <w:rFonts w:ascii="仿宋" w:eastAsia="仿宋" w:hAnsi="仿宋" w:cs="仿宋"/>
          <w:spacing w:val="-2"/>
          <w:sz w:val="24"/>
          <w:szCs w:val="24"/>
        </w:rPr>
        <w:t>前几次审核所发现的问题。</w:t>
      </w:r>
    </w:p>
    <w:p>
      <w:pPr>
        <w:spacing w:before="110" w:line="349" w:lineRule="auto"/>
        <w:ind w:left="509" w:hanging="475"/>
        <w:rPr>
          <w:rFonts w:ascii="仿宋" w:eastAsia="仿宋" w:hAnsi="仿宋" w:cs="仿宋"/>
          <w:sz w:val="24"/>
          <w:szCs w:val="24"/>
        </w:rPr>
      </w:pPr>
      <w:r>
        <w:rPr>
          <w:rFonts w:ascii="Wingdings" w:eastAsia="Wingdings" w:hAnsi="Wingdings" w:cs="Wingdings"/>
          <w:spacing w:val="-6"/>
          <w:sz w:val="24"/>
          <w:szCs w:val="24"/>
        </w:rPr>
        <w:t xml:space="preserve">l </w:t>
      </w:r>
      <w:r>
        <w:rPr>
          <w:rFonts w:ascii="仿宋" w:eastAsia="仿宋" w:hAnsi="仿宋" w:cs="仿宋"/>
          <w:spacing w:val="-6"/>
          <w:sz w:val="24"/>
          <w:szCs w:val="24"/>
        </w:rPr>
        <w:t>每次内部审核实施前由质量部制定《内部审核计划》，经总经理批准后实施。</w:t>
      </w:r>
      <w:r>
        <w:rPr>
          <w:rFonts w:ascii="仿宋" w:eastAsia="仿宋" w:hAnsi="仿宋" w:cs="仿宋"/>
          <w:spacing w:val="5"/>
          <w:sz w:val="24"/>
          <w:szCs w:val="24"/>
        </w:rPr>
        <w:t xml:space="preserve"> </w:t>
      </w:r>
      <w:r>
        <w:rPr>
          <w:rFonts w:ascii="仿宋" w:eastAsia="仿宋" w:hAnsi="仿宋" w:cs="仿宋"/>
          <w:spacing w:val="-2"/>
          <w:sz w:val="24"/>
          <w:szCs w:val="24"/>
        </w:rPr>
        <w:t>《内审计划》的内容：</w:t>
      </w:r>
    </w:p>
    <w:p>
      <w:pPr>
        <w:spacing w:before="318" w:line="222" w:lineRule="auto"/>
        <w:ind w:left="503"/>
        <w:rPr>
          <w:rFonts w:ascii="仿宋" w:eastAsia="仿宋" w:hAnsi="仿宋" w:cs="仿宋"/>
          <w:sz w:val="24"/>
          <w:szCs w:val="24"/>
        </w:rPr>
      </w:pPr>
      <w:r>
        <w:rPr>
          <w:rFonts w:ascii="仿宋" w:eastAsia="仿宋" w:hAnsi="仿宋" w:cs="仿宋"/>
          <w:spacing w:val="-4"/>
          <w:sz w:val="24"/>
          <w:szCs w:val="24"/>
        </w:rPr>
        <w:t>a) 受审的部门、审核的目的、范围、</w:t>
      </w:r>
      <w:r>
        <w:rPr>
          <w:rFonts w:ascii="仿宋" w:eastAsia="仿宋" w:hAnsi="仿宋" w:cs="仿宋"/>
          <w:spacing w:val="-47"/>
          <w:sz w:val="24"/>
          <w:szCs w:val="24"/>
        </w:rPr>
        <w:t xml:space="preserve"> </w:t>
      </w:r>
      <w:r>
        <w:rPr>
          <w:rFonts w:ascii="仿宋" w:eastAsia="仿宋" w:hAnsi="仿宋" w:cs="仿宋"/>
          <w:spacing w:val="-4"/>
          <w:sz w:val="24"/>
          <w:szCs w:val="24"/>
        </w:rPr>
        <w:t>日期；</w:t>
      </w:r>
    </w:p>
    <w:p>
      <w:pPr>
        <w:pStyle w:val="BodyText"/>
        <w:spacing w:line="242" w:lineRule="auto"/>
      </w:pPr>
    </w:p>
    <w:p>
      <w:pPr>
        <w:spacing w:before="78" w:line="222" w:lineRule="auto"/>
        <w:ind w:left="498"/>
        <w:rPr>
          <w:rFonts w:ascii="仿宋" w:eastAsia="仿宋" w:hAnsi="仿宋" w:cs="仿宋"/>
          <w:sz w:val="24"/>
          <w:szCs w:val="24"/>
        </w:rPr>
      </w:pPr>
      <w:r>
        <w:rPr>
          <w:rFonts w:ascii="仿宋" w:eastAsia="仿宋" w:hAnsi="仿宋" w:cs="仿宋"/>
          <w:spacing w:val="-4"/>
          <w:sz w:val="24"/>
          <w:szCs w:val="24"/>
        </w:rPr>
        <w:t>b)</w:t>
      </w:r>
      <w:r>
        <w:rPr>
          <w:rFonts w:ascii="仿宋" w:eastAsia="仿宋" w:hAnsi="仿宋" w:cs="仿宋"/>
          <w:spacing w:val="34"/>
          <w:sz w:val="24"/>
          <w:szCs w:val="24"/>
        </w:rPr>
        <w:t xml:space="preserve"> </w:t>
      </w:r>
      <w:r>
        <w:rPr>
          <w:rFonts w:ascii="仿宋" w:eastAsia="仿宋" w:hAnsi="仿宋" w:cs="仿宋"/>
          <w:spacing w:val="-4"/>
          <w:sz w:val="24"/>
          <w:szCs w:val="24"/>
        </w:rPr>
        <w:t>审核依据的文件；</w:t>
      </w:r>
    </w:p>
    <w:p>
      <w:pPr>
        <w:pStyle w:val="BodyText"/>
        <w:spacing w:line="241" w:lineRule="auto"/>
      </w:pPr>
    </w:p>
    <w:p>
      <w:pPr>
        <w:spacing w:before="79" w:line="222" w:lineRule="auto"/>
        <w:ind w:left="507"/>
        <w:rPr>
          <w:rFonts w:ascii="仿宋" w:eastAsia="仿宋" w:hAnsi="仿宋" w:cs="仿宋"/>
          <w:sz w:val="24"/>
          <w:szCs w:val="24"/>
        </w:rPr>
      </w:pPr>
      <w:r>
        <w:rPr>
          <w:rFonts w:ascii="仿宋" w:eastAsia="仿宋" w:hAnsi="仿宋" w:cs="仿宋"/>
          <w:spacing w:val="-4"/>
          <w:sz w:val="24"/>
          <w:szCs w:val="24"/>
        </w:rPr>
        <w:t>c)</w:t>
      </w:r>
      <w:r>
        <w:rPr>
          <w:rFonts w:ascii="仿宋" w:eastAsia="仿宋" w:hAnsi="仿宋" w:cs="仿宋"/>
          <w:spacing w:val="45"/>
          <w:sz w:val="24"/>
          <w:szCs w:val="24"/>
        </w:rPr>
        <w:t xml:space="preserve"> </w:t>
      </w:r>
      <w:r>
        <w:rPr>
          <w:rFonts w:ascii="仿宋" w:eastAsia="仿宋" w:hAnsi="仿宋" w:cs="仿宋"/>
          <w:spacing w:val="-4"/>
          <w:sz w:val="24"/>
          <w:szCs w:val="24"/>
        </w:rPr>
        <w:t>审核的主要项目及时间安排；</w:t>
      </w:r>
    </w:p>
    <w:p>
      <w:pPr>
        <w:pStyle w:val="BodyText"/>
        <w:spacing w:line="241" w:lineRule="auto"/>
      </w:pPr>
    </w:p>
    <w:p>
      <w:pPr>
        <w:spacing w:before="78" w:line="222" w:lineRule="auto"/>
        <w:ind w:left="507"/>
        <w:rPr>
          <w:rFonts w:ascii="仿宋" w:eastAsia="仿宋" w:hAnsi="仿宋" w:cs="仿宋"/>
          <w:sz w:val="24"/>
          <w:szCs w:val="24"/>
        </w:rPr>
      </w:pPr>
      <w:r>
        <w:rPr>
          <w:rFonts w:ascii="仿宋" w:eastAsia="仿宋" w:hAnsi="仿宋" w:cs="仿宋"/>
          <w:spacing w:val="-7"/>
          <w:sz w:val="24"/>
          <w:szCs w:val="24"/>
        </w:rPr>
        <w:t>d)</w:t>
      </w:r>
      <w:r>
        <w:rPr>
          <w:rFonts w:ascii="仿宋" w:eastAsia="仿宋" w:hAnsi="仿宋" w:cs="仿宋"/>
          <w:spacing w:val="41"/>
          <w:sz w:val="24"/>
          <w:szCs w:val="24"/>
        </w:rPr>
        <w:t xml:space="preserve"> </w:t>
      </w:r>
      <w:r>
        <w:rPr>
          <w:rFonts w:ascii="仿宋" w:eastAsia="仿宋" w:hAnsi="仿宋" w:cs="仿宋"/>
          <w:spacing w:val="-7"/>
          <w:sz w:val="24"/>
          <w:szCs w:val="24"/>
        </w:rPr>
        <w:t>审核员分工。</w:t>
      </w:r>
    </w:p>
    <w:p>
      <w:pPr>
        <w:spacing w:before="310" w:line="237" w:lineRule="auto"/>
        <w:ind w:left="34"/>
        <w:rPr>
          <w:rFonts w:ascii="仿宋" w:eastAsia="仿宋" w:hAnsi="仿宋" w:cs="仿宋"/>
          <w:sz w:val="24"/>
          <w:szCs w:val="24"/>
        </w:rPr>
      </w:pPr>
      <w:r>
        <w:rPr>
          <w:rFonts w:ascii="Wingdings" w:eastAsia="Wingdings" w:hAnsi="Wingdings" w:cs="Wingdings"/>
          <w:spacing w:val="1"/>
          <w:sz w:val="24"/>
          <w:szCs w:val="24"/>
        </w:rPr>
        <w:t xml:space="preserve">l </w:t>
      </w:r>
      <w:r>
        <w:rPr>
          <w:rFonts w:ascii="仿宋" w:eastAsia="仿宋" w:hAnsi="仿宋" w:cs="仿宋"/>
          <w:spacing w:val="1"/>
          <w:sz w:val="24"/>
          <w:szCs w:val="24"/>
        </w:rPr>
        <w:t>审核组由熟悉运维服务过程的人员组成，总人</w:t>
      </w:r>
      <w:r>
        <w:rPr>
          <w:rFonts w:ascii="仿宋" w:eastAsia="仿宋" w:hAnsi="仿宋" w:cs="仿宋"/>
          <w:sz w:val="24"/>
          <w:szCs w:val="24"/>
        </w:rPr>
        <w:t>数不少于3</w:t>
      </w:r>
      <w:r>
        <w:rPr>
          <w:rFonts w:ascii="仿宋" w:eastAsia="仿宋" w:hAnsi="仿宋" w:cs="仿宋"/>
          <w:spacing w:val="-43"/>
          <w:sz w:val="24"/>
          <w:szCs w:val="24"/>
        </w:rPr>
        <w:t xml:space="preserve"> </w:t>
      </w:r>
      <w:r>
        <w:rPr>
          <w:rFonts w:ascii="仿宋" w:eastAsia="仿宋" w:hAnsi="仿宋" w:cs="仿宋"/>
          <w:sz w:val="24"/>
          <w:szCs w:val="24"/>
        </w:rPr>
        <w:t>名,质量部负责人</w:t>
      </w:r>
    </w:p>
    <w:p>
      <w:pPr>
        <w:spacing w:line="237" w:lineRule="auto"/>
        <w:rPr>
          <w:rFonts w:ascii="仿宋" w:eastAsia="仿宋" w:hAnsi="仿宋" w:cs="仿宋"/>
          <w:sz w:val="24"/>
          <w:szCs w:val="24"/>
        </w:rPr>
        <w:sectPr>
          <w:headerReference w:type="default" r:id="rId9"/>
          <w:footerReference w:type="default" r:id="rId10"/>
          <w:pgSz w:w="11906" w:h="16839"/>
          <w:pgMar w:top="1347" w:right="1716" w:bottom="1362" w:left="1785" w:header="947" w:footer="1111" w:gutter="0"/>
          <w:cols w:num="1" w:space="720"/>
        </w:sectPr>
      </w:pPr>
    </w:p>
    <w:p>
      <w:pPr>
        <w:spacing w:before="216" w:line="373" w:lineRule="auto"/>
        <w:ind w:left="451" w:right="105"/>
        <w:rPr>
          <w:rFonts w:ascii="仿宋" w:eastAsia="仿宋" w:hAnsi="仿宋" w:cs="仿宋"/>
          <w:sz w:val="24"/>
          <w:szCs w:val="24"/>
        </w:rPr>
      </w:pPr>
      <w:r>
        <w:rPr>
          <w:rFonts w:ascii="仿宋" w:eastAsia="仿宋" w:hAnsi="仿宋" w:cs="仿宋"/>
          <w:spacing w:val="-2"/>
          <w:sz w:val="24"/>
          <w:szCs w:val="24"/>
        </w:rPr>
        <w:t>担任审核组长。审核组长负责审核的具体组织工作，并根据审核计划适当地</w:t>
      </w:r>
      <w:r>
        <w:rPr>
          <w:rFonts w:ascii="仿宋" w:eastAsia="仿宋" w:hAnsi="仿宋" w:cs="仿宋"/>
          <w:spacing w:val="-1"/>
          <w:sz w:val="24"/>
          <w:szCs w:val="24"/>
        </w:rPr>
        <w:t>分工，以确保审核过程的客观性和公正性。</w:t>
      </w:r>
    </w:p>
    <w:p>
      <w:pPr>
        <w:spacing w:line="237" w:lineRule="auto"/>
        <w:ind w:left="34"/>
        <w:rPr>
          <w:rFonts w:ascii="仿宋" w:eastAsia="仿宋" w:hAnsi="仿宋" w:cs="仿宋"/>
          <w:sz w:val="24"/>
          <w:szCs w:val="24"/>
        </w:rPr>
      </w:pPr>
      <w:r>
        <w:rPr>
          <w:rFonts w:ascii="Wingdings" w:eastAsia="Wingdings" w:hAnsi="Wingdings" w:cs="Wingdings"/>
          <w:spacing w:val="-3"/>
          <w:sz w:val="24"/>
          <w:szCs w:val="24"/>
        </w:rPr>
        <w:t>l</w:t>
      </w:r>
      <w:r>
        <w:rPr>
          <w:rFonts w:ascii="Wingdings" w:eastAsia="Wingdings" w:hAnsi="Wingdings" w:cs="Wingdings"/>
          <w:spacing w:val="48"/>
          <w:sz w:val="24"/>
          <w:szCs w:val="24"/>
        </w:rPr>
        <w:t xml:space="preserve"> </w:t>
      </w:r>
      <w:r>
        <w:rPr>
          <w:rFonts w:ascii="仿宋" w:eastAsia="仿宋" w:hAnsi="仿宋" w:cs="仿宋"/>
          <w:spacing w:val="-3"/>
          <w:sz w:val="24"/>
          <w:szCs w:val="24"/>
        </w:rPr>
        <w:t>由审核组长组织审核组成员制定审核专用</w:t>
      </w:r>
      <w:r>
        <w:rPr>
          <w:rFonts w:ascii="仿宋" w:eastAsia="仿宋" w:hAnsi="仿宋" w:cs="仿宋"/>
          <w:spacing w:val="-4"/>
          <w:sz w:val="24"/>
          <w:szCs w:val="24"/>
        </w:rPr>
        <w:t>文件：</w:t>
      </w:r>
    </w:p>
    <w:p>
      <w:pPr>
        <w:spacing w:before="190" w:line="220" w:lineRule="auto"/>
        <w:ind w:left="503"/>
        <w:rPr>
          <w:rFonts w:ascii="仿宋" w:eastAsia="仿宋" w:hAnsi="仿宋" w:cs="仿宋"/>
          <w:sz w:val="24"/>
          <w:szCs w:val="24"/>
        </w:rPr>
      </w:pPr>
      <w:r>
        <w:rPr>
          <w:rFonts w:ascii="仿宋" w:eastAsia="仿宋" w:hAnsi="仿宋" w:cs="仿宋"/>
          <w:spacing w:val="-6"/>
          <w:sz w:val="24"/>
          <w:szCs w:val="24"/>
        </w:rPr>
        <w:t>a)</w:t>
      </w:r>
      <w:r>
        <w:rPr>
          <w:rFonts w:ascii="仿宋" w:eastAsia="仿宋" w:hAnsi="仿宋" w:cs="仿宋"/>
          <w:spacing w:val="49"/>
          <w:sz w:val="24"/>
          <w:szCs w:val="24"/>
        </w:rPr>
        <w:t xml:space="preserve"> </w:t>
      </w:r>
      <w:r>
        <w:rPr>
          <w:rFonts w:ascii="仿宋" w:eastAsia="仿宋" w:hAnsi="仿宋" w:cs="仿宋"/>
          <w:spacing w:val="-6"/>
          <w:sz w:val="24"/>
          <w:szCs w:val="24"/>
        </w:rPr>
        <w:t>内部审核检查表；</w:t>
      </w:r>
    </w:p>
    <w:p>
      <w:pPr>
        <w:spacing w:before="201" w:line="222" w:lineRule="auto"/>
        <w:ind w:left="498"/>
        <w:rPr>
          <w:rFonts w:ascii="仿宋" w:eastAsia="仿宋" w:hAnsi="仿宋" w:cs="仿宋"/>
          <w:sz w:val="24"/>
          <w:szCs w:val="24"/>
        </w:rPr>
      </w:pPr>
      <w:r>
        <w:rPr>
          <w:rFonts w:ascii="仿宋" w:eastAsia="仿宋" w:hAnsi="仿宋" w:cs="仿宋"/>
          <w:spacing w:val="-6"/>
          <w:sz w:val="24"/>
          <w:szCs w:val="24"/>
        </w:rPr>
        <w:t>b)</w:t>
      </w:r>
      <w:r>
        <w:rPr>
          <w:rFonts w:ascii="仿宋" w:eastAsia="仿宋" w:hAnsi="仿宋" w:cs="仿宋"/>
          <w:spacing w:val="48"/>
          <w:sz w:val="24"/>
          <w:szCs w:val="24"/>
        </w:rPr>
        <w:t xml:space="preserve"> </w:t>
      </w:r>
      <w:r>
        <w:rPr>
          <w:rFonts w:ascii="仿宋" w:eastAsia="仿宋" w:hAnsi="仿宋" w:cs="仿宋"/>
          <w:spacing w:val="-6"/>
          <w:sz w:val="24"/>
          <w:szCs w:val="24"/>
        </w:rPr>
        <w:t>内部审核计划；</w:t>
      </w:r>
    </w:p>
    <w:p>
      <w:pPr>
        <w:spacing w:before="200" w:line="221" w:lineRule="auto"/>
        <w:ind w:left="507"/>
        <w:rPr>
          <w:rFonts w:ascii="仿宋" w:eastAsia="仿宋" w:hAnsi="仿宋" w:cs="仿宋"/>
          <w:sz w:val="24"/>
          <w:szCs w:val="24"/>
        </w:rPr>
      </w:pPr>
      <w:r>
        <w:rPr>
          <w:rFonts w:ascii="仿宋" w:eastAsia="仿宋" w:hAnsi="仿宋" w:cs="仿宋"/>
          <w:spacing w:val="-1"/>
          <w:sz w:val="24"/>
          <w:szCs w:val="24"/>
        </w:rPr>
        <w:t>c) 不符合报告（审核过程中输出</w:t>
      </w:r>
      <w:r>
        <w:rPr>
          <w:rFonts w:ascii="仿宋" w:eastAsia="仿宋" w:hAnsi="仿宋" w:cs="仿宋"/>
          <w:spacing w:val="-43"/>
          <w:sz w:val="24"/>
          <w:szCs w:val="24"/>
        </w:rPr>
        <w:t>）；</w:t>
      </w:r>
    </w:p>
    <w:p>
      <w:pPr>
        <w:spacing w:before="192" w:line="303" w:lineRule="auto"/>
        <w:ind w:left="449" w:right="312" w:hanging="415"/>
        <w:rPr>
          <w:rFonts w:ascii="仿宋" w:eastAsia="仿宋" w:hAnsi="仿宋" w:cs="仿宋"/>
          <w:sz w:val="24"/>
          <w:szCs w:val="24"/>
        </w:rPr>
      </w:pPr>
      <w:r>
        <w:rPr>
          <w:rFonts w:ascii="Wingdings" w:eastAsia="Wingdings" w:hAnsi="Wingdings" w:cs="Wingdings"/>
          <w:spacing w:val="-1"/>
          <w:sz w:val="24"/>
          <w:szCs w:val="24"/>
        </w:rPr>
        <w:t xml:space="preserve">l </w:t>
      </w:r>
      <w:r>
        <w:rPr>
          <w:rFonts w:ascii="仿宋" w:eastAsia="仿宋" w:hAnsi="仿宋" w:cs="仿宋"/>
          <w:spacing w:val="-1"/>
          <w:sz w:val="24"/>
          <w:szCs w:val="24"/>
        </w:rPr>
        <w:t>由审核组准备好审核所依据的文件，至少在审核活动实施前三天发出本次《内审计划》通知相关受审核部门。</w:t>
      </w:r>
    </w:p>
    <w:p>
      <w:pPr>
        <w:spacing w:before="189" w:line="327" w:lineRule="auto"/>
        <w:ind w:left="448" w:right="108" w:hanging="414"/>
        <w:rPr>
          <w:rFonts w:ascii="仿宋" w:eastAsia="仿宋" w:hAnsi="仿宋" w:cs="仿宋"/>
          <w:sz w:val="24"/>
          <w:szCs w:val="24"/>
        </w:rPr>
      </w:pPr>
      <w:r>
        <w:rPr>
          <w:rFonts w:ascii="Wingdings" w:eastAsia="Wingdings" w:hAnsi="Wingdings" w:cs="Wingdings"/>
          <w:spacing w:val="-2"/>
          <w:sz w:val="24"/>
          <w:szCs w:val="24"/>
        </w:rPr>
        <w:t xml:space="preserve">l </w:t>
      </w:r>
      <w:r>
        <w:rPr>
          <w:rFonts w:ascii="仿宋" w:eastAsia="仿宋" w:hAnsi="仿宋" w:cs="仿宋"/>
          <w:spacing w:val="-2"/>
          <w:sz w:val="24"/>
          <w:szCs w:val="24"/>
        </w:rPr>
        <w:t>受审核部门收到《内审计划》以后，如果对审核日期和审核的主要项目有异</w:t>
      </w:r>
      <w:r>
        <w:rPr>
          <w:rFonts w:ascii="仿宋" w:eastAsia="仿宋" w:hAnsi="仿宋" w:cs="仿宋"/>
          <w:spacing w:val="-4"/>
          <w:sz w:val="24"/>
          <w:szCs w:val="24"/>
        </w:rPr>
        <w:t>议，可在审核活动启动前与审核组协商调整《内审计划》。受审</w:t>
      </w:r>
      <w:r>
        <w:rPr>
          <w:rFonts w:ascii="仿宋" w:eastAsia="仿宋" w:hAnsi="仿宋" w:cs="仿宋"/>
          <w:spacing w:val="-5"/>
          <w:sz w:val="24"/>
          <w:szCs w:val="24"/>
        </w:rPr>
        <w:t>核部门要确</w:t>
      </w:r>
      <w:r>
        <w:rPr>
          <w:rFonts w:ascii="仿宋" w:eastAsia="仿宋" w:hAnsi="仿宋" w:cs="仿宋"/>
          <w:spacing w:val="-1"/>
          <w:sz w:val="24"/>
          <w:szCs w:val="24"/>
        </w:rPr>
        <w:t>定审核过程中的陪同人员并作好必要的准备工作。</w:t>
      </w:r>
    </w:p>
    <w:p>
      <w:pPr>
        <w:spacing w:before="204" w:line="222" w:lineRule="auto"/>
        <w:ind w:left="21"/>
        <w:outlineLvl w:val="1"/>
        <w:rPr>
          <w:rFonts w:ascii="仿宋" w:eastAsia="仿宋" w:hAnsi="仿宋" w:cs="仿宋"/>
          <w:sz w:val="24"/>
          <w:szCs w:val="24"/>
        </w:rPr>
      </w:pPr>
      <w:bookmarkStart w:id="8" w:name="bookmark7"/>
      <w:bookmarkEnd w:id="8"/>
      <w:r>
        <w:rPr>
          <w:rFonts w:ascii="仿宋" w:eastAsia="仿宋" w:hAnsi="仿宋" w:cs="仿宋"/>
          <w:b/>
          <w:bCs/>
          <w:spacing w:val="-9"/>
          <w:sz w:val="24"/>
          <w:szCs w:val="24"/>
        </w:rPr>
        <w:t>4.2</w:t>
      </w:r>
      <w:r>
        <w:rPr>
          <w:rFonts w:ascii="仿宋" w:eastAsia="仿宋" w:hAnsi="仿宋" w:cs="仿宋"/>
          <w:spacing w:val="-9"/>
          <w:sz w:val="24"/>
          <w:szCs w:val="24"/>
        </w:rPr>
        <w:t xml:space="preserve"> </w:t>
      </w:r>
      <w:r>
        <w:rPr>
          <w:rFonts w:ascii="仿宋" w:eastAsia="仿宋" w:hAnsi="仿宋" w:cs="仿宋"/>
          <w:b/>
          <w:bCs/>
          <w:spacing w:val="-9"/>
          <w:sz w:val="24"/>
          <w:szCs w:val="24"/>
        </w:rPr>
        <w:t>内部审核实施</w:t>
      </w:r>
    </w:p>
    <w:p>
      <w:pPr>
        <w:spacing w:before="189" w:line="327" w:lineRule="auto"/>
        <w:ind w:left="451" w:hanging="417"/>
        <w:rPr>
          <w:rFonts w:ascii="仿宋" w:eastAsia="仿宋" w:hAnsi="仿宋" w:cs="仿宋"/>
          <w:sz w:val="24"/>
          <w:szCs w:val="24"/>
        </w:rPr>
      </w:pPr>
      <w:r>
        <w:rPr>
          <w:rFonts w:ascii="Wingdings" w:eastAsia="Wingdings" w:hAnsi="Wingdings" w:cs="Wingdings"/>
          <w:spacing w:val="-5"/>
          <w:sz w:val="24"/>
          <w:szCs w:val="24"/>
        </w:rPr>
        <w:t xml:space="preserve">l </w:t>
      </w:r>
      <w:r>
        <w:rPr>
          <w:rFonts w:ascii="仿宋" w:eastAsia="仿宋" w:hAnsi="仿宋" w:cs="仿宋"/>
          <w:spacing w:val="-5"/>
          <w:sz w:val="24"/>
          <w:szCs w:val="24"/>
        </w:rPr>
        <w:t>审核组应按《内审计划》实施审核活动，审核的具体内容</w:t>
      </w:r>
      <w:r>
        <w:rPr>
          <w:rFonts w:ascii="仿宋" w:eastAsia="仿宋" w:hAnsi="仿宋" w:cs="仿宋"/>
          <w:spacing w:val="-6"/>
          <w:sz w:val="24"/>
          <w:szCs w:val="24"/>
        </w:rPr>
        <w:t>按照《内审检查表》</w:t>
      </w:r>
      <w:r>
        <w:rPr>
          <w:rFonts w:ascii="仿宋" w:eastAsia="仿宋" w:hAnsi="仿宋" w:cs="仿宋"/>
          <w:spacing w:val="-2"/>
          <w:sz w:val="24"/>
          <w:szCs w:val="24"/>
        </w:rPr>
        <w:t>进行。审核员通过交谈、查阅文件、检查现场、收集证据等手段检查体系运</w:t>
      </w:r>
      <w:r>
        <w:rPr>
          <w:rFonts w:ascii="仿宋" w:eastAsia="仿宋" w:hAnsi="仿宋" w:cs="仿宋"/>
          <w:spacing w:val="-5"/>
          <w:sz w:val="24"/>
          <w:szCs w:val="24"/>
        </w:rPr>
        <w:t>行情况。</w:t>
      </w:r>
    </w:p>
    <w:p>
      <w:pPr>
        <w:spacing w:before="191" w:line="327" w:lineRule="auto"/>
        <w:ind w:left="449" w:right="105" w:hanging="415"/>
        <w:rPr>
          <w:rFonts w:ascii="仿宋" w:eastAsia="仿宋" w:hAnsi="仿宋" w:cs="仿宋"/>
          <w:sz w:val="24"/>
          <w:szCs w:val="24"/>
        </w:rPr>
      </w:pPr>
      <w:r>
        <w:rPr>
          <w:rFonts w:ascii="Wingdings" w:eastAsia="Wingdings" w:hAnsi="Wingdings" w:cs="Wingdings"/>
          <w:spacing w:val="-2"/>
          <w:sz w:val="24"/>
          <w:szCs w:val="24"/>
        </w:rPr>
        <w:t xml:space="preserve">l </w:t>
      </w:r>
      <w:r>
        <w:rPr>
          <w:rFonts w:ascii="仿宋" w:eastAsia="仿宋" w:hAnsi="仿宋" w:cs="仿宋"/>
          <w:spacing w:val="-2"/>
          <w:sz w:val="24"/>
          <w:szCs w:val="24"/>
        </w:rPr>
        <w:t>审核过程发现问题应当场由该项工作负责人（或操作者）确认，并及时填写</w:t>
      </w:r>
      <w:r>
        <w:rPr>
          <w:rFonts w:ascii="仿宋" w:eastAsia="仿宋" w:hAnsi="仿宋" w:cs="仿宋"/>
          <w:spacing w:val="-4"/>
          <w:sz w:val="24"/>
          <w:szCs w:val="24"/>
        </w:rPr>
        <w:t>《内审不符合项报告》以保证不符合项能完全被理解，有利于纠</w:t>
      </w:r>
      <w:r>
        <w:rPr>
          <w:rFonts w:ascii="仿宋" w:eastAsia="仿宋" w:hAnsi="仿宋" w:cs="仿宋"/>
          <w:spacing w:val="-5"/>
          <w:sz w:val="24"/>
          <w:szCs w:val="24"/>
        </w:rPr>
        <w:t>正。《内审</w:t>
      </w:r>
      <w:r>
        <w:rPr>
          <w:rFonts w:ascii="仿宋" w:eastAsia="仿宋" w:hAnsi="仿宋" w:cs="仿宋"/>
          <w:spacing w:val="-1"/>
          <w:sz w:val="24"/>
          <w:szCs w:val="24"/>
        </w:rPr>
        <w:t>不符合项报告》应交于相关被审核部门进行纠正实施。</w:t>
      </w:r>
    </w:p>
    <w:p>
      <w:pPr>
        <w:spacing w:before="193" w:line="327" w:lineRule="auto"/>
        <w:ind w:left="454" w:right="105" w:hanging="420"/>
        <w:rPr>
          <w:rFonts w:ascii="仿宋" w:eastAsia="仿宋" w:hAnsi="仿宋" w:cs="仿宋"/>
          <w:sz w:val="24"/>
          <w:szCs w:val="24"/>
        </w:rPr>
      </w:pPr>
      <w:r>
        <w:rPr>
          <w:rFonts w:ascii="Wingdings" w:eastAsia="Wingdings" w:hAnsi="Wingdings" w:cs="Wingdings"/>
          <w:spacing w:val="-4"/>
          <w:sz w:val="24"/>
          <w:szCs w:val="24"/>
        </w:rPr>
        <w:t xml:space="preserve">l </w:t>
      </w:r>
      <w:r>
        <w:rPr>
          <w:rFonts w:ascii="仿宋" w:eastAsia="仿宋" w:hAnsi="仿宋" w:cs="仿宋"/>
          <w:spacing w:val="-4"/>
          <w:sz w:val="24"/>
          <w:szCs w:val="24"/>
        </w:rPr>
        <w:t>审核结束由审核组长或其授权的审核员编写《内审报告》，审核组长确认后</w:t>
      </w:r>
      <w:r>
        <w:rPr>
          <w:rFonts w:ascii="仿宋" w:eastAsia="仿宋" w:hAnsi="仿宋" w:cs="仿宋"/>
          <w:spacing w:val="-2"/>
          <w:sz w:val="24"/>
          <w:szCs w:val="24"/>
        </w:rPr>
        <w:t>签字，报送总经理审批。并组织受审核部门负责人及相关人员、审核组成员召开会议，报告审核结果。</w:t>
      </w:r>
    </w:p>
    <w:p>
      <w:pPr>
        <w:pStyle w:val="BodyText"/>
        <w:spacing w:line="241" w:lineRule="auto"/>
      </w:pPr>
    </w:p>
    <w:p>
      <w:pPr>
        <w:spacing w:before="79" w:line="222" w:lineRule="auto"/>
        <w:ind w:left="528"/>
        <w:rPr>
          <w:rFonts w:ascii="仿宋" w:eastAsia="仿宋" w:hAnsi="仿宋" w:cs="仿宋"/>
          <w:sz w:val="24"/>
          <w:szCs w:val="24"/>
        </w:rPr>
      </w:pPr>
      <w:r>
        <w:rPr>
          <w:rFonts w:ascii="仿宋" w:eastAsia="仿宋" w:hAnsi="仿宋" w:cs="仿宋"/>
          <w:spacing w:val="-4"/>
          <w:sz w:val="24"/>
          <w:szCs w:val="24"/>
        </w:rPr>
        <w:t>审核报告发放的范围：</w:t>
      </w:r>
    </w:p>
    <w:p>
      <w:pPr>
        <w:pStyle w:val="BodyText"/>
        <w:spacing w:line="241" w:lineRule="auto"/>
      </w:pPr>
    </w:p>
    <w:p>
      <w:pPr>
        <w:spacing w:before="78" w:line="222" w:lineRule="auto"/>
        <w:ind w:left="503"/>
        <w:rPr>
          <w:rFonts w:ascii="仿宋" w:eastAsia="仿宋" w:hAnsi="仿宋" w:cs="仿宋"/>
          <w:sz w:val="24"/>
          <w:szCs w:val="24"/>
        </w:rPr>
      </w:pPr>
      <w:r>
        <w:rPr>
          <w:rFonts w:ascii="仿宋" w:eastAsia="仿宋" w:hAnsi="仿宋" w:cs="仿宋"/>
          <w:spacing w:val="-6"/>
          <w:sz w:val="24"/>
          <w:szCs w:val="24"/>
        </w:rPr>
        <w:t>a)</w:t>
      </w:r>
      <w:r>
        <w:rPr>
          <w:rFonts w:ascii="仿宋" w:eastAsia="仿宋" w:hAnsi="仿宋" w:cs="仿宋"/>
          <w:spacing w:val="26"/>
          <w:sz w:val="24"/>
          <w:szCs w:val="24"/>
        </w:rPr>
        <w:t xml:space="preserve"> </w:t>
      </w:r>
      <w:r>
        <w:rPr>
          <w:rFonts w:ascii="仿宋" w:eastAsia="仿宋" w:hAnsi="仿宋" w:cs="仿宋"/>
          <w:spacing w:val="-6"/>
          <w:sz w:val="24"/>
          <w:szCs w:val="24"/>
        </w:rPr>
        <w:t>总经理；</w:t>
      </w:r>
    </w:p>
    <w:p>
      <w:pPr>
        <w:pStyle w:val="BodyText"/>
        <w:spacing w:line="241" w:lineRule="auto"/>
      </w:pPr>
    </w:p>
    <w:p>
      <w:pPr>
        <w:spacing w:before="79" w:line="222" w:lineRule="auto"/>
        <w:ind w:left="498"/>
        <w:rPr>
          <w:rFonts w:ascii="仿宋" w:eastAsia="仿宋" w:hAnsi="仿宋" w:cs="仿宋"/>
          <w:sz w:val="24"/>
          <w:szCs w:val="24"/>
        </w:rPr>
      </w:pPr>
      <w:r>
        <w:rPr>
          <w:rFonts w:ascii="仿宋" w:eastAsia="仿宋" w:hAnsi="仿宋" w:cs="仿宋"/>
          <w:spacing w:val="-5"/>
          <w:sz w:val="24"/>
          <w:szCs w:val="24"/>
        </w:rPr>
        <w:t>b)</w:t>
      </w:r>
      <w:r>
        <w:rPr>
          <w:rFonts w:ascii="仿宋" w:eastAsia="仿宋" w:hAnsi="仿宋" w:cs="仿宋"/>
          <w:spacing w:val="24"/>
          <w:sz w:val="24"/>
          <w:szCs w:val="24"/>
        </w:rPr>
        <w:t xml:space="preserve"> </w:t>
      </w:r>
      <w:r>
        <w:rPr>
          <w:rFonts w:ascii="仿宋" w:eastAsia="仿宋" w:hAnsi="仿宋" w:cs="仿宋"/>
          <w:spacing w:val="-5"/>
          <w:sz w:val="24"/>
          <w:szCs w:val="24"/>
        </w:rPr>
        <w:t>质量部；</w:t>
      </w:r>
    </w:p>
    <w:p>
      <w:pPr>
        <w:spacing w:before="318" w:line="222" w:lineRule="auto"/>
        <w:ind w:left="507"/>
        <w:rPr>
          <w:rFonts w:ascii="仿宋" w:eastAsia="仿宋" w:hAnsi="仿宋" w:cs="仿宋"/>
          <w:sz w:val="24"/>
          <w:szCs w:val="24"/>
        </w:rPr>
      </w:pPr>
      <w:r>
        <w:rPr>
          <w:rFonts w:ascii="仿宋" w:eastAsia="仿宋" w:hAnsi="仿宋" w:cs="仿宋"/>
          <w:spacing w:val="-2"/>
          <w:sz w:val="24"/>
          <w:szCs w:val="24"/>
        </w:rPr>
        <w:t>c）受审核部门；</w:t>
      </w:r>
    </w:p>
    <w:p>
      <w:pPr>
        <w:spacing w:before="312" w:line="371" w:lineRule="auto"/>
        <w:ind w:left="450" w:right="105" w:hanging="416"/>
        <w:rPr>
          <w:rFonts w:ascii="仿宋" w:eastAsia="仿宋" w:hAnsi="仿宋" w:cs="仿宋"/>
          <w:sz w:val="24"/>
          <w:szCs w:val="24"/>
        </w:rPr>
      </w:pPr>
      <w:r>
        <w:rPr>
          <w:rFonts w:ascii="Wingdings" w:eastAsia="Wingdings" w:hAnsi="Wingdings" w:cs="Wingdings"/>
          <w:spacing w:val="-2"/>
          <w:sz w:val="24"/>
          <w:szCs w:val="24"/>
        </w:rPr>
        <w:t xml:space="preserve">l </w:t>
      </w:r>
      <w:r>
        <w:rPr>
          <w:rFonts w:ascii="仿宋" w:eastAsia="仿宋" w:hAnsi="仿宋" w:cs="仿宋"/>
          <w:spacing w:val="-2"/>
          <w:sz w:val="24"/>
          <w:szCs w:val="24"/>
        </w:rPr>
        <w:t>《内审报告》作为管理评审的输入之一。内部审核中产生的全部记录由质量</w:t>
      </w:r>
      <w:r>
        <w:rPr>
          <w:rFonts w:ascii="仿宋" w:eastAsia="仿宋" w:hAnsi="仿宋" w:cs="仿宋"/>
          <w:spacing w:val="-5"/>
          <w:sz w:val="24"/>
          <w:szCs w:val="24"/>
        </w:rPr>
        <w:t>部保存。</w:t>
      </w:r>
    </w:p>
    <w:p>
      <w:pPr>
        <w:spacing w:line="371" w:lineRule="auto"/>
        <w:rPr>
          <w:rFonts w:ascii="仿宋" w:eastAsia="仿宋" w:hAnsi="仿宋" w:cs="仿宋"/>
          <w:sz w:val="24"/>
          <w:szCs w:val="24"/>
        </w:rPr>
        <w:sectPr>
          <w:headerReference w:type="default" r:id="rId11"/>
          <w:footerReference w:type="default" r:id="rId12"/>
          <w:pgSz w:w="11906" w:h="16839"/>
          <w:pgMar w:top="1347" w:right="1693" w:bottom="1362" w:left="1785" w:header="947" w:footer="1111" w:gutter="0"/>
          <w:cols w:num="1" w:space="720"/>
        </w:sectPr>
      </w:pPr>
    </w:p>
    <w:p>
      <w:pPr>
        <w:spacing w:before="215" w:line="222" w:lineRule="auto"/>
        <w:ind w:left="21"/>
        <w:outlineLvl w:val="1"/>
        <w:rPr>
          <w:rFonts w:ascii="仿宋" w:eastAsia="仿宋" w:hAnsi="仿宋" w:cs="仿宋"/>
          <w:sz w:val="24"/>
          <w:szCs w:val="24"/>
        </w:rPr>
      </w:pPr>
      <w:bookmarkStart w:id="9" w:name="bookmark8"/>
      <w:bookmarkEnd w:id="9"/>
      <w:r>
        <w:rPr>
          <w:rFonts w:ascii="仿宋" w:eastAsia="仿宋" w:hAnsi="仿宋" w:cs="仿宋"/>
          <w:b/>
          <w:bCs/>
          <w:spacing w:val="-5"/>
          <w:sz w:val="24"/>
          <w:szCs w:val="24"/>
        </w:rPr>
        <w:t>4.3</w:t>
      </w:r>
      <w:r>
        <w:rPr>
          <w:rFonts w:ascii="仿宋" w:eastAsia="仿宋" w:hAnsi="仿宋" w:cs="仿宋"/>
          <w:spacing w:val="-30"/>
          <w:sz w:val="24"/>
          <w:szCs w:val="24"/>
        </w:rPr>
        <w:t xml:space="preserve"> </w:t>
      </w:r>
      <w:r>
        <w:rPr>
          <w:rFonts w:ascii="仿宋" w:eastAsia="仿宋" w:hAnsi="仿宋" w:cs="仿宋"/>
          <w:b/>
          <w:bCs/>
          <w:spacing w:val="-5"/>
          <w:sz w:val="24"/>
          <w:szCs w:val="24"/>
        </w:rPr>
        <w:t>纠正措施与跟踪实施</w:t>
      </w:r>
    </w:p>
    <w:p>
      <w:pPr>
        <w:spacing w:before="191" w:line="339" w:lineRule="auto"/>
        <w:ind w:left="448" w:right="13" w:hanging="414"/>
        <w:rPr>
          <w:rFonts w:ascii="仿宋" w:eastAsia="仿宋" w:hAnsi="仿宋" w:cs="仿宋"/>
          <w:sz w:val="24"/>
          <w:szCs w:val="24"/>
        </w:rPr>
      </w:pPr>
      <w:r>
        <w:rPr>
          <w:rFonts w:ascii="Wingdings" w:eastAsia="Wingdings" w:hAnsi="Wingdings" w:cs="Wingdings"/>
          <w:spacing w:val="-2"/>
          <w:sz w:val="24"/>
          <w:szCs w:val="24"/>
        </w:rPr>
        <w:t xml:space="preserve">l </w:t>
      </w:r>
      <w:r>
        <w:rPr>
          <w:rFonts w:ascii="仿宋" w:eastAsia="仿宋" w:hAnsi="仿宋" w:cs="仿宋"/>
          <w:spacing w:val="-2"/>
          <w:sz w:val="24"/>
          <w:szCs w:val="24"/>
        </w:rPr>
        <w:t>不符合项的责任部门收到《内审不符合项报告》后，必须尽快调查产生该不符合项的原因，按要求制定纠正措施及预计完成时间记入《内审不符合项报</w:t>
      </w:r>
      <w:r>
        <w:rPr>
          <w:rFonts w:ascii="仿宋" w:eastAsia="仿宋" w:hAnsi="仿宋" w:cs="仿宋"/>
          <w:spacing w:val="-4"/>
          <w:sz w:val="24"/>
          <w:szCs w:val="24"/>
        </w:rPr>
        <w:t>告》，经部门领导审核后提交审核员确认，并得到总经理审批后</w:t>
      </w:r>
      <w:r>
        <w:rPr>
          <w:rFonts w:ascii="仿宋" w:eastAsia="仿宋" w:hAnsi="仿宋" w:cs="仿宋"/>
          <w:spacing w:val="-5"/>
          <w:sz w:val="24"/>
          <w:szCs w:val="24"/>
        </w:rPr>
        <w:t>完成纠正实</w:t>
      </w:r>
      <w:r>
        <w:rPr>
          <w:rFonts w:ascii="仿宋" w:eastAsia="仿宋" w:hAnsi="仿宋" w:cs="仿宋"/>
          <w:spacing w:val="-4"/>
          <w:sz w:val="24"/>
          <w:szCs w:val="24"/>
        </w:rPr>
        <w:t>施工作。</w:t>
      </w:r>
    </w:p>
    <w:p>
      <w:pPr>
        <w:spacing w:before="194" w:line="302" w:lineRule="auto"/>
        <w:ind w:left="447" w:right="13" w:hanging="413"/>
        <w:rPr>
          <w:rFonts w:ascii="仿宋" w:eastAsia="仿宋" w:hAnsi="仿宋" w:cs="仿宋"/>
          <w:sz w:val="24"/>
          <w:szCs w:val="24"/>
        </w:rPr>
      </w:pPr>
      <w:r>
        <w:rPr>
          <w:rFonts w:ascii="Wingdings" w:eastAsia="Wingdings" w:hAnsi="Wingdings" w:cs="Wingdings"/>
          <w:spacing w:val="-2"/>
          <w:sz w:val="24"/>
          <w:szCs w:val="24"/>
        </w:rPr>
        <w:t xml:space="preserve">l </w:t>
      </w:r>
      <w:r>
        <w:rPr>
          <w:rFonts w:ascii="仿宋" w:eastAsia="仿宋" w:hAnsi="仿宋" w:cs="仿宋"/>
          <w:spacing w:val="-2"/>
          <w:sz w:val="24"/>
          <w:szCs w:val="24"/>
        </w:rPr>
        <w:t>不符合项的责任部门按制定的完成计划和纠正措施认真实施，并将实施结果</w:t>
      </w:r>
      <w:r>
        <w:rPr>
          <w:rFonts w:ascii="仿宋" w:eastAsia="仿宋" w:hAnsi="仿宋" w:cs="仿宋"/>
          <w:spacing w:val="-8"/>
          <w:sz w:val="24"/>
          <w:szCs w:val="24"/>
        </w:rPr>
        <w:t>记入《内审不符合项报告》。</w:t>
      </w:r>
    </w:p>
    <w:p>
      <w:pPr>
        <w:spacing w:before="191" w:line="302" w:lineRule="auto"/>
        <w:ind w:left="468" w:right="13" w:hanging="434"/>
        <w:rPr>
          <w:rFonts w:ascii="仿宋" w:eastAsia="仿宋" w:hAnsi="仿宋" w:cs="仿宋"/>
          <w:sz w:val="24"/>
          <w:szCs w:val="24"/>
        </w:rPr>
      </w:pPr>
      <w:r>
        <w:rPr>
          <w:rFonts w:ascii="Wingdings" w:eastAsia="Wingdings" w:hAnsi="Wingdings" w:cs="Wingdings"/>
          <w:spacing w:val="-2"/>
          <w:sz w:val="24"/>
          <w:szCs w:val="24"/>
        </w:rPr>
        <w:t xml:space="preserve">l </w:t>
      </w:r>
      <w:r>
        <w:rPr>
          <w:rFonts w:ascii="仿宋" w:eastAsia="仿宋" w:hAnsi="仿宋" w:cs="仿宋"/>
          <w:spacing w:val="-2"/>
          <w:sz w:val="24"/>
          <w:szCs w:val="24"/>
        </w:rPr>
        <w:t>审核组根据纠正措施的实施计划跟踪并验证其有效性，将检查结果记入《内</w:t>
      </w:r>
      <w:r>
        <w:rPr>
          <w:rFonts w:ascii="仿宋" w:eastAsia="仿宋" w:hAnsi="仿宋" w:cs="仿宋"/>
          <w:spacing w:val="-14"/>
          <w:sz w:val="24"/>
          <w:szCs w:val="24"/>
        </w:rPr>
        <w:t>审不符合项报告》。</w:t>
      </w:r>
    </w:p>
    <w:p>
      <w:pPr>
        <w:spacing w:before="202" w:line="222" w:lineRule="auto"/>
        <w:ind w:left="27"/>
        <w:outlineLvl w:val="0"/>
        <w:rPr>
          <w:rFonts w:ascii="仿宋" w:eastAsia="仿宋" w:hAnsi="仿宋" w:cs="仿宋"/>
          <w:sz w:val="24"/>
          <w:szCs w:val="24"/>
        </w:rPr>
      </w:pPr>
      <w:bookmarkStart w:id="10" w:name="bookmark9"/>
      <w:bookmarkEnd w:id="10"/>
      <w:r>
        <w:rPr>
          <w:rFonts w:ascii="仿宋" w:eastAsia="仿宋" w:hAnsi="仿宋" w:cs="仿宋"/>
          <w:b/>
          <w:bCs/>
          <w:spacing w:val="-7"/>
          <w:sz w:val="24"/>
          <w:szCs w:val="24"/>
        </w:rPr>
        <w:t>5.</w:t>
      </w:r>
      <w:r>
        <w:rPr>
          <w:rFonts w:ascii="仿宋" w:eastAsia="仿宋" w:hAnsi="仿宋" w:cs="仿宋"/>
          <w:spacing w:val="87"/>
          <w:sz w:val="24"/>
          <w:szCs w:val="24"/>
        </w:rPr>
        <w:t xml:space="preserve"> </w:t>
      </w:r>
      <w:r>
        <w:rPr>
          <w:rFonts w:ascii="仿宋" w:eastAsia="仿宋" w:hAnsi="仿宋" w:cs="仿宋"/>
          <w:b/>
          <w:bCs/>
          <w:spacing w:val="-7"/>
          <w:sz w:val="24"/>
          <w:szCs w:val="24"/>
        </w:rPr>
        <w:t>相关文件</w:t>
      </w:r>
    </w:p>
    <w:p>
      <w:pPr>
        <w:pStyle w:val="BodyText"/>
        <w:spacing w:line="242" w:lineRule="auto"/>
      </w:pPr>
    </w:p>
    <w:p>
      <w:pPr>
        <w:spacing w:before="79" w:line="222" w:lineRule="auto"/>
        <w:ind w:left="509"/>
        <w:rPr>
          <w:rFonts w:ascii="仿宋" w:eastAsia="仿宋" w:hAnsi="仿宋" w:cs="仿宋"/>
          <w:sz w:val="24"/>
          <w:szCs w:val="24"/>
        </w:rPr>
      </w:pPr>
      <w:r>
        <w:rPr>
          <w:rFonts w:ascii="仿宋" w:eastAsia="仿宋" w:hAnsi="仿宋" w:cs="仿宋"/>
          <w:spacing w:val="-3"/>
          <w:sz w:val="24"/>
          <w:szCs w:val="24"/>
        </w:rPr>
        <w:t>《内审计划》</w:t>
      </w:r>
    </w:p>
    <w:p>
      <w:pPr>
        <w:pStyle w:val="BodyText"/>
        <w:spacing w:line="241" w:lineRule="auto"/>
      </w:pPr>
    </w:p>
    <w:p>
      <w:pPr>
        <w:spacing w:before="78" w:line="220" w:lineRule="auto"/>
        <w:ind w:left="509"/>
        <w:rPr>
          <w:rFonts w:ascii="仿宋" w:eastAsia="仿宋" w:hAnsi="仿宋" w:cs="仿宋"/>
          <w:sz w:val="24"/>
          <w:szCs w:val="24"/>
        </w:rPr>
      </w:pPr>
      <w:r>
        <w:rPr>
          <w:rFonts w:ascii="仿宋" w:eastAsia="仿宋" w:hAnsi="仿宋" w:cs="仿宋"/>
          <w:spacing w:val="-3"/>
          <w:sz w:val="24"/>
          <w:szCs w:val="24"/>
        </w:rPr>
        <w:t>《内审检查表》</w:t>
      </w:r>
    </w:p>
    <w:p>
      <w:pPr>
        <w:pStyle w:val="BodyText"/>
        <w:spacing w:line="241" w:lineRule="auto"/>
      </w:pPr>
    </w:p>
    <w:p>
      <w:pPr>
        <w:spacing w:before="79" w:line="222" w:lineRule="auto"/>
        <w:ind w:left="509"/>
        <w:rPr>
          <w:rFonts w:ascii="仿宋" w:eastAsia="仿宋" w:hAnsi="仿宋" w:cs="仿宋"/>
          <w:sz w:val="24"/>
          <w:szCs w:val="24"/>
        </w:rPr>
      </w:pPr>
      <w:r>
        <w:rPr>
          <w:rFonts w:ascii="仿宋" w:eastAsia="仿宋" w:hAnsi="仿宋" w:cs="仿宋"/>
          <w:spacing w:val="-3"/>
          <w:sz w:val="24"/>
          <w:szCs w:val="24"/>
        </w:rPr>
        <w:t>《内审报告》</w:t>
      </w:r>
    </w:p>
    <w:p>
      <w:pPr>
        <w:pStyle w:val="BodyText"/>
      </w:pPr>
    </w:p>
    <w:p>
      <w:pPr>
        <w:spacing w:before="79" w:line="221" w:lineRule="auto"/>
        <w:ind w:left="509"/>
        <w:rPr>
          <w:rFonts w:ascii="仿宋" w:eastAsia="仿宋" w:hAnsi="仿宋" w:cs="仿宋"/>
          <w:sz w:val="24"/>
          <w:szCs w:val="24"/>
        </w:rPr>
      </w:pPr>
      <w:r>
        <w:rPr>
          <w:rFonts w:ascii="仿宋" w:eastAsia="仿宋" w:hAnsi="仿宋" w:cs="仿宋"/>
          <w:spacing w:val="-2"/>
          <w:sz w:val="24"/>
          <w:szCs w:val="24"/>
        </w:rPr>
        <w:t>《内审不符合项报告》</w:t>
      </w:r>
    </w:p>
    <w:sectPr>
      <w:headerReference w:type="default" r:id="rId13"/>
      <w:footerReference w:type="default" r:id="rId14"/>
      <w:pgSz w:w="11906" w:h="16839"/>
      <w:pgMar w:top="1347" w:right="1785" w:bottom="1362" w:left="1785" w:header="947" w:footer="1112"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85" w:line="169" w:lineRule="auto"/>
      <w:ind w:left="4135"/>
      <w:rPr>
        <w:rFonts w:ascii="Calibri" w:eastAsia="Calibri" w:hAnsi="Calibri" w:cs="Calibri"/>
        <w:sz w:val="18"/>
        <w:szCs w:val="18"/>
      </w:rPr>
    </w:pPr>
    <w:r>
      <w:pict>
        <v:shape id="_x0000_s2052" o:spid="_x0000_s2052" style="height:0.5pt;margin-left:90pt;margin-top:773.8pt;mso-height-relative:page;mso-position-horizontal-relative:page;mso-position-vertical-relative:page;mso-width-relative:page;position:absolute;width:415.3pt;z-index:251663360" coordsize="8305,10" o:allowincell="f" path="m,l8305,,8305,9,,9,,xe" filled="t" fillcolor="black"/>
      </w:pict>
    </w:r>
    <w:r>
      <w:rPr>
        <w:rFonts w:ascii="Calibri" w:eastAsia="Calibri" w:hAnsi="Calibri" w:cs="Calibri"/>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84" w:line="170" w:lineRule="auto"/>
      <w:ind w:left="4130"/>
      <w:rPr>
        <w:rFonts w:ascii="Calibri" w:eastAsia="Calibri" w:hAnsi="Calibri" w:cs="Calibri"/>
        <w:sz w:val="18"/>
        <w:szCs w:val="18"/>
      </w:rPr>
    </w:pPr>
    <w:r>
      <w:pict>
        <v:shape id="_x0000_s2054" o:spid="_x0000_s2054" style="height:0.5pt;margin-left:90pt;margin-top:773.8pt;mso-height-relative:page;mso-position-horizontal-relative:page;mso-position-vertical-relative:page;mso-width-relative:page;position:absolute;width:415.3pt;z-index:251665408" coordsize="8305,10" o:allowincell="f" path="m,l8305,,8305,9,,9,,xe" filled="t" fillcolor="black"/>
      </w:pict>
    </w:r>
    <w:r>
      <w:rPr>
        <w:rFonts w:ascii="Calibri" w:eastAsia="Calibri" w:hAnsi="Calibri" w:cs="Calibri"/>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84" w:line="170" w:lineRule="auto"/>
      <w:ind w:left="4129"/>
      <w:rPr>
        <w:rFonts w:ascii="Calibri" w:eastAsia="Calibri" w:hAnsi="Calibri" w:cs="Calibri"/>
        <w:sz w:val="18"/>
        <w:szCs w:val="18"/>
      </w:rPr>
    </w:pPr>
    <w:r>
      <w:pict>
        <v:shape id="_x0000_s2056" o:spid="_x0000_s2056" style="height:0.5pt;margin-left:90pt;margin-top:773.8pt;mso-height-relative:page;mso-position-horizontal-relative:page;mso-position-vertical-relative:page;mso-width-relative:page;position:absolute;width:415.3pt;z-index:251666432" coordsize="8305,10" o:allowincell="f" path="m,l8305,,8305,9,,9,,xe" filled="t" fillcolor="black"/>
      </w:pict>
    </w:r>
    <w:r>
      <w:rPr>
        <w:rFonts w:ascii="Calibri" w:eastAsia="Calibri" w:hAnsi="Calibri" w:cs="Calibri"/>
        <w:sz w:val="18"/>
        <w:szCs w:val="18"/>
      </w:rPr>
      <w:t>3</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r>
      <w:drawing>
        <wp:anchor distT="0" distB="0" distL="114300" distR="114300" simplePos="0" relativeHeight="251658240" behindDoc="1" locked="0" layoutInCell="1" allowOverlap="1">
          <wp:simplePos x="0" y="0"/>
          <wp:positionH relativeFrom="column">
            <wp:posOffset>3075940</wp:posOffset>
          </wp:positionH>
          <wp:positionV relativeFrom="paragraph">
            <wp:posOffset>1085850</wp:posOffset>
          </wp:positionV>
          <wp:extent cx="7729855" cy="11254105"/>
          <wp:effectExtent l="0" t="0" r="4445" b="4445"/>
          <wp:wrapNone/>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xmlns:r="http://schemas.openxmlformats.org/officeDocument/2006/relationships" r:embed="rId1"/>
                  <a:stretch>
                    <a:fillRect/>
                  </a:stretch>
                </pic:blipFill>
                <pic:spPr>
                  <a:xfrm>
                    <a:off x="0" y="0"/>
                    <a:ext cx="7729855" cy="11254105"/>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7" w:line="222" w:lineRule="auto"/>
      <w:ind w:left="6706"/>
      <w:rPr>
        <w:rFonts w:ascii="仿宋" w:eastAsia="仿宋" w:hAnsi="仿宋" w:cs="仿宋"/>
        <w:sz w:val="22"/>
        <w:szCs w:val="22"/>
      </w:rPr>
    </w:pPr>
    <w:r>
      <w:pict>
        <v:shape id="_x0000_s2049" o:spid="_x0000_s2049" style="height:0.75pt;margin-left:90pt;margin-top:63.8pt;mso-height-relative:page;mso-position-horizontal-relative:page;mso-position-vertical-relative:page;mso-width-relative:page;position:absolute;width:415.3pt;z-index:251659264" coordsize="8305,15" o:allowincell="f" path="m,l8305,,8305,14,,14,,xe" filled="t" fillcolor="black"/>
      </w:pict>
    </w:r>
    <w:r>
      <w:rPr>
        <w:rFonts w:ascii="仿宋" w:eastAsia="仿宋" w:hAnsi="仿宋" w:cs="仿宋"/>
        <w:spacing w:val="-5"/>
        <w:sz w:val="22"/>
        <w:szCs w:val="22"/>
      </w:rPr>
      <w:t>内部审核管理制度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7" w:line="222" w:lineRule="auto"/>
      <w:ind w:right="13"/>
      <w:jc w:val="right"/>
      <w:rPr>
        <w:rFonts w:ascii="仿宋" w:eastAsia="仿宋" w:hAnsi="仿宋" w:cs="仿宋"/>
        <w:sz w:val="22"/>
        <w:szCs w:val="22"/>
      </w:rPr>
    </w:pPr>
    <w:r>
      <w:pict>
        <v:shape id="_x0000_s2050" o:spid="_x0000_s2050" style="height:0.75pt;margin-left:90pt;margin-top:63.8pt;mso-height-relative:page;mso-position-horizontal-relative:page;mso-position-vertical-relative:page;mso-width-relative:page;position:absolute;width:415.3pt;z-index:251660288" coordsize="8305,15" o:allowincell="f" path="m,l8305,,8305,14,,14,,xe" filled="t" fillcolor="black"/>
      </w:pict>
    </w:r>
    <w:r>
      <w:rPr>
        <w:rFonts w:ascii="仿宋" w:eastAsia="仿宋" w:hAnsi="仿宋" w:cs="仿宋"/>
        <w:spacing w:val="-5"/>
        <w:sz w:val="22"/>
        <w:szCs w:val="22"/>
      </w:rPr>
      <w:t>内部审核管理制度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7" w:line="222" w:lineRule="auto"/>
      <w:ind w:left="6600"/>
      <w:rPr>
        <w:rFonts w:ascii="仿宋" w:eastAsia="仿宋" w:hAnsi="仿宋" w:cs="仿宋"/>
        <w:sz w:val="22"/>
        <w:szCs w:val="22"/>
      </w:rPr>
    </w:pPr>
    <w:r>
      <w:pict>
        <v:shape id="_x0000_s2051" o:spid="_x0000_s2051" style="height:0.75pt;margin-left:90pt;margin-top:63.8pt;mso-height-relative:page;mso-position-horizontal-relative:page;mso-position-vertical-relative:page;mso-width-relative:page;position:absolute;width:415.3pt;z-index:251662336" coordsize="8305,15" o:allowincell="f" path="m,l8305,,8305,14,,14,,xe" filled="t" fillcolor="black"/>
      </w:pict>
    </w:r>
    <w:r>
      <w:rPr>
        <w:rFonts w:ascii="仿宋" w:eastAsia="仿宋" w:hAnsi="仿宋" w:cs="仿宋"/>
        <w:spacing w:val="-5"/>
        <w:sz w:val="22"/>
        <w:szCs w:val="22"/>
      </w:rPr>
      <w:t>内部审核管理制度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7" w:line="222" w:lineRule="auto"/>
      <w:ind w:left="6600"/>
      <w:rPr>
        <w:rFonts w:ascii="仿宋" w:eastAsia="仿宋" w:hAnsi="仿宋" w:cs="仿宋"/>
        <w:sz w:val="22"/>
        <w:szCs w:val="22"/>
      </w:rPr>
    </w:pPr>
    <w:r>
      <w:pict>
        <v:shape id="_x0000_s2053" o:spid="_x0000_s2053" style="height:0.75pt;margin-left:90pt;margin-top:63.8pt;mso-height-relative:page;mso-position-horizontal-relative:page;mso-position-vertical-relative:page;mso-width-relative:page;position:absolute;width:415.3pt;z-index:251664384" coordsize="8305,15" o:allowincell="f" path="m,l8305,,8305,14,,14,,xe" filled="t" fillcolor="black"/>
      </w:pict>
    </w:r>
    <w:r>
      <w:rPr>
        <w:rFonts w:ascii="仿宋" w:eastAsia="仿宋" w:hAnsi="仿宋" w:cs="仿宋"/>
        <w:spacing w:val="-5"/>
        <w:sz w:val="22"/>
        <w:szCs w:val="22"/>
      </w:rPr>
      <w:t>内部审核管理制度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7" w:line="222" w:lineRule="auto"/>
      <w:ind w:right="13"/>
      <w:jc w:val="right"/>
      <w:rPr>
        <w:rFonts w:ascii="仿宋" w:eastAsia="仿宋" w:hAnsi="仿宋" w:cs="仿宋"/>
        <w:sz w:val="22"/>
        <w:szCs w:val="22"/>
      </w:rPr>
    </w:pPr>
    <w:r>
      <w:pict>
        <v:shape id="_x0000_s2055" o:spid="_x0000_s2055" style="height:0.75pt;margin-left:90pt;margin-top:63.8pt;mso-height-relative:page;mso-position-horizontal-relative:page;mso-position-vertical-relative:page;mso-width-relative:page;position:absolute;width:415.3pt;z-index:251661312" coordsize="8305,15" o:allowincell="f" path="m,l8305,,8305,14,,14,,xe" filled="t" fillcolor="black"/>
      </w:pict>
    </w:r>
    <w:r>
      <w:rPr>
        <w:rFonts w:ascii="仿宋" w:eastAsia="仿宋" w:hAnsi="仿宋" w:cs="仿宋"/>
        <w:spacing w:val="-5"/>
        <w:sz w:val="22"/>
        <w:szCs w:val="22"/>
      </w:rPr>
      <w:t>内部审核管理制度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isplayBackgroundShape/>
  <w:doNotTrackMoves/>
  <w:defaultTabStop w:val="720"/>
  <w:characterSpacingControl w:val="doNotCompress"/>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rPr>
    </w:rPrDefault>
    <w:pPrDefault/>
  </w:docDefaults>
  <w:latentStyles w:defLockedState="0" w:defUIPriority="99" w:defSemiHidden="1" w:defUnhideWhenUsed="1" w:defQFormat="0" w:count="260">
    <w:lsdException w:name="Normal"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uiPriority="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semiHidden/>
    <w:qFormat/>
    <w:pPr>
      <w:kinsoku w:val="0"/>
      <w:autoSpaceDE w:val="0"/>
      <w:autoSpaceDN w:val="0"/>
      <w:adjustRightInd w:val="0"/>
      <w:snapToGrid w:val="0"/>
      <w:spacing w:after="200" w:line="240" w:lineRule="auto"/>
      <w:jc w:val="left"/>
      <w:textAlignment w:val="baseline"/>
    </w:pPr>
    <w:rPr>
      <w:rFonts w:ascii="Arial" w:eastAsia="Arial" w:hAnsi="Arial" w:cs="Arial"/>
      <w:snapToGrid w:val="0"/>
      <w:color w:val="000000"/>
      <w:kern w:val="0"/>
      <w:sz w:val="21"/>
      <w:szCs w:val="21"/>
      <w:lang w:val="en-US" w:eastAsia="en-US"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BodyText">
    <w:name w:val="Body Text"/>
    <w:basedOn w:val="Normal"/>
    <w:semiHidden/>
    <w:qFormat/>
    <w:rPr>
      <w:rFonts w:ascii="Arial" w:eastAsia="Arial" w:hAnsi="Arial" w:cs="Arial"/>
      <w:sz w:val="21"/>
      <w:szCs w:val="21"/>
      <w:lang w:val="en-US" w:eastAsia="en-US" w:bidi="ar-SA"/>
    </w:rPr>
  </w:style>
  <w:style w:type="paragraph" w:styleId="Footer">
    <w:name w:val="footer"/>
    <w:basedOn w:val="Normal"/>
    <w:uiPriority w:val="99"/>
    <w:semiHidden/>
    <w:unhideWhenUsed/>
    <w:pPr>
      <w:tabs>
        <w:tab w:val="center" w:pos="4153"/>
        <w:tab w:val="right" w:pos="8306"/>
      </w:tabs>
      <w:snapToGrid w:val="0"/>
      <w:jc w:val="left"/>
    </w:pPr>
    <w:rPr>
      <w:sz w:val="18"/>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Arial" w:eastAsia="Arial" w:hAnsi="Arial" w:cs="Arial"/>
      <w:sz w:val="21"/>
      <w:szCs w:val="21"/>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header" Target="header5.xml" /><Relationship Id="rId12" Type="http://schemas.openxmlformats.org/officeDocument/2006/relationships/footer" Target="footer2.xml" /><Relationship Id="rId13" Type="http://schemas.openxmlformats.org/officeDocument/2006/relationships/header" Target="header6.xml" /><Relationship Id="rId14" Type="http://schemas.openxmlformats.org/officeDocument/2006/relationships/footer" Target="footer3.xm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header" Target="header3.xml" /><Relationship Id="rId9" Type="http://schemas.openxmlformats.org/officeDocument/2006/relationships/header" Target="header4.xml" /></Relationships>
</file>

<file path=word/_rels/header1.xml.rels>&#65279;<?xml version="1.0" encoding="utf-8" standalone="yes"?><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8</Pages>
  <Words>1415</Words>
  <Characters>1487</Characters>
  <Application>Microsoft Office Word</Application>
  <DocSecurity>0</DocSecurity>
  <Lines>0</Lines>
  <Paragraphs>0</Paragraphs>
  <ScaleCrop>false</ScaleCrop>
  <Company/>
  <LinksUpToDate>false</LinksUpToDate>
  <CharactersWithSpaces>1625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文件密级：内部使用</dc:title>
  <dc:creator>libo</dc:creator>
  <cp:lastModifiedBy>高</cp:lastModifiedBy>
  <cp:revision>0</cp:revision>
  <dcterms:created xsi:type="dcterms:W3CDTF">2024-06-17T09:02:00Z</dcterms:created>
  <dcterms:modified xsi:type="dcterms:W3CDTF">2025-11-27T08:39:22Z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2025-11-26T23:11:29Z</vt:filetime>
  </property>
  <property fmtid="{D5CDD505-2E9C-101B-9397-08002B2CF9AE}" pid="3" name="CRO">
    <vt:lpwstr>wqlLaW5nc29mdCBQREYgdG8gV1BTIDExNQ</vt:lpwstr>
  </property>
  <property fmtid="{D5CDD505-2E9C-101B-9397-08002B2CF9AE}" pid="4" name="ICV">
    <vt:lpwstr>2786698199714516A5C4FD7C0ABFEDE0_12</vt:lpwstr>
  </property>
  <property fmtid="{D5CDD505-2E9C-101B-9397-08002B2CF9AE}" pid="5" name="KSOProductBuildVer">
    <vt:lpwstr>2052-12.1.0.24034</vt:lpwstr>
  </property>
  <property fmtid="{D5CDD505-2E9C-101B-9397-08002B2CF9AE}" pid="6" name="KSOTemplateDocerSaveRecord">
    <vt:lpwstr>eyJoZGlkIjoiYjNkMjBiZWMwOTdhZGQ2MWQ5ZDY4YmViMWU1MzUxNjMiLCJ1c2VySWQiOiIxNTUxODc1Nzk4In0=</vt:lpwstr>
  </property>
</Properties>
</file>