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5" type="#_x0000_t75" style="height:886.15pt;margin-left:-92.85pt;margin-top:-90.6pt;mso-height-relative:page;mso-width-relative:page;position:absolute;width:608.65pt;z-index:-251658240" coordsize="21600,21600" o:preferrelative="t" filled="f" stroked="f">
            <v:stroke joinstyle="miter"/>
            <v:imagedata r:id="rId6" o:title=""/>
            <o:lock v:ext="edit" aspectratio="t"/>
          </v:shape>
        </w:pict>
      </w:r>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运维服务质量管理制度</w:t>
      </w:r>
    </w:p>
    <w:p>
      <w:pPr>
        <w:spacing w:after="163" w:afterLines="50"/>
        <w:jc w:val="center"/>
        <w:rPr>
          <w:b/>
          <w:sz w:val="48"/>
          <w:szCs w:val="48"/>
        </w:rPr>
      </w:pPr>
    </w:p>
    <w:p>
      <w:pPr>
        <w:spacing w:after="163" w:afterLines="50"/>
        <w:jc w:val="center"/>
        <w:rPr>
          <w:b/>
          <w:sz w:val="48"/>
          <w:szCs w:val="48"/>
        </w:rPr>
      </w:pPr>
    </w:p>
    <w:p>
      <w:pPr>
        <w:spacing w:after="163"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8</w:t>
      </w:r>
      <w:r>
        <w:rPr>
          <w:rFonts w:ascii="宋体" w:hAnsi="宋体" w:cs="宋体" w:hint="eastAsia"/>
          <w:b/>
          <w:bCs/>
          <w:sz w:val="36"/>
          <w:szCs w:val="36"/>
        </w:rPr>
        <w:t>-0</w:t>
      </w:r>
      <w:r>
        <w:rPr>
          <w:rFonts w:ascii="宋体" w:hAnsi="宋体" w:cs="宋体"/>
          <w:b/>
          <w:bCs/>
          <w:sz w:val="36"/>
          <w:szCs w:val="36"/>
        </w:rPr>
        <w:t>1</w:t>
      </w:r>
    </w:p>
    <w:p>
      <w:pPr>
        <w:spacing w:after="163" w:afterLines="50"/>
        <w:ind w:firstLine="720"/>
        <w:rPr>
          <w:sz w:val="36"/>
          <w:szCs w:val="36"/>
        </w:rPr>
      </w:pPr>
    </w:p>
    <w:p>
      <w:pPr>
        <w:spacing w:after="163" w:afterLines="50"/>
        <w:ind w:firstLine="72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刘文慧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26" w:beforeLines="100" w:after="326" w:afterLines="100"/>
        <w:ind w:firstLine="720"/>
        <w:jc w:val="center"/>
        <w:rPr>
          <w:rFonts w:ascii="微软雅黑" w:eastAsia="微软雅黑" w:hAnsi="微软雅黑"/>
          <w:sz w:val="36"/>
          <w:szCs w:val="36"/>
        </w:rPr>
      </w:pPr>
    </w:p>
    <w:p>
      <w:pPr>
        <w:tabs>
          <w:tab w:val="left" w:pos="0"/>
        </w:tabs>
        <w:spacing w:before="326" w:beforeLines="100" w:after="326"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412"/>
        <w:gridCol w:w="1413"/>
        <w:gridCol w:w="1413"/>
        <w:gridCol w:w="1413"/>
        <w:gridCol w:w="1532"/>
        <w:gridCol w:w="1532"/>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8"/>
              <w:spacing w:line="240" w:lineRule="auto"/>
              <w:rPr>
                <w:rFonts w:ascii="微软雅黑" w:eastAsia="微软雅黑" w:cs="Arial"/>
              </w:rPr>
            </w:pPr>
            <w:r>
              <w:rPr>
                <w:rFonts w:ascii="微软雅黑" w:eastAsia="微软雅黑" w:cs="Arial" w:hint="eastAsia"/>
              </w:rPr>
              <w:t>版本</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新建/修改</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拟制人</w:t>
            </w:r>
          </w:p>
        </w:tc>
        <w:tc>
          <w:tcPr>
            <w:tcW w:w="810" w:type="pct"/>
            <w:vAlign w:val="center"/>
          </w:tcPr>
          <w:p>
            <w:pPr>
              <w:pStyle w:val="a8"/>
              <w:spacing w:line="240" w:lineRule="auto"/>
              <w:rPr>
                <w:rFonts w:ascii="微软雅黑" w:eastAsia="微软雅黑" w:cs="Arial"/>
              </w:rPr>
            </w:pPr>
            <w:r>
              <w:rPr>
                <w:rFonts w:ascii="微软雅黑" w:eastAsia="微软雅黑" w:cs="Arial" w:hint="eastAsia"/>
              </w:rPr>
              <w:t>审核人</w:t>
            </w:r>
          </w:p>
        </w:tc>
        <w:tc>
          <w:tcPr>
            <w:tcW w:w="878" w:type="pct"/>
            <w:vAlign w:val="center"/>
          </w:tcPr>
          <w:p>
            <w:pPr>
              <w:pStyle w:val="a8"/>
              <w:spacing w:line="240" w:lineRule="auto"/>
              <w:rPr>
                <w:rFonts w:ascii="微软雅黑" w:eastAsia="微软雅黑" w:cs="Arial"/>
              </w:rPr>
            </w:pPr>
            <w:r>
              <w:rPr>
                <w:rFonts w:ascii="微软雅黑" w:eastAsia="微软雅黑" w:cs="Arial" w:hint="eastAsia"/>
              </w:rPr>
              <w:t>批准人</w:t>
            </w:r>
          </w:p>
        </w:tc>
        <w:tc>
          <w:tcPr>
            <w:tcW w:w="878" w:type="pct"/>
            <w:vAlign w:val="center"/>
          </w:tcPr>
          <w:p>
            <w:pPr>
              <w:pStyle w:val="a8"/>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v1.0</w:t>
            </w:r>
          </w:p>
        </w:tc>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新建</w:t>
            </w:r>
          </w:p>
        </w:tc>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刘文慧</w:t>
            </w:r>
          </w:p>
        </w:tc>
        <w:tc>
          <w:tcPr>
            <w:tcW w:w="810" w:type="pct"/>
            <w:vAlign w:val="center"/>
          </w:tcPr>
          <w:p>
            <w:pPr>
              <w:pStyle w:val="a9"/>
              <w:spacing w:line="240" w:lineRule="auto"/>
              <w:rPr>
                <w:rFonts w:ascii="微软雅黑" w:eastAsia="微软雅黑" w:hAnsi="微软雅黑"/>
              </w:rPr>
            </w:pPr>
            <w:r>
              <w:rPr>
                <w:rFonts w:ascii="微软雅黑" w:eastAsia="微软雅黑" w:hAnsi="微软雅黑" w:hint="eastAsia"/>
              </w:rPr>
              <w:t>兰伟东</w:t>
            </w:r>
          </w:p>
        </w:tc>
        <w:tc>
          <w:tcPr>
            <w:tcW w:w="878" w:type="pct"/>
            <w:vAlign w:val="center"/>
          </w:tcPr>
          <w:p>
            <w:pPr>
              <w:pStyle w:val="a9"/>
              <w:spacing w:line="240" w:lineRule="auto"/>
              <w:rPr>
                <w:rFonts w:ascii="微软雅黑" w:eastAsia="微软雅黑" w:hAnsi="微软雅黑"/>
              </w:rPr>
            </w:pPr>
            <w:r>
              <w:rPr>
                <w:rFonts w:ascii="微软雅黑" w:eastAsia="微软雅黑" w:hAnsi="微软雅黑" w:hint="eastAsia"/>
              </w:rPr>
              <w:t>黄益溪</w:t>
            </w:r>
          </w:p>
        </w:tc>
        <w:tc>
          <w:tcPr>
            <w:tcW w:w="878" w:type="pct"/>
            <w:vAlign w:val="center"/>
          </w:tcPr>
          <w:p>
            <w:pPr>
              <w:pStyle w:val="a9"/>
              <w:spacing w:line="240" w:lineRule="auto"/>
              <w:rPr>
                <w:rFonts w:ascii="微软雅黑" w:eastAsia="微软雅黑" w:hAnsi="微软雅黑"/>
              </w:rPr>
            </w:pPr>
            <w:r>
              <w:rPr>
                <w:rFonts w:ascii="微软雅黑" w:eastAsia="微软雅黑" w:hAnsi="微软雅黑"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10"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c>
          <w:tcPr>
            <w:tcW w:w="878" w:type="pct"/>
            <w:vAlign w:val="center"/>
          </w:tcPr>
          <w:p>
            <w:pPr>
              <w:pStyle w:val="a9"/>
              <w:ind w:firstLine="420"/>
              <w:rPr>
                <w:rFonts w:ascii="微软雅黑" w:eastAsia="微软雅黑" w:hAnsi="微软雅黑"/>
              </w:rPr>
            </w:pPr>
          </w:p>
        </w:tc>
      </w:tr>
    </w:tbl>
    <w:p>
      <w:pPr>
        <w:widowControl/>
        <w:spacing w:line="360" w:lineRule="auto"/>
        <w:jc w:val="left"/>
        <w:rPr>
          <w:rFonts w:ascii="宋体"/>
          <w:sz w:val="24"/>
          <w:szCs w:val="24"/>
        </w:rPr>
        <w:sectPr>
          <w:headerReference w:type="default" r:id="rId7"/>
          <w:pgSz w:w="11906" w:h="16838"/>
          <w:pgMar w:top="1418" w:right="1701" w:bottom="1418" w:left="1701" w:header="851" w:footer="964" w:gutter="0"/>
          <w:pgNumType w:start="1"/>
          <w:cols w:num="1" w:space="720"/>
          <w:docGrid w:type="linesAndChars" w:linePitch="326" w:charSpace="5370"/>
        </w:sectPr>
      </w:pPr>
    </w:p>
    <w:p>
      <w:pPr>
        <w:pStyle w:val="TOC20"/>
        <w:spacing w:line="360" w:lineRule="auto"/>
        <w:jc w:val="center"/>
        <w:rPr>
          <w:rFonts w:ascii="仿宋" w:eastAsia="仿宋" w:hAnsi="仿宋"/>
          <w:b/>
          <w:bCs/>
          <w:color w:val="auto"/>
          <w:sz w:val="28"/>
          <w:szCs w:val="28"/>
        </w:rPr>
      </w:pPr>
      <w:bookmarkStart w:id="0" w:name="_Toc433010067"/>
      <w:bookmarkStart w:id="1" w:name="_Toc7297_WPSOffice_Level1"/>
      <w:r>
        <w:rPr>
          <w:rFonts w:ascii="仿宋" w:eastAsia="仿宋" w:hAnsi="仿宋"/>
          <w:b/>
          <w:bCs/>
          <w:color w:val="auto"/>
          <w:sz w:val="28"/>
          <w:szCs w:val="28"/>
          <w:lang w:val="zh-CN"/>
        </w:rPr>
        <w:t>目</w:t>
      </w:r>
      <w:r>
        <w:rPr>
          <w:rFonts w:ascii="仿宋" w:eastAsia="仿宋" w:hAnsi="仿宋" w:hint="eastAsia"/>
          <w:b/>
          <w:bCs/>
          <w:color w:val="auto"/>
          <w:sz w:val="28"/>
          <w:szCs w:val="28"/>
          <w:lang w:val="zh-CN"/>
        </w:rPr>
        <w:t xml:space="preserve">  </w:t>
      </w:r>
      <w:r>
        <w:rPr>
          <w:rFonts w:ascii="仿宋" w:eastAsia="仿宋" w:hAnsi="仿宋"/>
          <w:b/>
          <w:bCs/>
          <w:color w:val="auto"/>
          <w:sz w:val="28"/>
          <w:szCs w:val="28"/>
          <w:lang w:val="zh-CN"/>
        </w:rPr>
        <w:t>录</w:t>
      </w:r>
    </w:p>
    <w:p>
      <w:pPr>
        <w:pStyle w:val="TOC1"/>
        <w:tabs>
          <w:tab w:val="right" w:leader="dot" w:pos="8494"/>
        </w:tabs>
        <w:rPr>
          <w:b w:val="0"/>
          <w:bCs w:val="0"/>
          <w:caps w:val="0"/>
          <w:sz w:val="21"/>
          <w:szCs w:val="22"/>
        </w:rPr>
      </w:pPr>
      <w:r>
        <w:rPr>
          <w:rFonts w:ascii="仿宋" w:eastAsia="仿宋" w:hAnsi="仿宋"/>
          <w:sz w:val="24"/>
          <w:szCs w:val="24"/>
        </w:rPr>
        <w:fldChar w:fldCharType="begin"/>
      </w:r>
      <w:r>
        <w:rPr>
          <w:rFonts w:ascii="仿宋" w:eastAsia="仿宋" w:hAnsi="仿宋"/>
          <w:sz w:val="24"/>
          <w:szCs w:val="24"/>
        </w:rPr>
        <w:instrText xml:space="preserve"> TOC \o "1-3" \h \z \u </w:instrText>
      </w:r>
      <w:r>
        <w:rPr>
          <w:rFonts w:ascii="仿宋" w:eastAsia="仿宋" w:hAnsi="仿宋"/>
          <w:sz w:val="24"/>
          <w:szCs w:val="24"/>
        </w:rPr>
        <w:fldChar w:fldCharType="separate"/>
      </w:r>
      <w:r>
        <w:fldChar w:fldCharType="begin"/>
      </w:r>
      <w:r>
        <w:instrText xml:space="preserve"> HYPERLINK \l "_Toc56170632" </w:instrText>
      </w:r>
      <w:r>
        <w:fldChar w:fldCharType="separate"/>
      </w:r>
      <w:r>
        <w:rPr>
          <w:rStyle w:val="Hyperlink"/>
          <w:rFonts w:ascii="仿宋" w:eastAsia="仿宋" w:hAnsi="仿宋" w:cs="仿宋"/>
        </w:rPr>
        <w:t>1.目的</w:t>
      </w:r>
      <w:r>
        <w:tab/>
      </w:r>
      <w:r>
        <w:fldChar w:fldCharType="begin"/>
      </w:r>
      <w:r>
        <w:instrText xml:space="preserve"> PAGEREF _Toc56170632 \h </w:instrText>
      </w:r>
      <w:r>
        <w:fldChar w:fldCharType="separate"/>
      </w:r>
      <w:r>
        <w:t>1</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"_Toc56170633" </w:instrText>
      </w:r>
      <w:r>
        <w:fldChar w:fldCharType="separate"/>
      </w:r>
      <w:r>
        <w:rPr>
          <w:rStyle w:val="Hyperlink"/>
          <w:rFonts w:ascii="仿宋" w:eastAsia="仿宋" w:hAnsi="仿宋" w:cs="仿宋"/>
        </w:rPr>
        <w:t>2.适用范围</w:t>
      </w:r>
      <w:r>
        <w:tab/>
      </w:r>
      <w:r>
        <w:fldChar w:fldCharType="begin"/>
      </w:r>
      <w:r>
        <w:instrText xml:space="preserve"> PAGEREF _Toc56170633 \h </w:instrText>
      </w:r>
      <w:r>
        <w:fldChar w:fldCharType="separate"/>
      </w:r>
      <w:r>
        <w:t>1</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"_Toc56170634" </w:instrText>
      </w:r>
      <w:r>
        <w:fldChar w:fldCharType="separate"/>
      </w:r>
      <w:r>
        <w:rPr>
          <w:rStyle w:val="Hyperlink"/>
          <w:rFonts w:ascii="仿宋" w:eastAsia="仿宋" w:hAnsi="仿宋" w:cs="仿宋"/>
        </w:rPr>
        <w:t>3.质量方针</w:t>
      </w:r>
      <w:r>
        <w:tab/>
      </w:r>
      <w:r>
        <w:fldChar w:fldCharType="begin"/>
      </w:r>
      <w:r>
        <w:instrText xml:space="preserve"> PAGEREF _Toc56170634 \h </w:instrText>
      </w:r>
      <w:r>
        <w:fldChar w:fldCharType="separate"/>
      </w:r>
      <w:r>
        <w:t>1</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"_Toc56170635" </w:instrText>
      </w:r>
      <w:r>
        <w:fldChar w:fldCharType="separate"/>
      </w:r>
      <w:r>
        <w:rPr>
          <w:rStyle w:val="Hyperlink"/>
          <w:rFonts w:ascii="仿宋" w:eastAsia="仿宋" w:hAnsi="仿宋" w:cs="仿宋"/>
        </w:rPr>
        <w:t>4.质量目标</w:t>
      </w:r>
      <w:r>
        <w:tab/>
      </w:r>
      <w:r>
        <w:fldChar w:fldCharType="begin"/>
      </w:r>
      <w:r>
        <w:instrText xml:space="preserve"> PAGEREF _Toc56170635 \h </w:instrText>
      </w:r>
      <w:r>
        <w:fldChar w:fldCharType="separate"/>
      </w:r>
      <w:r>
        <w:t>1</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"_Toc56170636" </w:instrText>
      </w:r>
      <w:r>
        <w:fldChar w:fldCharType="separate"/>
      </w:r>
      <w:r>
        <w:rPr>
          <w:rStyle w:val="Hyperlink"/>
          <w:rFonts w:ascii="仿宋" w:eastAsia="仿宋" w:hAnsi="仿宋" w:cs="仿宋"/>
        </w:rPr>
        <w:t>5.质量组织</w:t>
      </w:r>
      <w:r>
        <w:tab/>
      </w:r>
      <w:r>
        <w:fldChar w:fldCharType="begin"/>
      </w:r>
      <w:r>
        <w:instrText xml:space="preserve"> PAGEREF _Toc56170636 \h </w:instrText>
      </w:r>
      <w:r>
        <w:fldChar w:fldCharType="separate"/>
      </w:r>
      <w:r>
        <w:t>1</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"_Toc56170637" </w:instrText>
      </w:r>
      <w:r>
        <w:fldChar w:fldCharType="separate"/>
      </w:r>
      <w:r>
        <w:rPr>
          <w:rStyle w:val="Hyperlink"/>
          <w:rFonts w:ascii="仿宋" w:eastAsia="仿宋" w:hAnsi="仿宋" w:cs="仿宋"/>
        </w:rPr>
        <w:t>6.执行制度</w:t>
      </w:r>
      <w:r>
        <w:tab/>
      </w:r>
      <w:r>
        <w:fldChar w:fldCharType="begin"/>
      </w:r>
      <w:r>
        <w:instrText xml:space="preserve"> PAGEREF _Toc56170637 \h </w:instrText>
      </w:r>
      <w:r>
        <w:fldChar w:fldCharType="separate"/>
      </w:r>
      <w:r>
        <w:t>1</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"_Toc56170638" </w:instrText>
      </w:r>
      <w:r>
        <w:fldChar w:fldCharType="separate"/>
      </w:r>
      <w:r>
        <w:rPr>
          <w:rStyle w:val="Hyperlink"/>
          <w:rFonts w:ascii="仿宋" w:eastAsia="仿宋" w:hAnsi="仿宋" w:cs="仿宋"/>
        </w:rPr>
        <w:t>6.1过程措施</w:t>
      </w:r>
      <w:r>
        <w:tab/>
      </w:r>
      <w:r>
        <w:fldChar w:fldCharType="begin"/>
      </w:r>
      <w:r>
        <w:instrText xml:space="preserve"> PAGEREF _Toc56170638 \h </w:instrText>
      </w:r>
      <w:r>
        <w:fldChar w:fldCharType="separate"/>
      </w:r>
      <w:r>
        <w:t>1</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"_Toc56170639" </w:instrText>
      </w:r>
      <w:r>
        <w:fldChar w:fldCharType="separate"/>
      </w:r>
      <w:r>
        <w:rPr>
          <w:rStyle w:val="Hyperlink"/>
          <w:rFonts w:ascii="仿宋" w:eastAsia="仿宋" w:hAnsi="仿宋" w:cs="仿宋"/>
        </w:rPr>
        <w:t>6.2监督情况</w:t>
      </w:r>
      <w:r>
        <w:tab/>
      </w:r>
      <w:r>
        <w:fldChar w:fldCharType="begin"/>
      </w:r>
      <w:r>
        <w:instrText xml:space="preserve"> PAGEREF _Toc56170639 \h </w:instrText>
      </w:r>
      <w:r>
        <w:fldChar w:fldCharType="separate"/>
      </w:r>
      <w:r>
        <w:t>2</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"_Toc56170640" </w:instrText>
      </w:r>
      <w:r>
        <w:fldChar w:fldCharType="separate"/>
      </w:r>
      <w:r>
        <w:rPr>
          <w:rStyle w:val="Hyperlink"/>
          <w:rFonts w:ascii="仿宋" w:eastAsia="仿宋" w:hAnsi="仿宋" w:cs="仿宋"/>
        </w:rPr>
        <w:t>6.3跟踪情况</w:t>
      </w:r>
      <w:r>
        <w:tab/>
      </w:r>
      <w:r>
        <w:fldChar w:fldCharType="begin"/>
      </w:r>
      <w:r>
        <w:instrText xml:space="preserve"> PAGEREF _Toc56170640 \h </w:instrText>
      </w:r>
      <w:r>
        <w:fldChar w:fldCharType="separate"/>
      </w:r>
      <w:r>
        <w:t>2</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"_Toc56170641" </w:instrText>
      </w:r>
      <w:r>
        <w:fldChar w:fldCharType="separate"/>
      </w:r>
      <w:r>
        <w:rPr>
          <w:rStyle w:val="Hyperlink"/>
          <w:rFonts w:ascii="仿宋" w:eastAsia="仿宋" w:hAnsi="仿宋" w:cs="仿宋"/>
        </w:rPr>
        <w:t>7.管理评审</w:t>
      </w:r>
      <w:r>
        <w:tab/>
      </w:r>
      <w:r>
        <w:fldChar w:fldCharType="begin"/>
      </w:r>
      <w:r>
        <w:instrText xml:space="preserve"> PAGEREF _Toc56170641 \h </w:instrText>
      </w:r>
      <w:r>
        <w:fldChar w:fldCharType="separate"/>
      </w:r>
      <w:r>
        <w:t>3</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"_Toc56170642" </w:instrText>
      </w:r>
      <w:r>
        <w:fldChar w:fldCharType="separate"/>
      </w:r>
      <w:r>
        <w:rPr>
          <w:rStyle w:val="Hyperlink"/>
          <w:rFonts w:ascii="仿宋" w:eastAsia="仿宋" w:hAnsi="仿宋" w:cs="仿宋"/>
        </w:rPr>
        <w:t>8.内部审核</w:t>
      </w:r>
      <w:r>
        <w:tab/>
      </w:r>
      <w:r>
        <w:fldChar w:fldCharType="begin"/>
      </w:r>
      <w:r>
        <w:instrText xml:space="preserve"> PAGEREF _Toc56170642 \h </w:instrText>
      </w:r>
      <w:r>
        <w:fldChar w:fldCharType="separate"/>
      </w:r>
      <w:r>
        <w:t>3</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"_Toc56170643" </w:instrText>
      </w:r>
      <w:r>
        <w:fldChar w:fldCharType="separate"/>
      </w:r>
      <w:r>
        <w:rPr>
          <w:rStyle w:val="Hyperlink"/>
          <w:rFonts w:ascii="仿宋" w:eastAsia="仿宋" w:hAnsi="仿宋" w:cs="仿宋"/>
        </w:rPr>
        <w:t>9.客户投诉处理</w:t>
      </w:r>
      <w:r>
        <w:tab/>
      </w:r>
      <w:r>
        <w:fldChar w:fldCharType="begin"/>
      </w:r>
      <w:r>
        <w:instrText xml:space="preserve"> PAGEREF _Toc56170643 \h </w:instrText>
      </w:r>
      <w:r>
        <w:fldChar w:fldCharType="separate"/>
      </w:r>
      <w:r>
        <w:t>3</w:t>
      </w:r>
      <w:r>
        <w:fldChar w:fldCharType="end"/>
      </w:r>
      <w:r>
        <w:fldChar w:fldCharType="end"/>
      </w:r>
    </w:p>
    <w:p>
      <w:pPr>
        <w:pStyle w:val="TOC1"/>
        <w:tabs>
          <w:tab w:val="right" w:leader="dot" w:pos="8494"/>
        </w:tabs>
        <w:rPr>
          <w:b w:val="0"/>
          <w:bCs w:val="0"/>
          <w:caps w:val="0"/>
          <w:sz w:val="21"/>
          <w:szCs w:val="22"/>
        </w:rPr>
      </w:pPr>
      <w:r>
        <w:fldChar w:fldCharType="begin"/>
      </w:r>
      <w:r>
        <w:instrText xml:space="preserve"> HYPERLINK \l "_Toc56170644" </w:instrText>
      </w:r>
      <w:r>
        <w:fldChar w:fldCharType="separate"/>
      </w:r>
      <w:r>
        <w:rPr>
          <w:rStyle w:val="Hyperlink"/>
          <w:rFonts w:ascii="仿宋" w:eastAsia="仿宋" w:hAnsi="仿宋" w:cs="仿宋"/>
        </w:rPr>
        <w:t>10.持续改进</w:t>
      </w:r>
      <w:r>
        <w:tab/>
      </w:r>
      <w:r>
        <w:fldChar w:fldCharType="begin"/>
      </w:r>
      <w:r>
        <w:instrText xml:space="preserve"> PAGEREF _Toc56170644 \h </w:instrText>
      </w:r>
      <w:r>
        <w:fldChar w:fldCharType="separate"/>
      </w:r>
      <w:r>
        <w:t>4</w:t>
      </w:r>
      <w:r>
        <w:fldChar w:fldCharType="end"/>
      </w:r>
      <w:r>
        <w:fldChar w:fldCharType="end"/>
      </w:r>
    </w:p>
    <w:p>
      <w:pPr>
        <w:pStyle w:val="TOC2"/>
        <w:tabs>
          <w:tab w:val="right" w:leader="dot" w:pos="8494"/>
        </w:tabs>
        <w:rPr>
          <w:smallCaps w:val="0"/>
          <w:sz w:val="21"/>
          <w:szCs w:val="22"/>
        </w:rPr>
      </w:pPr>
      <w:r>
        <w:fldChar w:fldCharType="begin"/>
      </w:r>
      <w:r>
        <w:instrText xml:space="preserve"> HYPERLINK \l "_Toc56170645" </w:instrText>
      </w:r>
      <w:r>
        <w:fldChar w:fldCharType="separate"/>
      </w:r>
      <w:r>
        <w:rPr>
          <w:rStyle w:val="Hyperlink"/>
          <w:rFonts w:ascii="仿宋" w:eastAsia="仿宋" w:hAnsi="仿宋" w:cs="仿宋"/>
        </w:rPr>
        <w:t>10.1纠正措施</w:t>
      </w:r>
      <w:r>
        <w:tab/>
      </w:r>
      <w:r>
        <w:fldChar w:fldCharType="begin"/>
      </w:r>
      <w:r>
        <w:instrText xml:space="preserve"> PAGEREF _Toc56170645 \h </w:instrText>
      </w:r>
      <w:r>
        <w:fldChar w:fldCharType="separate"/>
      </w:r>
      <w:r>
        <w:t>5</w:t>
      </w:r>
      <w:r>
        <w:fldChar w:fldCharType="end"/>
      </w:r>
      <w:r>
        <w:fldChar w:fldCharType="end"/>
      </w:r>
    </w:p>
    <w:p>
      <w:pPr>
        <w:pStyle w:val="TOC2"/>
        <w:tabs>
          <w:tab w:val="right" w:leader="dot" w:pos="8494"/>
        </w:tabs>
        <w:rPr>
          <w:smallCaps w:val="0"/>
          <w:sz w:val="21"/>
          <w:szCs w:val="22"/>
        </w:rPr>
      </w:pPr>
      <w:r>
        <w:fldChar w:fldCharType="begin"/>
      </w:r>
      <w:r>
        <w:instrText xml:space="preserve"> HYPERLINK \l "_Toc56170646" </w:instrText>
      </w:r>
      <w:r>
        <w:fldChar w:fldCharType="separate"/>
      </w:r>
      <w:r>
        <w:rPr>
          <w:rStyle w:val="Hyperlink"/>
          <w:rFonts w:ascii="仿宋" w:eastAsia="仿宋" w:hAnsi="仿宋" w:cs="仿宋"/>
        </w:rPr>
        <w:t>10.2 预防措施</w:t>
      </w:r>
      <w:r>
        <w:tab/>
      </w:r>
      <w:r>
        <w:fldChar w:fldCharType="begin"/>
      </w:r>
      <w:r>
        <w:instrText xml:space="preserve"> PAGEREF _Toc56170646 \h </w:instrText>
      </w:r>
      <w:r>
        <w:fldChar w:fldCharType="separate"/>
      </w:r>
      <w:r>
        <w:t>5</w:t>
      </w:r>
      <w:r>
        <w:fldChar w:fldCharType="end"/>
      </w:r>
      <w:r>
        <w:fldChar w:fldCharType="end"/>
      </w:r>
    </w:p>
    <w:p>
      <w:pPr>
        <w:spacing w:line="360" w:lineRule="auto"/>
      </w:pPr>
      <w:r>
        <w:rPr>
          <w:rFonts w:ascii="仿宋" w:eastAsia="仿宋" w:hAnsi="仿宋"/>
          <w:b/>
          <w:bCs/>
          <w:sz w:val="24"/>
          <w:szCs w:val="24"/>
          <w:lang w:val="zh-CN"/>
        </w:rPr>
        <w:fldChar w:fldCharType="end"/>
      </w:r>
    </w:p>
    <w:p>
      <w:pPr>
        <w:pStyle w:val="Heading1"/>
        <w:spacing w:before="163" w:after="163"/>
        <w:rPr>
          <w:rFonts w:ascii="仿宋" w:eastAsia="仿宋" w:hAnsi="仿宋" w:cs="仿宋"/>
          <w:sz w:val="28"/>
          <w:szCs w:val="28"/>
        </w:rPr>
        <w:sectPr>
          <w:footerReference w:type="default" r:id="rId8"/>
          <w:pgSz w:w="11906" w:h="16838"/>
          <w:pgMar w:top="1418" w:right="1701" w:bottom="1418" w:left="1701" w:header="851" w:footer="964" w:gutter="0"/>
          <w:pgNumType w:start="1"/>
          <w:cols w:num="1" w:space="720"/>
          <w:docGrid w:type="linesAndChars" w:linePitch="326" w:charSpace="5370"/>
        </w:sectPr>
      </w:pPr>
    </w:p>
    <w:p>
      <w:pPr>
        <w:pStyle w:val="Heading1"/>
        <w:spacing w:before="163" w:after="163"/>
        <w:rPr>
          <w:rFonts w:ascii="仿宋" w:eastAsia="仿宋" w:hAnsi="仿宋" w:cs="仿宋"/>
          <w:sz w:val="28"/>
          <w:szCs w:val="28"/>
        </w:rPr>
      </w:pPr>
      <w:bookmarkStart w:id="2" w:name="_Toc56170632"/>
      <w:r>
        <w:rPr>
          <w:rFonts w:ascii="仿宋" w:eastAsia="仿宋" w:hAnsi="仿宋" w:cs="仿宋" w:hint="eastAsia"/>
          <w:sz w:val="28"/>
          <w:szCs w:val="28"/>
        </w:rPr>
        <w:t>1.目的</w:t>
      </w:r>
      <w:bookmarkEnd w:id="0"/>
      <w:bookmarkEnd w:id="1"/>
      <w:bookmarkEnd w:id="2"/>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公司运维服务的最终目标是让顾客满意，同时使企业获利，而顾客的满意度源于对服务质量的评价。为了提高服务质量，根据现有的成熟管理经验，特制定了符合管理需要的制度来管理运维服务质量，对运维服务质量进行规划跟踪、监督和检查执行情况。</w:t>
      </w:r>
    </w:p>
    <w:p>
      <w:pPr>
        <w:pStyle w:val="Heading1"/>
        <w:spacing w:before="163" w:after="163"/>
        <w:rPr>
          <w:rFonts w:ascii="仿宋" w:eastAsia="仿宋" w:hAnsi="仿宋" w:cs="仿宋"/>
          <w:sz w:val="28"/>
          <w:szCs w:val="28"/>
        </w:rPr>
      </w:pPr>
      <w:bookmarkStart w:id="3" w:name="_Toc10264_WPSOffice_Level1"/>
      <w:bookmarkStart w:id="4" w:name="_Toc433010068"/>
      <w:bookmarkStart w:id="5" w:name="_Toc56170633"/>
      <w:r>
        <w:rPr>
          <w:rFonts w:ascii="仿宋" w:eastAsia="仿宋" w:hAnsi="仿宋" w:cs="仿宋" w:hint="eastAsia"/>
          <w:sz w:val="28"/>
          <w:szCs w:val="28"/>
        </w:rPr>
        <w:t>2.适用范围</w:t>
      </w:r>
      <w:bookmarkEnd w:id="3"/>
      <w:bookmarkEnd w:id="4"/>
      <w:bookmarkEnd w:id="5"/>
      <w:bookmarkStart w:id="6" w:name="_GoBack"/>
      <w:bookmarkEnd w:id="6"/>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本管理制度适用于甘肃国邦信息科技有限公司。</w:t>
      </w:r>
    </w:p>
    <w:p>
      <w:pPr>
        <w:pStyle w:val="Heading1"/>
        <w:spacing w:before="163" w:after="163"/>
        <w:rPr>
          <w:rFonts w:ascii="仿宋" w:eastAsia="仿宋" w:hAnsi="仿宋" w:cs="仿宋"/>
          <w:sz w:val="28"/>
          <w:szCs w:val="28"/>
        </w:rPr>
      </w:pPr>
      <w:bookmarkStart w:id="7" w:name="_Toc12222_WPSOffice_Level1"/>
      <w:bookmarkStart w:id="8" w:name="_Toc433010069"/>
      <w:bookmarkStart w:id="9" w:name="_Toc56170634"/>
      <w:r>
        <w:rPr>
          <w:rFonts w:ascii="仿宋" w:eastAsia="仿宋" w:hAnsi="仿宋" w:cs="仿宋" w:hint="eastAsia"/>
          <w:sz w:val="28"/>
          <w:szCs w:val="28"/>
        </w:rPr>
        <w:t>3.质量方针</w:t>
      </w:r>
      <w:bookmarkEnd w:id="7"/>
      <w:bookmarkEnd w:id="8"/>
      <w:bookmarkEnd w:id="9"/>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“规范过程，充分准备，快速响应，持续改进，不断提升客户满意度”。</w:t>
      </w:r>
    </w:p>
    <w:p>
      <w:pPr>
        <w:pStyle w:val="Heading1"/>
        <w:spacing w:before="163" w:after="163"/>
        <w:rPr>
          <w:rFonts w:ascii="仿宋" w:eastAsia="仿宋" w:hAnsi="仿宋" w:cs="仿宋"/>
          <w:sz w:val="28"/>
          <w:szCs w:val="28"/>
        </w:rPr>
      </w:pPr>
      <w:bookmarkStart w:id="10" w:name="_Toc433010070"/>
      <w:bookmarkStart w:id="11" w:name="_Toc56170635"/>
      <w:bookmarkStart w:id="12" w:name="_Toc15480_WPSOffice_Level1"/>
      <w:r>
        <w:rPr>
          <w:rFonts w:ascii="仿宋" w:eastAsia="仿宋" w:hAnsi="仿宋" w:cs="仿宋" w:hint="eastAsia"/>
          <w:sz w:val="28"/>
          <w:szCs w:val="28"/>
        </w:rPr>
        <w:t>4.质量目标</w:t>
      </w:r>
      <w:bookmarkEnd w:id="10"/>
      <w:bookmarkEnd w:id="11"/>
      <w:bookmarkEnd w:id="12"/>
    </w:p>
    <w:p>
      <w:pPr>
        <w:pStyle w:val="10"/>
        <w:numPr>
          <w:ilvl w:val="3"/>
          <w:numId w:val="3"/>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确保运维服务过程全年无重大安全事故发生；</w:t>
      </w:r>
    </w:p>
    <w:p>
      <w:pPr>
        <w:pStyle w:val="10"/>
        <w:numPr>
          <w:ilvl w:val="3"/>
          <w:numId w:val="3"/>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客户关系保持畅通，客户满意度达到预期设定的目标值95%。</w:t>
      </w:r>
    </w:p>
    <w:p>
      <w:pPr>
        <w:pStyle w:val="Heading1"/>
        <w:spacing w:before="163" w:after="163"/>
        <w:rPr>
          <w:rFonts w:ascii="仿宋" w:eastAsia="仿宋" w:hAnsi="仿宋" w:cs="仿宋"/>
          <w:sz w:val="28"/>
          <w:szCs w:val="28"/>
        </w:rPr>
      </w:pPr>
      <w:bookmarkStart w:id="13" w:name="_Toc630_WPSOffice_Level1"/>
      <w:bookmarkStart w:id="14" w:name="_Toc433010071"/>
      <w:bookmarkStart w:id="15" w:name="_Toc56170636"/>
      <w:r>
        <w:rPr>
          <w:rFonts w:ascii="仿宋" w:eastAsia="仿宋" w:hAnsi="仿宋" w:cs="仿宋" w:hint="eastAsia"/>
          <w:sz w:val="28"/>
          <w:szCs w:val="28"/>
        </w:rPr>
        <w:t>5.质量组织</w:t>
      </w:r>
      <w:bookmarkEnd w:id="13"/>
      <w:bookmarkEnd w:id="14"/>
      <w:bookmarkEnd w:id="15"/>
    </w:p>
    <w:p>
      <w:pPr>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公司质量部作为执行本制度的主要组织、监督和考核部门，其主要职责：项目质量考核，质量方针的执行情况监督审核，质量目标达成情况审核，质量目标的落实分解及各质量KPI指标达成检查。</w:t>
      </w:r>
    </w:p>
    <w:p>
      <w:pPr>
        <w:pStyle w:val="Heading1"/>
        <w:spacing w:before="163" w:after="163"/>
        <w:rPr>
          <w:rFonts w:ascii="仿宋" w:eastAsia="仿宋" w:hAnsi="仿宋" w:cs="仿宋"/>
          <w:sz w:val="28"/>
          <w:szCs w:val="28"/>
        </w:rPr>
      </w:pPr>
      <w:bookmarkStart w:id="16" w:name="_Toc9833_WPSOffice_Level1"/>
      <w:bookmarkStart w:id="17" w:name="_Toc56170637"/>
      <w:bookmarkStart w:id="18" w:name="_Toc433010072"/>
      <w:r>
        <w:rPr>
          <w:rFonts w:ascii="仿宋" w:eastAsia="仿宋" w:hAnsi="仿宋" w:cs="仿宋" w:hint="eastAsia"/>
          <w:sz w:val="28"/>
          <w:szCs w:val="28"/>
        </w:rPr>
        <w:t>6.执行</w:t>
      </w:r>
      <w:bookmarkStart w:id="19" w:name="_Toc389933251"/>
      <w:bookmarkStart w:id="20" w:name="_Toc372621320"/>
      <w:r>
        <w:rPr>
          <w:rFonts w:ascii="仿宋" w:eastAsia="仿宋" w:hAnsi="仿宋" w:cs="仿宋" w:hint="eastAsia"/>
          <w:sz w:val="28"/>
          <w:szCs w:val="28"/>
        </w:rPr>
        <w:t>制度</w:t>
      </w:r>
      <w:bookmarkEnd w:id="16"/>
      <w:bookmarkEnd w:id="17"/>
      <w:bookmarkEnd w:id="18"/>
    </w:p>
    <w:p>
      <w:pPr>
        <w:pStyle w:val="Heading1"/>
        <w:spacing w:before="163" w:after="163"/>
        <w:rPr>
          <w:rFonts w:ascii="仿宋" w:eastAsia="仿宋" w:hAnsi="仿宋" w:cs="仿宋"/>
          <w:sz w:val="24"/>
          <w:szCs w:val="24"/>
        </w:rPr>
      </w:pPr>
      <w:bookmarkStart w:id="21" w:name="_Toc433010073"/>
      <w:bookmarkStart w:id="22" w:name="_Toc27003_WPSOffice_Level2"/>
      <w:bookmarkStart w:id="23" w:name="_Toc56170638"/>
      <w:r>
        <w:rPr>
          <w:rFonts w:ascii="仿宋" w:eastAsia="仿宋" w:hAnsi="仿宋" w:cs="仿宋" w:hint="eastAsia"/>
          <w:sz w:val="24"/>
          <w:szCs w:val="24"/>
        </w:rPr>
        <w:t>6.1过程措施</w:t>
      </w:r>
      <w:bookmarkEnd w:id="21"/>
      <w:bookmarkEnd w:id="22"/>
      <w:bookmarkEnd w:id="23"/>
    </w:p>
    <w:p>
      <w:pPr>
        <w:pStyle w:val="10"/>
        <w:numPr>
          <w:ilvl w:val="3"/>
          <w:numId w:val="4"/>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建立规范化的运维服务能力管理体系，并按PDCA循环持续改进，不断优化和完善；</w:t>
      </w:r>
    </w:p>
    <w:p>
      <w:pPr>
        <w:pStyle w:val="10"/>
        <w:numPr>
          <w:ilvl w:val="3"/>
          <w:numId w:val="4"/>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每年年初制定当年质量管理计划，并确定具体质量指标以及对应的目标值；</w:t>
      </w:r>
    </w:p>
    <w:p>
      <w:pPr>
        <w:pStyle w:val="10"/>
        <w:numPr>
          <w:ilvl w:val="3"/>
          <w:numId w:val="4"/>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建立过程岗位职责、责任人和绩效评价的对应关系并落实到计划中去跟踪；</w:t>
      </w:r>
    </w:p>
    <w:p>
      <w:pPr>
        <w:pStyle w:val="10"/>
        <w:numPr>
          <w:ilvl w:val="3"/>
          <w:numId w:val="4"/>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根据质量管理计划，定期进行运维过程质量的跟踪，确保SLA各项指标的完成，进而保证效率和服务水平；</w:t>
      </w:r>
    </w:p>
    <w:p>
      <w:pPr>
        <w:pStyle w:val="10"/>
        <w:numPr>
          <w:ilvl w:val="3"/>
          <w:numId w:val="4"/>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定期评估过程和规范的执行效果，记录评估结果并制定相应的改进计划；</w:t>
      </w:r>
    </w:p>
    <w:p>
      <w:pPr>
        <w:pStyle w:val="10"/>
        <w:numPr>
          <w:ilvl w:val="3"/>
          <w:numId w:val="4"/>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实行IT系统的规划、建设与运行维护相分离，运行操作与维护相分离的策略；</w:t>
      </w:r>
    </w:p>
    <w:p>
      <w:pPr>
        <w:pStyle w:val="10"/>
        <w:numPr>
          <w:ilvl w:val="3"/>
          <w:numId w:val="4"/>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质量保证和提升从“以人驱动”，转变到以“过程和规范驱动”，减少人的因素，并不断提升过程和规范的运行效率。</w:t>
      </w:r>
    </w:p>
    <w:p>
      <w:pPr>
        <w:pStyle w:val="Heading1"/>
        <w:spacing w:before="163" w:after="163"/>
        <w:rPr>
          <w:rFonts w:ascii="仿宋" w:eastAsia="仿宋" w:hAnsi="仿宋" w:cs="仿宋"/>
          <w:sz w:val="24"/>
          <w:szCs w:val="24"/>
        </w:rPr>
      </w:pPr>
      <w:bookmarkStart w:id="24" w:name="_Toc8565_WPSOffice_Level2"/>
      <w:bookmarkStart w:id="25" w:name="_Toc56170639"/>
      <w:bookmarkStart w:id="26" w:name="_Toc433010074"/>
      <w:r>
        <w:rPr>
          <w:rFonts w:ascii="仿宋" w:eastAsia="仿宋" w:hAnsi="仿宋" w:cs="仿宋" w:hint="eastAsia"/>
          <w:sz w:val="24"/>
          <w:szCs w:val="24"/>
        </w:rPr>
        <w:t>6.2监督</w:t>
      </w:r>
      <w:bookmarkEnd w:id="19"/>
      <w:bookmarkEnd w:id="20"/>
      <w:r>
        <w:rPr>
          <w:rFonts w:ascii="仿宋" w:eastAsia="仿宋" w:hAnsi="仿宋" w:cs="仿宋" w:hint="eastAsia"/>
          <w:sz w:val="24"/>
          <w:szCs w:val="24"/>
        </w:rPr>
        <w:t>情况</w:t>
      </w:r>
      <w:bookmarkEnd w:id="24"/>
      <w:bookmarkEnd w:id="25"/>
      <w:bookmarkEnd w:id="26"/>
    </w:p>
    <w:p>
      <w:pPr>
        <w:pStyle w:val="10"/>
        <w:numPr>
          <w:ilvl w:val="0"/>
          <w:numId w:val="5"/>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sz w:val="24"/>
          <w:szCs w:val="24"/>
        </w:rPr>
        <w:t>质量部负责监督质量管理目标和方针的执行情况；</w:t>
      </w:r>
    </w:p>
    <w:p>
      <w:pPr>
        <w:pStyle w:val="10"/>
        <w:numPr>
          <w:ilvl w:val="0"/>
          <w:numId w:val="5"/>
        </w:numPr>
        <w:tabs>
          <w:tab w:val="left" w:pos="476"/>
        </w:tabs>
        <w:spacing w:line="360" w:lineRule="auto"/>
        <w:ind w:left="415" w:hanging="430" w:leftChars="-7" w:hangingChars="205"/>
        <w:rPr>
          <w:rFonts w:ascii="仿宋" w:eastAsia="仿宋" w:hAnsi="仿宋" w:cs="仿宋"/>
          <w:color w:val="000000"/>
          <w:sz w:val="24"/>
          <w:szCs w:val="24"/>
        </w:rPr>
      </w:pPr>
      <w:r>
        <w:rPr>
          <w:rFonts w:ascii="仿宋" w:eastAsia="仿宋" w:hAnsi="仿宋" w:cs="仿宋" w:hint="eastAsia"/>
          <w:color w:val="000000"/>
          <w:sz w:val="24"/>
          <w:szCs w:val="24"/>
        </w:rPr>
        <w:t>质量部负责运维服务交付物的监督，实行定期抽查检查，对运维项目依据运维服务质量要求提交运维服务相关报告和文件；</w:t>
      </w:r>
    </w:p>
    <w:p>
      <w:pPr>
        <w:pStyle w:val="10"/>
        <w:numPr>
          <w:ilvl w:val="0"/>
          <w:numId w:val="5"/>
        </w:numPr>
        <w:tabs>
          <w:tab w:val="left" w:pos="476"/>
        </w:tabs>
        <w:spacing w:line="360" w:lineRule="auto"/>
        <w:ind w:left="415" w:hanging="430" w:leftChars="-7" w:hangingChars="205"/>
        <w:rPr>
          <w:rFonts w:ascii="仿宋" w:eastAsia="仿宋" w:hAnsi="仿宋" w:cs="仿宋"/>
          <w:sz w:val="24"/>
          <w:szCs w:val="24"/>
        </w:rPr>
      </w:pPr>
      <w:r>
        <w:rPr>
          <w:rFonts w:ascii="仿宋" w:eastAsia="仿宋" w:hAnsi="仿宋" w:cs="仿宋" w:hint="eastAsia"/>
          <w:color w:val="000000"/>
          <w:sz w:val="24"/>
          <w:szCs w:val="24"/>
        </w:rPr>
        <w:t>质量部负责相关指标原始数据的收集工作并进行汇总，依据服务质量指标体系对指标达成率进行分析、通报和改进，以不断提升服务质</w:t>
      </w:r>
      <w:r>
        <w:rPr>
          <w:rFonts w:ascii="仿宋" w:eastAsia="仿宋" w:hAnsi="仿宋" w:cs="仿宋" w:hint="eastAsia"/>
          <w:sz w:val="24"/>
          <w:szCs w:val="24"/>
        </w:rPr>
        <w:t>量。</w:t>
      </w:r>
      <w:bookmarkStart w:id="27" w:name="_Toc372621321"/>
      <w:bookmarkStart w:id="28" w:name="_Toc389933252"/>
    </w:p>
    <w:p>
      <w:pPr>
        <w:pStyle w:val="Heading1"/>
        <w:spacing w:before="163" w:after="163"/>
        <w:rPr>
          <w:rFonts w:ascii="仿宋" w:eastAsia="仿宋" w:hAnsi="仿宋" w:cs="仿宋"/>
          <w:sz w:val="24"/>
          <w:szCs w:val="24"/>
        </w:rPr>
      </w:pPr>
      <w:bookmarkStart w:id="29" w:name="_Toc3112_WPSOffice_Level2"/>
      <w:bookmarkStart w:id="30" w:name="_Toc56170640"/>
      <w:bookmarkStart w:id="31" w:name="_Toc433010075"/>
      <w:r>
        <w:rPr>
          <w:rFonts w:ascii="仿宋" w:eastAsia="仿宋" w:hAnsi="仿宋" w:cs="仿宋" w:hint="eastAsia"/>
          <w:sz w:val="24"/>
          <w:szCs w:val="24"/>
        </w:rPr>
        <w:t>6.3跟踪</w:t>
      </w:r>
      <w:bookmarkEnd w:id="27"/>
      <w:bookmarkEnd w:id="28"/>
      <w:r>
        <w:rPr>
          <w:rFonts w:ascii="仿宋" w:eastAsia="仿宋" w:hAnsi="仿宋" w:cs="仿宋" w:hint="eastAsia"/>
          <w:sz w:val="24"/>
          <w:szCs w:val="24"/>
        </w:rPr>
        <w:t>情况</w:t>
      </w:r>
      <w:bookmarkEnd w:id="29"/>
      <w:bookmarkEnd w:id="30"/>
      <w:bookmarkEnd w:id="31"/>
    </w:p>
    <w:tbl>
      <w:tblPr>
        <w:tblStyle w:val="TableNormal"/>
        <w:tblW w:w="8720" w:type="dxa"/>
        <w:tblInd w:w="0" w:type="dxa"/>
        <w:tblLayout w:type="fixed"/>
        <w:tblCellMar>
          <w:top w:w="0" w:type="dxa"/>
          <w:left w:w="108" w:type="dxa"/>
          <w:bottom w:w="0" w:type="dxa"/>
          <w:right w:w="108" w:type="dxa"/>
        </w:tblCellMar>
      </w:tblPr>
      <w:tblGrid>
        <w:gridCol w:w="1974"/>
        <w:gridCol w:w="2283"/>
        <w:gridCol w:w="2588"/>
        <w:gridCol w:w="1875"/>
      </w:tblGrid>
      <w:tr>
        <w:tblPrEx>
          <w:tblW w:w="8720" w:type="dxa"/>
          <w:tblInd w:w="0" w:type="dxa"/>
          <w:tblLayout w:type="fixed"/>
          <w:tblCellMar>
            <w:top w:w="0" w:type="dxa"/>
            <w:left w:w="108" w:type="dxa"/>
            <w:bottom w:w="0" w:type="dxa"/>
            <w:right w:w="108" w:type="dxa"/>
          </w:tblCellMar>
        </w:tblPrEx>
        <w:trPr>
          <w:trHeight w:val="270"/>
        </w:trPr>
        <w:tc>
          <w:tcPr>
            <w:tcW w:w="1974" w:type="dxa"/>
            <w:tcBorders>
              <w:top w:val="single" w:sz="4" w:space="0" w:color="auto"/>
              <w:left w:val="single" w:sz="4" w:space="0" w:color="auto"/>
              <w:bottom w:val="single" w:sz="4" w:space="0" w:color="auto"/>
              <w:right w:val="single" w:sz="4" w:space="0" w:color="auto"/>
            </w:tcBorders>
            <w:vAlign w:val="center"/>
          </w:tcPr>
          <w:p>
            <w:pPr>
              <w:widowControl/>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时间</w:t>
            </w:r>
          </w:p>
        </w:tc>
        <w:tc>
          <w:tcPr>
            <w:tcW w:w="2283" w:type="dxa"/>
            <w:tcBorders>
              <w:top w:val="single" w:sz="4" w:space="0" w:color="auto"/>
              <w:left w:val="nil"/>
              <w:bottom w:val="single" w:sz="4" w:space="0" w:color="auto"/>
              <w:right w:val="single" w:sz="4" w:space="0" w:color="auto"/>
            </w:tcBorders>
            <w:vAlign w:val="center"/>
          </w:tcPr>
          <w:p>
            <w:pPr>
              <w:widowControl/>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工作名称</w:t>
            </w:r>
          </w:p>
        </w:tc>
        <w:tc>
          <w:tcPr>
            <w:tcW w:w="2588" w:type="dxa"/>
            <w:tcBorders>
              <w:top w:val="single" w:sz="4" w:space="0" w:color="auto"/>
              <w:left w:val="nil"/>
              <w:bottom w:val="single" w:sz="4" w:space="0" w:color="auto"/>
              <w:right w:val="single" w:sz="4" w:space="0" w:color="auto"/>
            </w:tcBorders>
            <w:vAlign w:val="center"/>
          </w:tcPr>
          <w:p>
            <w:pPr>
              <w:widowControl/>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执行部门</w:t>
            </w:r>
          </w:p>
        </w:tc>
        <w:tc>
          <w:tcPr>
            <w:tcW w:w="1875" w:type="dxa"/>
            <w:tcBorders>
              <w:top w:val="single" w:sz="4" w:space="0" w:color="auto"/>
              <w:left w:val="nil"/>
              <w:bottom w:val="single" w:sz="4" w:space="0" w:color="auto"/>
              <w:right w:val="single" w:sz="4" w:space="0" w:color="auto"/>
            </w:tcBorders>
            <w:vAlign w:val="center"/>
          </w:tcPr>
          <w:p>
            <w:pPr>
              <w:widowControl/>
              <w:jc w:val="center"/>
              <w:rPr>
                <w:rFonts w:ascii="仿宋" w:eastAsia="仿宋" w:hAnsi="仿宋" w:cs="仿宋"/>
                <w:b/>
                <w:bCs/>
                <w:color w:val="000000"/>
                <w:kern w:val="0"/>
                <w:sz w:val="24"/>
                <w:szCs w:val="24"/>
              </w:rPr>
            </w:pPr>
            <w:r>
              <w:rPr>
                <w:rFonts w:ascii="仿宋" w:eastAsia="仿宋" w:hAnsi="仿宋" w:cs="仿宋" w:hint="eastAsia"/>
                <w:b/>
                <w:bCs/>
                <w:color w:val="000000"/>
                <w:kern w:val="0"/>
                <w:sz w:val="24"/>
                <w:szCs w:val="24"/>
              </w:rPr>
              <w:t>支持文档</w:t>
            </w:r>
          </w:p>
        </w:tc>
      </w:tr>
      <w:tr>
        <w:tblPrEx>
          <w:tblW w:w="8720" w:type="dxa"/>
          <w:tblInd w:w="0" w:type="dxa"/>
          <w:tblLayout w:type="fixed"/>
          <w:tblCellMar>
            <w:top w:w="0" w:type="dxa"/>
            <w:left w:w="108" w:type="dxa"/>
            <w:bottom w:w="0" w:type="dxa"/>
            <w:right w:w="108" w:type="dxa"/>
          </w:tblCellMar>
        </w:tblPrEx>
        <w:trPr>
          <w:trHeight w:val="540"/>
        </w:trPr>
        <w:tc>
          <w:tcPr>
            <w:tcW w:w="1974" w:type="dxa"/>
            <w:tcBorders>
              <w:top w:val="nil"/>
              <w:left w:val="single" w:sz="4" w:space="0" w:color="auto"/>
              <w:bottom w:val="single" w:sz="4" w:space="0" w:color="auto"/>
              <w:right w:val="single" w:sz="4" w:space="0" w:color="auto"/>
            </w:tcBorders>
          </w:tcPr>
          <w:p>
            <w:pPr>
              <w:rPr>
                <w:rFonts w:ascii="仿宋" w:eastAsia="仿宋" w:hAnsi="仿宋" w:cs="仿宋"/>
                <w:sz w:val="24"/>
                <w:szCs w:val="24"/>
              </w:rPr>
            </w:pPr>
            <w:r>
              <w:rPr>
                <w:rFonts w:ascii="仿宋" w:eastAsia="仿宋" w:hAnsi="仿宋" w:cs="仿宋" w:hint="eastAsia"/>
                <w:sz w:val="24"/>
                <w:szCs w:val="24"/>
              </w:rPr>
              <w:t>每年度最后10日前完成</w:t>
            </w:r>
          </w:p>
        </w:tc>
        <w:tc>
          <w:tcPr>
            <w:tcW w:w="2283"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 xml:space="preserve">年度计划 </w:t>
            </w:r>
          </w:p>
        </w:tc>
        <w:tc>
          <w:tcPr>
            <w:tcW w:w="2588"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质量部</w:t>
            </w:r>
          </w:p>
        </w:tc>
        <w:tc>
          <w:tcPr>
            <w:tcW w:w="1875"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年度计划的质量报告</w:t>
            </w:r>
          </w:p>
        </w:tc>
      </w:tr>
      <w:tr>
        <w:tblPrEx>
          <w:tblW w:w="8720" w:type="dxa"/>
          <w:tblInd w:w="0" w:type="dxa"/>
          <w:tblLayout w:type="fixed"/>
          <w:tblCellMar>
            <w:top w:w="0" w:type="dxa"/>
            <w:left w:w="108" w:type="dxa"/>
            <w:bottom w:w="0" w:type="dxa"/>
            <w:right w:w="108" w:type="dxa"/>
          </w:tblCellMar>
        </w:tblPrEx>
        <w:trPr>
          <w:trHeight w:val="540"/>
        </w:trPr>
        <w:tc>
          <w:tcPr>
            <w:tcW w:w="1974" w:type="dxa"/>
            <w:tcBorders>
              <w:top w:val="nil"/>
              <w:left w:val="single" w:sz="4" w:space="0" w:color="auto"/>
              <w:bottom w:val="single" w:sz="4" w:space="0" w:color="auto"/>
              <w:right w:val="single" w:sz="4" w:space="0" w:color="auto"/>
            </w:tcBorders>
          </w:tcPr>
          <w:p>
            <w:pPr>
              <w:rPr>
                <w:rFonts w:ascii="仿宋" w:eastAsia="仿宋" w:hAnsi="仿宋" w:cs="仿宋"/>
                <w:sz w:val="24"/>
                <w:szCs w:val="24"/>
              </w:rPr>
            </w:pPr>
            <w:r>
              <w:rPr>
                <w:rFonts w:ascii="仿宋" w:eastAsia="仿宋" w:hAnsi="仿宋" w:cs="仿宋" w:hint="eastAsia"/>
                <w:sz w:val="24"/>
                <w:szCs w:val="24"/>
              </w:rPr>
              <w:t>每年度最后10日前完成</w:t>
            </w:r>
          </w:p>
        </w:tc>
        <w:tc>
          <w:tcPr>
            <w:tcW w:w="2283"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 xml:space="preserve">指标体系 </w:t>
            </w:r>
          </w:p>
        </w:tc>
        <w:tc>
          <w:tcPr>
            <w:tcW w:w="2588"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质量部</w:t>
            </w:r>
          </w:p>
        </w:tc>
        <w:tc>
          <w:tcPr>
            <w:tcW w:w="1875"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达成率相关报告</w:t>
            </w:r>
          </w:p>
        </w:tc>
      </w:tr>
      <w:tr>
        <w:tblPrEx>
          <w:tblW w:w="8720" w:type="dxa"/>
          <w:tblInd w:w="0" w:type="dxa"/>
          <w:tblLayout w:type="fixed"/>
          <w:tblCellMar>
            <w:top w:w="0" w:type="dxa"/>
            <w:left w:w="108" w:type="dxa"/>
            <w:bottom w:w="0" w:type="dxa"/>
            <w:right w:w="108" w:type="dxa"/>
          </w:tblCellMar>
        </w:tblPrEx>
        <w:trPr>
          <w:trHeight w:val="600"/>
        </w:trPr>
        <w:tc>
          <w:tcPr>
            <w:tcW w:w="1974" w:type="dxa"/>
            <w:tcBorders>
              <w:top w:val="nil"/>
              <w:left w:val="single" w:sz="4" w:space="0" w:color="auto"/>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每年度一次</w:t>
            </w:r>
          </w:p>
        </w:tc>
        <w:tc>
          <w:tcPr>
            <w:tcW w:w="2283"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客户沟通</w:t>
            </w:r>
          </w:p>
        </w:tc>
        <w:tc>
          <w:tcPr>
            <w:tcW w:w="2588"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质量部</w:t>
            </w:r>
          </w:p>
        </w:tc>
        <w:tc>
          <w:tcPr>
            <w:tcW w:w="1875"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跟客户沟通的相关记录</w:t>
            </w:r>
          </w:p>
        </w:tc>
      </w:tr>
      <w:tr>
        <w:tblPrEx>
          <w:tblW w:w="8720" w:type="dxa"/>
          <w:tblInd w:w="0" w:type="dxa"/>
          <w:tblLayout w:type="fixed"/>
          <w:tblCellMar>
            <w:top w:w="0" w:type="dxa"/>
            <w:left w:w="108" w:type="dxa"/>
            <w:bottom w:w="0" w:type="dxa"/>
            <w:right w:w="108" w:type="dxa"/>
          </w:tblCellMar>
        </w:tblPrEx>
        <w:trPr>
          <w:trHeight w:val="540"/>
        </w:trPr>
        <w:tc>
          <w:tcPr>
            <w:tcW w:w="1974" w:type="dxa"/>
            <w:tcBorders>
              <w:top w:val="nil"/>
              <w:left w:val="single" w:sz="4" w:space="0" w:color="auto"/>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每半年一次</w:t>
            </w:r>
          </w:p>
        </w:tc>
        <w:tc>
          <w:tcPr>
            <w:tcW w:w="2283"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客户满意度调查</w:t>
            </w:r>
          </w:p>
        </w:tc>
        <w:tc>
          <w:tcPr>
            <w:tcW w:w="2588"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质量部</w:t>
            </w:r>
          </w:p>
        </w:tc>
        <w:tc>
          <w:tcPr>
            <w:tcW w:w="1875" w:type="dxa"/>
            <w:tcBorders>
              <w:top w:val="nil"/>
              <w:left w:val="nil"/>
              <w:bottom w:val="single" w:sz="4" w:space="0" w:color="auto"/>
              <w:right w:val="single" w:sz="4" w:space="0" w:color="auto"/>
            </w:tcBorders>
            <w:vAlign w:val="center"/>
          </w:tcPr>
          <w:p>
            <w:pPr>
              <w:widowControl/>
              <w:jc w:val="center"/>
              <w:rPr>
                <w:rFonts w:ascii="仿宋" w:eastAsia="仿宋" w:hAnsi="仿宋" w:cs="仿宋"/>
                <w:color w:val="000000"/>
                <w:kern w:val="0"/>
                <w:sz w:val="24"/>
                <w:szCs w:val="24"/>
              </w:rPr>
            </w:pPr>
            <w:r>
              <w:rPr>
                <w:rFonts w:ascii="仿宋" w:eastAsia="仿宋" w:hAnsi="仿宋" w:cs="仿宋" w:hint="eastAsia"/>
                <w:color w:val="000000"/>
                <w:kern w:val="0"/>
                <w:sz w:val="24"/>
                <w:szCs w:val="24"/>
              </w:rPr>
              <w:t>客户满意度调查报告</w:t>
            </w:r>
          </w:p>
        </w:tc>
      </w:tr>
    </w:tbl>
    <w:p>
      <w:pPr>
        <w:rPr>
          <w:rFonts w:ascii="仿宋" w:eastAsia="仿宋" w:hAnsi="仿宋" w:cs="仿宋"/>
          <w:sz w:val="24"/>
          <w:szCs w:val="24"/>
        </w:rPr>
      </w:pPr>
    </w:p>
    <w:p>
      <w:pPr>
        <w:pStyle w:val="Heading1"/>
        <w:spacing w:before="163" w:after="163"/>
        <w:rPr>
          <w:rFonts w:ascii="仿宋" w:eastAsia="仿宋" w:hAnsi="仿宋" w:cs="仿宋"/>
          <w:sz w:val="28"/>
          <w:szCs w:val="28"/>
        </w:rPr>
      </w:pPr>
      <w:bookmarkStart w:id="32" w:name="_Toc4507_WPSOffice_Level1"/>
      <w:bookmarkStart w:id="33" w:name="_Toc56170641"/>
      <w:bookmarkStart w:id="34" w:name="_Toc433010076"/>
      <w:r>
        <w:rPr>
          <w:rFonts w:ascii="仿宋" w:eastAsia="仿宋" w:hAnsi="仿宋" w:cs="仿宋" w:hint="eastAsia"/>
          <w:sz w:val="28"/>
          <w:szCs w:val="28"/>
        </w:rPr>
        <w:t>7.管理评审</w:t>
      </w:r>
      <w:bookmarkEnd w:id="32"/>
      <w:bookmarkEnd w:id="33"/>
      <w:bookmarkEnd w:id="34"/>
    </w:p>
    <w:p>
      <w:pPr>
        <w:tabs>
          <w:tab w:val="left" w:pos="8505"/>
        </w:tabs>
        <w:adjustRightInd w:val="0"/>
        <w:snapToGrid w:val="0"/>
        <w:spacing w:before="60" w:line="300" w:lineRule="auto"/>
        <w:ind w:firstLine="420" w:firstLineChars="200"/>
        <w:rPr>
          <w:rFonts w:ascii="仿宋" w:eastAsia="仿宋" w:hAnsi="仿宋" w:cs="仿宋"/>
          <w:sz w:val="24"/>
          <w:szCs w:val="24"/>
        </w:rPr>
      </w:pPr>
      <w:r>
        <w:rPr>
          <w:rFonts w:ascii="仿宋" w:eastAsia="仿宋" w:hAnsi="仿宋" w:cs="仿宋" w:hint="eastAsia"/>
          <w:sz w:val="24"/>
          <w:szCs w:val="24"/>
        </w:rPr>
        <w:t>公司运维服务能力管理评审，由公司质量部召集有关人员，每年度就本公司质量方针和质量目标以及运维服务能力管理体系的适宜性、充分性和有效性进行一次管理评审。</w:t>
      </w:r>
    </w:p>
    <w:p>
      <w:pPr>
        <w:tabs>
          <w:tab w:val="left" w:pos="8505"/>
        </w:tabs>
        <w:adjustRightInd w:val="0"/>
        <w:snapToGrid w:val="0"/>
        <w:spacing w:before="60" w:line="300" w:lineRule="auto"/>
        <w:ind w:firstLine="420" w:firstLineChars="200"/>
        <w:rPr>
          <w:rFonts w:ascii="仿宋" w:eastAsia="仿宋" w:hAnsi="仿宋" w:cs="仿宋"/>
          <w:sz w:val="24"/>
          <w:szCs w:val="24"/>
        </w:rPr>
      </w:pPr>
      <w:r>
        <w:rPr>
          <w:rFonts w:ascii="仿宋" w:eastAsia="仿宋" w:hAnsi="仿宋" w:cs="仿宋" w:hint="eastAsia"/>
          <w:sz w:val="24"/>
          <w:szCs w:val="24"/>
        </w:rPr>
        <w:t>当市场、组织结构发生重大变化或发生重大质量事故时，公司分管领导可随时提出进行管理评审。</w:t>
      </w:r>
    </w:p>
    <w:p>
      <w:pPr>
        <w:adjustRightInd w:val="0"/>
        <w:snapToGrid w:val="0"/>
        <w:spacing w:line="300" w:lineRule="auto"/>
        <w:ind w:firstLine="420" w:firstLineChars="200"/>
        <w:rPr>
          <w:rFonts w:ascii="仿宋" w:eastAsia="仿宋" w:hAnsi="仿宋" w:cs="仿宋"/>
          <w:sz w:val="24"/>
          <w:szCs w:val="24"/>
        </w:rPr>
      </w:pPr>
      <w:r>
        <w:rPr>
          <w:rFonts w:ascii="仿宋" w:eastAsia="仿宋" w:hAnsi="仿宋" w:cs="仿宋" w:hint="eastAsia"/>
          <w:sz w:val="24"/>
          <w:szCs w:val="24"/>
        </w:rPr>
        <w:t>管理评审结果应形成报告，并及时对管理评审的改进措施进行跟踪，评审记录应予以保存。</w:t>
      </w:r>
    </w:p>
    <w:p>
      <w:pPr>
        <w:adjustRightInd w:val="0"/>
        <w:snapToGrid w:val="0"/>
        <w:spacing w:line="300" w:lineRule="auto"/>
        <w:ind w:firstLine="420" w:firstLineChars="200"/>
        <w:rPr>
          <w:rFonts w:ascii="仿宋" w:eastAsia="仿宋" w:hAnsi="仿宋" w:cs="仿宋"/>
          <w:sz w:val="24"/>
          <w:szCs w:val="24"/>
        </w:rPr>
      </w:pPr>
      <w:r>
        <w:rPr>
          <w:rFonts w:ascii="仿宋" w:eastAsia="仿宋" w:hAnsi="仿宋" w:cs="仿宋" w:hint="eastAsia"/>
          <w:sz w:val="24"/>
          <w:szCs w:val="24"/>
        </w:rPr>
        <w:t>管理评审过程控制参见《管理评审制度》。</w:t>
      </w:r>
    </w:p>
    <w:p>
      <w:pPr>
        <w:pStyle w:val="Heading1"/>
        <w:spacing w:before="163" w:after="163"/>
        <w:rPr>
          <w:rFonts w:ascii="仿宋" w:eastAsia="仿宋" w:hAnsi="仿宋" w:cs="仿宋"/>
          <w:sz w:val="28"/>
          <w:szCs w:val="28"/>
        </w:rPr>
      </w:pPr>
      <w:bookmarkStart w:id="35" w:name="_Toc56170642"/>
      <w:bookmarkStart w:id="36" w:name="_Toc30793_WPSOffice_Level1"/>
      <w:bookmarkStart w:id="37" w:name="_Toc433010077"/>
      <w:r>
        <w:rPr>
          <w:rFonts w:ascii="仿宋" w:eastAsia="仿宋" w:hAnsi="仿宋" w:cs="仿宋" w:hint="eastAsia"/>
          <w:sz w:val="28"/>
          <w:szCs w:val="28"/>
        </w:rPr>
        <w:t>8.内部审核</w:t>
      </w:r>
      <w:bookmarkEnd w:id="35"/>
      <w:bookmarkEnd w:id="36"/>
      <w:bookmarkEnd w:id="37"/>
    </w:p>
    <w:p>
      <w:pPr>
        <w:widowControl/>
        <w:adjustRightInd w:val="0"/>
        <w:snapToGrid w:val="0"/>
        <w:spacing w:line="360" w:lineRule="auto"/>
        <w:ind w:firstLine="420" w:firstLineChars="200"/>
        <w:rPr>
          <w:rFonts w:ascii="仿宋" w:eastAsia="仿宋" w:hAnsi="仿宋" w:cs="仿宋"/>
          <w:kern w:val="0"/>
          <w:sz w:val="24"/>
          <w:szCs w:val="24"/>
        </w:rPr>
      </w:pPr>
      <w:r>
        <w:rPr>
          <w:rFonts w:ascii="仿宋" w:eastAsia="仿宋" w:hAnsi="仿宋" w:cs="仿宋" w:hint="eastAsia"/>
          <w:sz w:val="24"/>
          <w:szCs w:val="24"/>
        </w:rPr>
        <w:t>公司每年组织至少一次针对运维服务能力管理体系的内部审核，必要时，</w:t>
      </w:r>
      <w:r>
        <w:rPr>
          <w:rFonts w:ascii="仿宋" w:eastAsia="仿宋" w:hAnsi="仿宋" w:cs="仿宋" w:hint="eastAsia"/>
          <w:kern w:val="0"/>
          <w:sz w:val="24"/>
          <w:szCs w:val="24"/>
        </w:rPr>
        <w:t>可增加对某过程或部门的审核频次。</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通过每年的ITSS标准内部审核，对运维业务相关部门按照ITSS标准和公司运维服务能力管理体系文件进行监督审核。</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内部审核由质量部负责组织审核组成员执行，受审核部门配合并实施纠正措施。</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质量部组织内部质量审核工作，由部门经理审核组长，负责编制审核计划，并送受审核部门及参加审核的有关人员进行实施。内部审核可请外部专家参加。</w:t>
      </w:r>
    </w:p>
    <w:p>
      <w:pPr>
        <w:widowControl/>
        <w:adjustRightInd w:val="0"/>
        <w:snapToGrid w:val="0"/>
        <w:spacing w:line="360" w:lineRule="auto"/>
        <w:ind w:firstLine="420" w:firstLineChars="200"/>
        <w:rPr>
          <w:rFonts w:ascii="仿宋" w:eastAsia="仿宋" w:hAnsi="仿宋" w:cs="仿宋" w:hint="eastAsia"/>
          <w:sz w:val="24"/>
          <w:szCs w:val="24"/>
          <w:lang w:val="en-US" w:eastAsia="zh-CN"/>
        </w:rPr>
      </w:pPr>
      <w:r>
        <w:rPr>
          <w:rFonts w:ascii="仿宋" w:eastAsia="仿宋" w:hAnsi="仿宋" w:cs="仿宋" w:hint="eastAsia"/>
          <w:sz w:val="24"/>
          <w:szCs w:val="24"/>
        </w:rPr>
        <w:t>审核结果由审核组长负责编制服务质量内部审核报告，报总经理批准后发布。受审核部门对审核中发现的不符合项应进行原因分析，采取必要的纠正和纠正措施，以消除不符合项及其原因。质量部负责对纠正措施的跟踪验证。</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内部审核过程控制参见《内审管理制度》。</w:t>
      </w:r>
    </w:p>
    <w:p>
      <w:pPr>
        <w:pStyle w:val="Heading1"/>
        <w:spacing w:before="163" w:after="163"/>
        <w:rPr>
          <w:rFonts w:ascii="仿宋" w:eastAsia="仿宋" w:hAnsi="仿宋" w:cs="仿宋"/>
          <w:sz w:val="28"/>
          <w:szCs w:val="28"/>
        </w:rPr>
      </w:pPr>
      <w:bookmarkStart w:id="38" w:name="_Toc56170643"/>
      <w:bookmarkStart w:id="39" w:name="_Toc433010078"/>
      <w:bookmarkStart w:id="40" w:name="_Toc18464_WPSOffice_Level1"/>
      <w:r>
        <w:rPr>
          <w:rFonts w:ascii="仿宋" w:eastAsia="仿宋" w:hAnsi="仿宋" w:cs="仿宋" w:hint="eastAsia"/>
          <w:sz w:val="28"/>
          <w:szCs w:val="28"/>
        </w:rPr>
        <w:t>9.客户投诉处理</w:t>
      </w:r>
      <w:bookmarkEnd w:id="38"/>
      <w:bookmarkEnd w:id="39"/>
      <w:bookmarkEnd w:id="40"/>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运维部负责客户问题处理的归口管理（由服务台受理，把投诉内容反馈给，跟踪投诉进展），质量管理人员进行</w:t>
      </w:r>
      <w:r>
        <w:rPr>
          <w:rFonts w:ascii="仿宋" w:eastAsia="仿宋" w:hAnsi="仿宋" w:cs="仿宋" w:hint="eastAsia"/>
          <w:sz w:val="24"/>
          <w:szCs w:val="24"/>
          <w:lang w:val="zh-CN"/>
        </w:rPr>
        <w:t>客户问题的受理、沟通协调</w:t>
      </w:r>
      <w:r>
        <w:rPr>
          <w:rFonts w:ascii="仿宋" w:eastAsia="仿宋" w:hAnsi="仿宋" w:cs="仿宋" w:hint="eastAsia"/>
          <w:sz w:val="24"/>
          <w:szCs w:val="24"/>
        </w:rPr>
        <w:t>，负责监督、检查客户问题处置的有效性和记录的归档。</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运维部负责处理服务实施、服务交付等方面的客户问题，负责制定问题处置措施并解决客户问题。</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客户问题来源、渠道、分类与处理过程控制参见《客户投诉处理制度》。</w:t>
      </w:r>
      <w:bookmarkStart w:id="41" w:name="_Toc433010079"/>
      <w:r>
        <w:rPr>
          <w:rFonts w:ascii="仿宋" w:eastAsia="仿宋" w:hAnsi="仿宋" w:cs="仿宋" w:hint="eastAsia"/>
          <w:sz w:val="24"/>
          <w:szCs w:val="24"/>
        </w:rPr>
        <w:t>满意度调查</w:t>
      </w:r>
      <w:bookmarkEnd w:id="41"/>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顾客满意是本公司建立和实施运维服务能力管理体系的目标，为了评价和确认顾客的要求和期望是否已经满足，并改进运维服务能力管理体系绩效，本公司编制了《客户满意度调查制度》。</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客户满意度调查制度》由质量部组织实施，质量部和运维部负责收集顾客满意程度的信息。顾客满意程度信息的收集通过走访调查、电话询问等方式进行。信息范围包括服务和现场检查信息、运行回访信息、顾客反馈意见和新闻媒体信息等。对收集到的信息由质量部负责进行分类统计和分析，其分析结果可用来评价本公司运维服务能力管理体系的绩效。顾客满意度调查工作每半年进行1次。</w:t>
      </w:r>
    </w:p>
    <w:p>
      <w:pPr>
        <w:widowControl/>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对于满意度调查的顾客抱怨，需进行问题解决，对满意度调查的分析结果，找出问题的原因和潜在的因素，提出改进和预防措施，质量部牵头并负责跟踪。</w:t>
      </w:r>
    </w:p>
    <w:p>
      <w:pPr>
        <w:pStyle w:val="Heading1"/>
        <w:spacing w:before="163" w:after="163"/>
        <w:rPr>
          <w:rFonts w:ascii="仿宋" w:eastAsia="仿宋" w:hAnsi="仿宋" w:cs="仿宋"/>
          <w:sz w:val="28"/>
          <w:szCs w:val="28"/>
        </w:rPr>
      </w:pPr>
      <w:bookmarkStart w:id="42" w:name="_Toc56170644"/>
      <w:bookmarkStart w:id="43" w:name="_Toc433010080"/>
      <w:bookmarkStart w:id="44" w:name="_Toc21036_WPSOffice_Level1"/>
      <w:r>
        <w:rPr>
          <w:rFonts w:ascii="仿宋" w:eastAsia="仿宋" w:hAnsi="仿宋" w:cs="仿宋" w:hint="eastAsia"/>
          <w:sz w:val="28"/>
          <w:szCs w:val="28"/>
        </w:rPr>
        <w:t>10.持续改进</w:t>
      </w:r>
      <w:bookmarkEnd w:id="42"/>
      <w:bookmarkEnd w:id="43"/>
      <w:bookmarkEnd w:id="44"/>
    </w:p>
    <w:p>
      <w:pPr>
        <w:widowControl/>
        <w:adjustRightInd w:val="0"/>
        <w:snapToGrid w:val="0"/>
        <w:spacing w:line="360" w:lineRule="auto"/>
        <w:ind w:firstLine="441" w:firstLineChars="210"/>
        <w:rPr>
          <w:rFonts w:ascii="仿宋" w:eastAsia="仿宋" w:hAnsi="仿宋" w:cs="仿宋"/>
          <w:sz w:val="24"/>
          <w:szCs w:val="24"/>
        </w:rPr>
      </w:pPr>
      <w:r>
        <w:rPr>
          <w:rFonts w:ascii="仿宋" w:eastAsia="仿宋" w:hAnsi="仿宋" w:cs="仿宋" w:hint="eastAsia"/>
          <w:sz w:val="24"/>
          <w:szCs w:val="24"/>
        </w:rPr>
        <w:t>持续改进的目的是提高运维服务能力管理体系过程的效率和有效性，在满足要求的基础上进一步改进。持续改进涉及能力管理体系、服务过程与产品，涉及质量特性、特征，包括长远的战略性的改进，和日常的改进。</w:t>
      </w:r>
    </w:p>
    <w:p>
      <w:pPr>
        <w:widowControl/>
        <w:adjustRightInd w:val="0"/>
        <w:snapToGrid w:val="0"/>
        <w:spacing w:line="360" w:lineRule="auto"/>
        <w:ind w:firstLine="441" w:firstLineChars="210"/>
        <w:rPr>
          <w:rFonts w:ascii="仿宋" w:eastAsia="仿宋" w:hAnsi="仿宋" w:cs="仿宋"/>
          <w:sz w:val="24"/>
          <w:szCs w:val="24"/>
        </w:rPr>
      </w:pPr>
      <w:r>
        <w:rPr>
          <w:rFonts w:ascii="仿宋" w:eastAsia="仿宋" w:hAnsi="仿宋" w:cs="仿宋" w:hint="eastAsia"/>
          <w:sz w:val="24"/>
          <w:szCs w:val="24"/>
        </w:rPr>
        <w:t>公司通过实施质量方针不断营造激励改进的氛围和环境，通过推进实施质量目标，明确改进方向。利用审核结果、数据分析、纠正和预防措施以及管理评审来促进管理体系的持续改进。</w:t>
      </w:r>
    </w:p>
    <w:p>
      <w:pPr>
        <w:tabs>
          <w:tab w:val="left" w:pos="476"/>
        </w:tabs>
        <w:spacing w:line="360" w:lineRule="auto"/>
        <w:ind w:left="-15" w:firstLine="420" w:leftChars="-7" w:firstLineChars="200"/>
        <w:rPr>
          <w:rFonts w:ascii="仿宋" w:eastAsia="仿宋" w:hAnsi="仿宋" w:cs="仿宋"/>
          <w:sz w:val="24"/>
          <w:szCs w:val="24"/>
        </w:rPr>
      </w:pPr>
      <w:r>
        <w:rPr>
          <w:rFonts w:ascii="仿宋" w:eastAsia="仿宋" w:hAnsi="仿宋" w:cs="仿宋" w:hint="eastAsia"/>
          <w:sz w:val="24"/>
          <w:szCs w:val="24"/>
        </w:rPr>
        <w:t>质量持续改进活动可通过确定、分析和测量现状；确定改进目标；研究可能改进的方案；评价改进方案；实施改进方案；对实施进行验证、分析和测量；将涉及的更改纳入文件规定；对遗留问题按PDCA循环持续改进等步骤实施。</w:t>
      </w:r>
    </w:p>
    <w:p>
      <w:pPr>
        <w:pStyle w:val="Heading2"/>
        <w:spacing w:before="163" w:after="163"/>
        <w:rPr>
          <w:rFonts w:ascii="仿宋" w:eastAsia="仿宋" w:hAnsi="仿宋" w:cs="仿宋"/>
          <w:sz w:val="24"/>
          <w:szCs w:val="24"/>
        </w:rPr>
      </w:pPr>
      <w:bookmarkStart w:id="45" w:name="_Toc433010081"/>
      <w:bookmarkStart w:id="46" w:name="_Toc30660_WPSOffice_Level2"/>
      <w:bookmarkStart w:id="47" w:name="_Toc56170645"/>
      <w:r>
        <w:rPr>
          <w:rFonts w:ascii="仿宋" w:eastAsia="仿宋" w:hAnsi="仿宋" w:cs="仿宋" w:hint="eastAsia"/>
          <w:sz w:val="24"/>
          <w:szCs w:val="24"/>
        </w:rPr>
        <w:t>10.1纠正措施</w:t>
      </w:r>
      <w:bookmarkEnd w:id="45"/>
      <w:bookmarkEnd w:id="46"/>
      <w:bookmarkEnd w:id="47"/>
    </w:p>
    <w:p>
      <w:pPr>
        <w:widowControl/>
        <w:tabs>
          <w:tab w:val="left" w:pos="1134"/>
          <w:tab w:val="left" w:pos="8505"/>
        </w:tabs>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为采取恰当措施，消除不符合项原因，防止不符合项的再发生，纠正措施的程序包括：</w:t>
      </w:r>
    </w:p>
    <w:p>
      <w:pPr>
        <w:pStyle w:val="10"/>
        <w:widowControl/>
        <w:numPr>
          <w:ilvl w:val="0"/>
          <w:numId w:val="6"/>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评审不符合项报告和顾客抱怨；</w:t>
      </w:r>
    </w:p>
    <w:p>
      <w:pPr>
        <w:pStyle w:val="10"/>
        <w:widowControl/>
        <w:numPr>
          <w:ilvl w:val="0"/>
          <w:numId w:val="6"/>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分析与过程、产品和质量体系有关的不符合项产生的原因；</w:t>
      </w:r>
    </w:p>
    <w:p>
      <w:pPr>
        <w:pStyle w:val="10"/>
        <w:widowControl/>
        <w:numPr>
          <w:ilvl w:val="0"/>
          <w:numId w:val="6"/>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针对原因评价措施需求并最终确定防止不符合项再次发生的措施； </w:t>
      </w:r>
    </w:p>
    <w:p>
      <w:pPr>
        <w:pStyle w:val="10"/>
        <w:widowControl/>
        <w:numPr>
          <w:ilvl w:val="0"/>
          <w:numId w:val="6"/>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实施已确定的纠正措施并验证其有效性。若纠正无效，应重新分析不 合格原因，确定和实施纠正措施；</w:t>
      </w:r>
    </w:p>
    <w:p>
      <w:pPr>
        <w:pStyle w:val="10"/>
        <w:widowControl/>
        <w:numPr>
          <w:ilvl w:val="0"/>
          <w:numId w:val="6"/>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记录所采取措施的结果；</w:t>
      </w:r>
    </w:p>
    <w:p>
      <w:pPr>
        <w:pStyle w:val="10"/>
        <w:widowControl/>
        <w:numPr>
          <w:ilvl w:val="0"/>
          <w:numId w:val="6"/>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由质量部负责，把重要的纠正措施的有关信息提交管理评审。</w:t>
      </w:r>
    </w:p>
    <w:p>
      <w:pPr>
        <w:pStyle w:val="Heading2"/>
        <w:spacing w:before="163" w:after="163"/>
        <w:rPr>
          <w:rFonts w:ascii="仿宋" w:eastAsia="仿宋" w:hAnsi="仿宋" w:cs="仿宋"/>
          <w:sz w:val="24"/>
          <w:szCs w:val="24"/>
        </w:rPr>
      </w:pPr>
      <w:bookmarkStart w:id="48" w:name="_Toc56170646"/>
      <w:bookmarkStart w:id="49" w:name="_Toc433010082"/>
      <w:bookmarkStart w:id="50" w:name="_Toc27256_WPSOffice_Level2"/>
      <w:r>
        <w:rPr>
          <w:rFonts w:ascii="仿宋" w:eastAsia="仿宋" w:hAnsi="仿宋" w:cs="仿宋" w:hint="eastAsia"/>
          <w:sz w:val="24"/>
          <w:szCs w:val="24"/>
        </w:rPr>
        <w:t>10.2 预防措施</w:t>
      </w:r>
      <w:bookmarkEnd w:id="48"/>
      <w:bookmarkEnd w:id="49"/>
      <w:bookmarkEnd w:id="50"/>
    </w:p>
    <w:p>
      <w:pPr>
        <w:widowControl/>
        <w:tabs>
          <w:tab w:val="left" w:pos="1134"/>
          <w:tab w:val="left" w:pos="8505"/>
        </w:tabs>
        <w:adjustRightInd w:val="0"/>
        <w:snapToGrid w:val="0"/>
        <w:spacing w:line="360" w:lineRule="auto"/>
        <w:ind w:firstLine="420" w:firstLineChars="200"/>
        <w:rPr>
          <w:rFonts w:ascii="仿宋" w:eastAsia="仿宋" w:hAnsi="仿宋" w:cs="仿宋"/>
          <w:sz w:val="24"/>
          <w:szCs w:val="24"/>
        </w:rPr>
      </w:pPr>
      <w:r>
        <w:rPr>
          <w:rFonts w:ascii="仿宋" w:eastAsia="仿宋" w:hAnsi="仿宋" w:cs="仿宋" w:hint="eastAsia"/>
          <w:sz w:val="24"/>
          <w:szCs w:val="24"/>
        </w:rPr>
        <w:t>为采取恰当措施，消除潜在不符合项原因，防止不符合项的发生，预防措施的程序包括：</w:t>
      </w:r>
    </w:p>
    <w:p>
      <w:pPr>
        <w:pStyle w:val="10"/>
        <w:widowControl/>
        <w:numPr>
          <w:ilvl w:val="0"/>
          <w:numId w:val="7"/>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利用有效的信息来源，以发现、分析并确定潜在的不符合项原因；</w:t>
      </w:r>
    </w:p>
    <w:p>
      <w:pPr>
        <w:pStyle w:val="10"/>
        <w:widowControl/>
        <w:numPr>
          <w:ilvl w:val="0"/>
          <w:numId w:val="7"/>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针对原因评价措施需求并最终确定防止不符合项发生的措施；</w:t>
      </w:r>
    </w:p>
    <w:p>
      <w:pPr>
        <w:pStyle w:val="10"/>
        <w:widowControl/>
        <w:numPr>
          <w:ilvl w:val="0"/>
          <w:numId w:val="7"/>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实施已确定的措施并验证其有效性；</w:t>
      </w:r>
    </w:p>
    <w:p>
      <w:pPr>
        <w:pStyle w:val="10"/>
        <w:widowControl/>
        <w:numPr>
          <w:ilvl w:val="0"/>
          <w:numId w:val="7"/>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记录所采取措施的结果；</w:t>
      </w:r>
    </w:p>
    <w:p>
      <w:pPr>
        <w:pStyle w:val="10"/>
        <w:widowControl/>
        <w:numPr>
          <w:ilvl w:val="0"/>
          <w:numId w:val="7"/>
        </w:numPr>
        <w:adjustRightInd w:val="0"/>
        <w:snapToGrid w:val="0"/>
        <w:spacing w:line="360" w:lineRule="auto"/>
        <w:ind w:firstLineChars="0"/>
        <w:rPr>
          <w:rFonts w:ascii="仿宋" w:eastAsia="仿宋" w:hAnsi="仿宋" w:cs="仿宋"/>
          <w:sz w:val="24"/>
          <w:szCs w:val="24"/>
        </w:rPr>
      </w:pPr>
      <w:r>
        <w:rPr>
          <w:rFonts w:ascii="仿宋" w:eastAsia="仿宋" w:hAnsi="仿宋" w:cs="仿宋" w:hint="eastAsia"/>
          <w:sz w:val="24"/>
          <w:szCs w:val="24"/>
        </w:rPr>
        <w:t xml:space="preserve"> 由质量部负责，把预防措施的有关信息提交给管理评审。</w:t>
      </w:r>
      <w:bookmarkStart w:id="51" w:name="附2"/>
      <w:bookmarkEnd w:id="51"/>
      <w:bookmarkStart w:id="52" w:name="附1"/>
      <w:bookmarkEnd w:id="52"/>
      <w:bookmarkStart w:id="53" w:name="附3"/>
      <w:bookmarkEnd w:id="53"/>
    </w:p>
    <w:p>
      <w:pPr>
        <w:tabs>
          <w:tab w:val="left" w:pos="476"/>
        </w:tabs>
        <w:spacing w:line="360" w:lineRule="auto"/>
        <w:ind w:left="-17" w:right="133"/>
        <w:rPr>
          <w:rFonts w:ascii="仿宋" w:eastAsia="仿宋" w:hAnsi="仿宋" w:cs="仿宋"/>
          <w:b/>
          <w:sz w:val="24"/>
          <w:szCs w:val="24"/>
        </w:rPr>
      </w:pPr>
      <w:r>
        <w:rPr>
          <w:rFonts w:ascii="仿宋" w:eastAsia="仿宋" w:hAnsi="仿宋" w:cs="仿宋" w:hint="eastAsia"/>
          <w:b/>
          <w:color w:val="FF0000"/>
          <w:sz w:val="24"/>
          <w:szCs w:val="24"/>
        </w:rPr>
        <w:t xml:space="preserve">  </w:t>
      </w:r>
    </w:p>
    <w:sectPr>
      <w:footerReference w:type="default" r:id="rId9"/>
      <w:pgSz w:w="11906" w:h="16838"/>
      <w:pgMar w:top="1418" w:right="1701" w:bottom="1418" w:left="1701" w:header="851" w:footer="964" w:gutter="0"/>
      <w:pgNumType w:start="1"/>
      <w:cols w:num="1" w:space="720"/>
      <w:docGrid w:type="linesAndChars" w:linePitch="326" w:charSpace="53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615"/>
        <w:tab w:val="clear" w:pos="4153"/>
        <w:tab w:val="center" w:pos="4252"/>
        <w:tab w:val="clear" w:pos="8306"/>
        <w:tab w:val="right" w:pos="8504"/>
      </w:tabs>
      <w:jc w:val="right"/>
      <w:rPr>
        <w:rFonts w:ascii="黑体" w:eastAsia="黑体" w:hAnsi="黑体"/>
        <w:b/>
        <w:sz w:val="21"/>
        <w:szCs w:val="21"/>
      </w:rPr>
    </w:pPr>
    <w:r>
      <w:rPr>
        <w:rFonts w:ascii="Times New Roman" w:hAnsi="Times New Roman"/>
      </w:rPr>
      <w:t xml:space="preserve"> </w:t>
    </w:r>
    <w:r>
      <w:rPr>
        <w:rFonts w:hint="eastAsia"/>
      </w:rPr>
      <w:t xml:space="preserve">                                           </w:t>
    </w:r>
    <w:r>
      <w:t xml:space="preserve">               </w:t>
    </w:r>
    <w:r>
      <w:rPr>
        <w:rFonts w:hint="eastAsia"/>
      </w:rPr>
      <w:t>运维服务质量管理制度</w:t>
    </w:r>
    <w:r>
      <w:rPr>
        <w:rFonts w:ascii="黑体" w:eastAsia="黑体" w:hAnsi="黑体"/>
        <w:b/>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26"/>
    <w:multiLevelType w:val="multilevel"/>
    <w:tmpl w:val="00000026"/>
    <w:lvl w:ilvl="0">
      <w:start w:val="1"/>
      <w:numFmt w:val="decimal"/>
      <w:pStyle w:val="a5"/>
      <w:lvlText w:val="%1"/>
      <w:lvlJc w:val="left"/>
      <w:pPr>
        <w:ind w:left="425" w:hanging="425"/>
      </w:pPr>
      <w:rPr>
        <w:rFonts w:ascii="Times New Roman" w:hAnsi="Times New Roman" w:cs="Times New Roman" w:hint="default"/>
      </w:rPr>
    </w:lvl>
    <w:lvl w:ilvl="1">
      <w:start w:val="1"/>
      <w:numFmt w:val="decimal"/>
      <w:lvlJc w:val="left"/>
      <w:rPr>
        <w:rFonts w:cs="Times New Roman"/>
      </w:rPr>
    </w:lvl>
    <w:lvl w:ilvl="2">
      <w:start w:val="1"/>
      <w:numFmt w:val="decimal"/>
      <w:lvlJc w:val="left"/>
      <w:rPr>
        <w:rFonts w:cs="Times New Roman"/>
      </w:rPr>
    </w:lvl>
    <w:lvl w:ilvl="3">
      <w:start w:val="1"/>
      <w:numFmt w:val="decimal"/>
      <w:lvlJc w:val="left"/>
      <w:rPr>
        <w:rFonts w:cs="Times New Roman"/>
      </w:rPr>
    </w:lvl>
    <w:lvl w:ilvl="4">
      <w:start w:val="1"/>
      <w:numFmt w:val="decimal"/>
      <w:lvlJc w:val="left"/>
      <w:rPr>
        <w:rFonts w:cs="Times New Roman"/>
      </w:rPr>
    </w:lvl>
    <w:lvl w:ilvl="5">
      <w:start w:val="1"/>
      <w:numFmt w:val="decimal"/>
      <w:lvlJc w:val="left"/>
      <w:rPr>
        <w:rFonts w:cs="Times New Roman"/>
      </w:rPr>
    </w:lvl>
    <w:lvl w:ilvl="6">
      <w:start w:val="1"/>
      <w:numFmt w:val="decimal"/>
      <w:lvlJc w:val="left"/>
      <w:rPr>
        <w:rFonts w:cs="Times New Roman"/>
      </w:rPr>
    </w:lvl>
    <w:lvl w:ilvl="7">
      <w:start w:val="1"/>
      <w:numFmt w:val="decimal"/>
      <w:lvlJc w:val="left"/>
      <w:rPr>
        <w:rFonts w:cs="Times New Roman"/>
      </w:rPr>
    </w:lvl>
    <w:lvl w:ilvl="8">
      <w:start w:val="1"/>
      <w:numFmt w:val="decimal"/>
      <w:lvlJc w:val="left"/>
      <w:rPr>
        <w:rFonts w:cs="Times New Roman"/>
      </w:rPr>
    </w:lvl>
  </w:abstractNum>
  <w:abstractNum w:abstractNumId="1">
    <w:nsid w:val="397D3481"/>
    <w:multiLevelType w:val="multilevel"/>
    <w:tmpl w:val="397D3481"/>
    <w:lvl w:ilvl="0">
      <w:start w:val="1"/>
      <w:numFmt w:val="decimal"/>
      <w:pStyle w:val="B1"/>
      <w:lvlText w:val="（%1）"/>
      <w:lvlJc w:val="left"/>
      <w:pPr>
        <w:ind w:left="42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hint="eastAsia"/>
        <w:sz w:val="24"/>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nsid w:val="4E7D4C33"/>
    <w:multiLevelType w:val="multilevel"/>
    <w:tmpl w:val="4E7D4C33"/>
    <w:lvl w:ilvl="0">
      <w:start w:val="1"/>
      <w:numFmt w:val="decimal"/>
      <w:pStyle w:val="a6"/>
      <w:lvlText w:val="(%1)"/>
      <w:lvlJc w:val="left"/>
      <w:pPr>
        <w:ind w:left="952" w:hanging="42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
    <w:nsid w:val="4ECB0334"/>
    <w:multiLevelType w:val="multilevel"/>
    <w:tmpl w:val="4ECB033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nsid w:val="5A50042E"/>
    <w:multiLevelType w:val="multilevel"/>
    <w:tmpl w:val="5A50042E"/>
    <w:lvl w:ilvl="0">
      <w:start w:val="1"/>
      <w:numFmt w:val="decimal"/>
      <w:lvlText w:val="(%1)"/>
      <w:lvlJc w:val="left"/>
      <w:pPr>
        <w:ind w:left="1680" w:hanging="420"/>
      </w:pPr>
      <w:rPr>
        <w:rFonts w:cs="Times New Roman" w:hint="eastAsia"/>
        <w:sz w:val="24"/>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5">
    <w:nsid w:val="5F0222BC"/>
    <w:multiLevelType w:val="multilevel"/>
    <w:tmpl w:val="5F0222BC"/>
    <w:lvl w:ilvl="0">
      <w:start w:val="1"/>
      <w:numFmt w:val="decimal"/>
      <w:lvlText w:val="（%1）"/>
      <w:lvlJc w:val="left"/>
      <w:pPr>
        <w:ind w:left="420" w:hanging="420"/>
      </w:pPr>
      <w:rPr>
        <w:rFonts w:cs="Times New Roman" w:hint="eastAsia"/>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hint="eastAsia"/>
        <w:sz w:val="24"/>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6">
    <w:nsid w:val="76DB74F5"/>
    <w:multiLevelType w:val="multilevel"/>
    <w:tmpl w:val="76DB74F5"/>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num w:numId="1">
    <w:abstractNumId w:val="0"/>
  </w:num>
  <w:num w:numId="2">
    <w:abstractNumId w:val="2"/>
  </w:num>
  <w:num w:numId="3">
    <w:abstractNumId w:val="1"/>
  </w:num>
  <w:num w:numId="4">
    <w:abstractNumId w:val="5"/>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oNotTrackMoves/>
  <w:defaultTabStop w:val="120"/>
  <w:drawingGridHorizontalSpacing w:val="118"/>
  <w:drawingGridVerticalSpacing w:val="163"/>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2NTkyOGM2YjI2OTQwZmM2MmQxMjNhNGM5MGQ4MG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nhideWhenUsed="0" w:qFormat="1"/>
    <w:lsdException w:name="toc 4" w:semiHidden="0" w:unhideWhenUsed="0" w:qFormat="1"/>
    <w:lsdException w:name="toc 5" w:semiHidden="0" w:unhideWhenUsed="0" w:qFormat="1"/>
    <w:lsdException w:name="toc 6" w:semiHidden="0" w:unhideWhenUsed="0" w:qFormat="1"/>
    <w:lsdException w:name="toc 7" w:semiHidden="0" w:unhideWhenUsed="0" w:qFormat="1"/>
    <w:lsdException w:name="toc 8" w:semiHidden="0" w:unhideWhenUsed="0" w:qFormat="1"/>
    <w:lsdException w:name="toc 9" w:semiHidden="0" w:unhideWhenUsed="0" w:qFormat="1"/>
    <w:lsdException w:name="Normal Indent"/>
    <w:lsdException w:name="footnote text"/>
    <w:lsdException w:name="annotation text" w:unhideWhenUsed="0" w:qFormat="1"/>
    <w:lsdException w:name="header" w:semiHidden="0" w:unhideWhenUsed="0" w:qFormat="1"/>
    <w:lsdException w:name="footer" w:semiHidden="0" w:unhideWhenUsed="0" w:qFormat="1"/>
    <w:lsdException w:name="index heading"/>
    <w:lsdException w:name="caption" w:locked="1" w:uiPriority="0" w:qFormat="1"/>
    <w:lsdException w:name="table of figures"/>
    <w:lsdException w:name="envelope address"/>
    <w:lsdException w:name="envelope return"/>
    <w:lsdException w:name="footnote reference"/>
    <w:lsdException w:name="annotation reference" w:unhideWhenUsed="0" w:qFormat="1"/>
    <w:lsdException w:name="line number"/>
    <w:lsdException w:name="page number" w:semiHidden="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locked="1" w:semiHidden="0" w:uiPriority="0" w:unhideWhenUsed="0" w:qFormat="1"/>
    <w:lsdException w:name="Emphasis" w:locked="1" w:semiHidden="0" w:uiPriority="0" w:unhideWhenUsed="0" w:qFormat="1"/>
    <w:lsdException w:name="Document Map" w:semiHidden="0" w:unhideWhenUsed="0" w:qFormat="1"/>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unhideWhenUsed="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
    <w:uiPriority w:val="99"/>
    <w:qFormat/>
    <w:pPr>
      <w:keepNext/>
      <w:keepLines/>
      <w:spacing w:beforeLines="50" w:afterLines="50" w:line="360" w:lineRule="auto"/>
      <w:jc w:val="left"/>
      <w:outlineLvl w:val="0"/>
    </w:pPr>
    <w:rPr>
      <w:rFonts w:ascii="Times New Roman" w:hAnsi="Times New Roman"/>
      <w:b/>
      <w:bCs/>
      <w:kern w:val="44"/>
      <w:sz w:val="32"/>
      <w:szCs w:val="44"/>
    </w:rPr>
  </w:style>
  <w:style w:type="paragraph" w:styleId="Heading2">
    <w:name w:val="heading 2"/>
    <w:basedOn w:val="Normal"/>
    <w:next w:val="Normal"/>
    <w:link w:val="2"/>
    <w:uiPriority w:val="99"/>
    <w:qFormat/>
    <w:pPr>
      <w:keepNext/>
      <w:keepLines/>
      <w:spacing w:beforeLines="50" w:afterLines="50" w:line="360" w:lineRule="auto"/>
      <w:jc w:val="left"/>
      <w:outlineLvl w:val="1"/>
    </w:pPr>
    <w:rPr>
      <w:rFonts w:ascii="Times New Roman" w:hAnsi="Times New Roman"/>
      <w:b/>
      <w:bCs/>
      <w:kern w:val="0"/>
      <w:sz w:val="30"/>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uiPriority w:val="99"/>
    <w:qFormat/>
    <w:pPr>
      <w:ind w:left="1260"/>
      <w:jc w:val="left"/>
    </w:pPr>
    <w:rPr>
      <w:sz w:val="18"/>
      <w:szCs w:val="18"/>
    </w:rPr>
  </w:style>
  <w:style w:type="paragraph" w:styleId="DocumentMap">
    <w:name w:val="Document Map"/>
    <w:basedOn w:val="Normal"/>
    <w:link w:val="a1"/>
    <w:uiPriority w:val="99"/>
    <w:qFormat/>
    <w:rPr>
      <w:rFonts w:ascii="宋体"/>
      <w:sz w:val="18"/>
      <w:szCs w:val="18"/>
    </w:rPr>
  </w:style>
  <w:style w:type="paragraph" w:styleId="CommentText">
    <w:name w:val="annotation text"/>
    <w:basedOn w:val="Normal"/>
    <w:link w:val="a"/>
    <w:uiPriority w:val="99"/>
    <w:semiHidden/>
    <w:qFormat/>
    <w:pPr>
      <w:jc w:val="left"/>
    </w:pPr>
    <w:rPr>
      <w:kern w:val="0"/>
      <w:sz w:val="20"/>
      <w:szCs w:val="20"/>
    </w:rPr>
  </w:style>
  <w:style w:type="paragraph" w:styleId="TOC5">
    <w:name w:val="toc 5"/>
    <w:basedOn w:val="Normal"/>
    <w:next w:val="Normal"/>
    <w:uiPriority w:val="99"/>
    <w:qFormat/>
    <w:pPr>
      <w:ind w:left="840"/>
      <w:jc w:val="left"/>
    </w:pPr>
    <w:rPr>
      <w:sz w:val="18"/>
      <w:szCs w:val="18"/>
    </w:rPr>
  </w:style>
  <w:style w:type="paragraph" w:styleId="TOC3">
    <w:name w:val="toc 3"/>
    <w:basedOn w:val="Normal"/>
    <w:next w:val="Normal"/>
    <w:uiPriority w:val="99"/>
    <w:qFormat/>
    <w:pPr>
      <w:ind w:left="420"/>
      <w:jc w:val="left"/>
    </w:pPr>
    <w:rPr>
      <w:i/>
      <w:iCs/>
      <w:sz w:val="20"/>
      <w:szCs w:val="20"/>
    </w:rPr>
  </w:style>
  <w:style w:type="paragraph" w:styleId="TOC8">
    <w:name w:val="toc 8"/>
    <w:basedOn w:val="Normal"/>
    <w:next w:val="Normal"/>
    <w:uiPriority w:val="99"/>
    <w:qFormat/>
    <w:pPr>
      <w:ind w:left="1470"/>
      <w:jc w:val="left"/>
    </w:pPr>
    <w:rPr>
      <w:sz w:val="18"/>
      <w:szCs w:val="18"/>
    </w:rPr>
  </w:style>
  <w:style w:type="paragraph" w:styleId="BalloonText">
    <w:name w:val="Balloon Text"/>
    <w:basedOn w:val="Normal"/>
    <w:link w:val="a2"/>
    <w:uiPriority w:val="99"/>
    <w:semiHidden/>
    <w:qFormat/>
    <w:rPr>
      <w:kern w:val="0"/>
      <w:sz w:val="18"/>
      <w:szCs w:val="18"/>
    </w:rPr>
  </w:style>
  <w:style w:type="paragraph" w:styleId="Footer">
    <w:name w:val="footer"/>
    <w:basedOn w:val="Normal"/>
    <w:link w:val="a3"/>
    <w:uiPriority w:val="99"/>
    <w:qFormat/>
    <w:pPr>
      <w:tabs>
        <w:tab w:val="center" w:pos="4153"/>
        <w:tab w:val="right" w:pos="8306"/>
      </w:tabs>
      <w:snapToGrid w:val="0"/>
      <w:jc w:val="left"/>
    </w:pPr>
    <w:rPr>
      <w:kern w:val="0"/>
      <w:sz w:val="18"/>
      <w:szCs w:val="18"/>
    </w:rPr>
  </w:style>
  <w:style w:type="paragraph" w:styleId="Header">
    <w:name w:val="header"/>
    <w:basedOn w:val="Normal"/>
    <w:link w:val="a4"/>
    <w:uiPriority w:val="99"/>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Normal"/>
    <w:next w:val="Normal"/>
    <w:uiPriority w:val="39"/>
    <w:qFormat/>
    <w:pPr>
      <w:spacing w:before="120" w:after="120"/>
      <w:jc w:val="left"/>
    </w:pPr>
    <w:rPr>
      <w:b/>
      <w:bCs/>
      <w:caps/>
      <w:sz w:val="20"/>
      <w:szCs w:val="20"/>
    </w:rPr>
  </w:style>
  <w:style w:type="paragraph" w:styleId="TOC4">
    <w:name w:val="toc 4"/>
    <w:basedOn w:val="Normal"/>
    <w:next w:val="Normal"/>
    <w:uiPriority w:val="99"/>
    <w:qFormat/>
    <w:pPr>
      <w:ind w:left="630"/>
      <w:jc w:val="left"/>
    </w:pPr>
    <w:rPr>
      <w:sz w:val="18"/>
      <w:szCs w:val="18"/>
    </w:rPr>
  </w:style>
  <w:style w:type="paragraph" w:styleId="TOC6">
    <w:name w:val="toc 6"/>
    <w:basedOn w:val="Normal"/>
    <w:next w:val="Normal"/>
    <w:autoRedefine/>
    <w:uiPriority w:val="99"/>
    <w:qFormat/>
    <w:pPr>
      <w:ind w:left="1050"/>
      <w:jc w:val="left"/>
    </w:pPr>
    <w:rPr>
      <w:sz w:val="18"/>
      <w:szCs w:val="18"/>
    </w:rPr>
  </w:style>
  <w:style w:type="paragraph" w:styleId="TOC2">
    <w:name w:val="toc 2"/>
    <w:basedOn w:val="Normal"/>
    <w:next w:val="Normal"/>
    <w:autoRedefine/>
    <w:uiPriority w:val="39"/>
    <w:qFormat/>
    <w:pPr>
      <w:ind w:left="210"/>
      <w:jc w:val="left"/>
    </w:pPr>
    <w:rPr>
      <w:smallCaps/>
      <w:sz w:val="20"/>
      <w:szCs w:val="20"/>
    </w:rPr>
  </w:style>
  <w:style w:type="paragraph" w:styleId="TOC9">
    <w:name w:val="toc 9"/>
    <w:basedOn w:val="Normal"/>
    <w:next w:val="Normal"/>
    <w:uiPriority w:val="99"/>
    <w:qFormat/>
    <w:pPr>
      <w:ind w:left="1680"/>
      <w:jc w:val="left"/>
    </w:pPr>
    <w:rPr>
      <w:sz w:val="18"/>
      <w:szCs w:val="18"/>
    </w:rPr>
  </w:style>
  <w:style w:type="paragraph" w:styleId="CommentSubject">
    <w:name w:val="annotation subject"/>
    <w:basedOn w:val="CommentText"/>
    <w:next w:val="CommentText"/>
    <w:link w:val="a0"/>
    <w:uiPriority w:val="99"/>
    <w:semiHidden/>
    <w:qFormat/>
    <w:rPr>
      <w:b/>
      <w:bCs/>
    </w:rPr>
  </w:style>
  <w:style w:type="table" w:styleId="TableGrid">
    <w:name w:val="Table Grid"/>
    <w:basedOn w:val="TableNormal"/>
    <w:autoRedefine/>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autoRedefine/>
    <w:uiPriority w:val="99"/>
    <w:qFormat/>
    <w:rPr>
      <w:rFonts w:cs="Times New Roman"/>
    </w:rPr>
  </w:style>
  <w:style w:type="character" w:styleId="Hyperlink">
    <w:name w:val="Hyperlink"/>
    <w:uiPriority w:val="99"/>
    <w:qFormat/>
    <w:rPr>
      <w:rFonts w:cs="Times New Roman"/>
      <w:color w:val="0000FF"/>
      <w:u w:val="single"/>
    </w:rPr>
  </w:style>
  <w:style w:type="character" w:styleId="CommentReference">
    <w:name w:val="annotation reference"/>
    <w:autoRedefine/>
    <w:uiPriority w:val="99"/>
    <w:semiHidden/>
    <w:qFormat/>
    <w:rPr>
      <w:rFonts w:cs="Times New Roman"/>
      <w:sz w:val="21"/>
    </w:rPr>
  </w:style>
  <w:style w:type="character" w:customStyle="1" w:styleId="1">
    <w:name w:val="标题 1 字符"/>
    <w:link w:val="Heading1"/>
    <w:autoRedefine/>
    <w:uiPriority w:val="99"/>
    <w:qFormat/>
    <w:locked/>
    <w:rPr>
      <w:rFonts w:ascii="Times New Roman" w:hAnsi="Times New Roman"/>
      <w:b/>
      <w:kern w:val="44"/>
      <w:sz w:val="44"/>
    </w:rPr>
  </w:style>
  <w:style w:type="character" w:customStyle="1" w:styleId="2">
    <w:name w:val="标题 2 字符"/>
    <w:link w:val="Heading2"/>
    <w:autoRedefine/>
    <w:uiPriority w:val="99"/>
    <w:qFormat/>
    <w:locked/>
    <w:rPr>
      <w:rFonts w:ascii="Times New Roman" w:hAnsi="Times New Roman"/>
      <w:b/>
      <w:sz w:val="32"/>
    </w:rPr>
  </w:style>
  <w:style w:type="character" w:customStyle="1" w:styleId="a">
    <w:name w:val="批注文字 字符"/>
    <w:basedOn w:val="DefaultParagraphFont"/>
    <w:link w:val="CommentText"/>
    <w:uiPriority w:val="99"/>
    <w:semiHidden/>
    <w:qFormat/>
    <w:locked/>
  </w:style>
  <w:style w:type="character" w:customStyle="1" w:styleId="a0">
    <w:name w:val="批注主题 字符"/>
    <w:link w:val="CommentSubject"/>
    <w:uiPriority w:val="99"/>
    <w:semiHidden/>
    <w:qFormat/>
    <w:locked/>
    <w:rPr>
      <w:b/>
    </w:rPr>
  </w:style>
  <w:style w:type="character" w:customStyle="1" w:styleId="a1">
    <w:name w:val="文档结构图 字符"/>
    <w:link w:val="DocumentMap"/>
    <w:autoRedefine/>
    <w:uiPriority w:val="99"/>
    <w:semiHidden/>
    <w:qFormat/>
    <w:locked/>
    <w:rPr>
      <w:rFonts w:ascii="宋体"/>
      <w:kern w:val="2"/>
      <w:sz w:val="18"/>
    </w:rPr>
  </w:style>
  <w:style w:type="character" w:customStyle="1" w:styleId="a2">
    <w:name w:val="批注框文本 字符"/>
    <w:link w:val="BalloonText"/>
    <w:autoRedefine/>
    <w:uiPriority w:val="99"/>
    <w:semiHidden/>
    <w:qFormat/>
    <w:locked/>
    <w:rPr>
      <w:sz w:val="18"/>
    </w:rPr>
  </w:style>
  <w:style w:type="character" w:customStyle="1" w:styleId="a3">
    <w:name w:val="页脚 字符"/>
    <w:link w:val="Footer"/>
    <w:autoRedefine/>
    <w:uiPriority w:val="99"/>
    <w:qFormat/>
    <w:locked/>
    <w:rPr>
      <w:sz w:val="18"/>
    </w:rPr>
  </w:style>
  <w:style w:type="character" w:customStyle="1" w:styleId="a4">
    <w:name w:val="页眉 字符"/>
    <w:link w:val="Header"/>
    <w:uiPriority w:val="99"/>
    <w:qFormat/>
    <w:locked/>
    <w:rPr>
      <w:sz w:val="18"/>
    </w:rPr>
  </w:style>
  <w:style w:type="paragraph" w:customStyle="1" w:styleId="10">
    <w:name w:val="列出段落1"/>
    <w:basedOn w:val="Normal"/>
    <w:link w:val="Char"/>
    <w:uiPriority w:val="99"/>
    <w:qFormat/>
    <w:pPr>
      <w:ind w:firstLine="420" w:firstLineChars="200"/>
    </w:pPr>
  </w:style>
  <w:style w:type="paragraph" w:customStyle="1" w:styleId="reader-word-layer">
    <w:name w:val="reader-word-layer"/>
    <w:basedOn w:val="Normal"/>
    <w:autoRedefine/>
    <w:uiPriority w:val="99"/>
    <w:qFormat/>
    <w:pPr>
      <w:widowControl/>
      <w:spacing w:before="100" w:beforeAutospacing="1" w:after="100" w:afterAutospacing="1"/>
      <w:jc w:val="left"/>
    </w:pPr>
    <w:rPr>
      <w:rFonts w:ascii="宋体" w:hAnsi="宋体" w:cs="宋体"/>
      <w:kern w:val="0"/>
      <w:sz w:val="24"/>
      <w:szCs w:val="24"/>
    </w:rPr>
  </w:style>
  <w:style w:type="paragraph" w:customStyle="1" w:styleId="TOC10">
    <w:name w:val="TOC 标题1"/>
    <w:basedOn w:val="Heading1"/>
    <w:next w:val="Normal"/>
    <w:uiPriority w:val="99"/>
    <w:qFormat/>
    <w:pPr>
      <w:widowControl/>
      <w:spacing w:before="480" w:line="276" w:lineRule="auto"/>
      <w:outlineLvl w:val="9"/>
    </w:pPr>
    <w:rPr>
      <w:rFonts w:ascii="Cambria" w:hAnsi="Cambria"/>
      <w:color w:val="365F91"/>
      <w:kern w:val="0"/>
      <w:sz w:val="28"/>
      <w:szCs w:val="28"/>
    </w:rPr>
  </w:style>
  <w:style w:type="paragraph" w:customStyle="1" w:styleId="a5">
    <w:name w:val="一级标题"/>
    <w:basedOn w:val="Normal"/>
    <w:next w:val="Normal"/>
    <w:uiPriority w:val="99"/>
    <w:qFormat/>
    <w:pPr>
      <w:numPr>
        <w:ilvl w:val="0"/>
        <w:numId w:val="1"/>
      </w:numPr>
      <w:spacing w:beforeLines="50" w:afterLines="50" w:line="360" w:lineRule="auto"/>
      <w:jc w:val="left"/>
      <w:outlineLvl w:val="0"/>
    </w:pPr>
    <w:rPr>
      <w:rFonts w:ascii="Times New Roman" w:hAnsi="Times New Roman"/>
      <w:b/>
      <w:kern w:val="44"/>
      <w:sz w:val="32"/>
    </w:rPr>
  </w:style>
  <w:style w:type="paragraph" w:customStyle="1" w:styleId="a6">
    <w:name w:val="二级标题"/>
    <w:basedOn w:val="Normal"/>
    <w:next w:val="Normal"/>
    <w:uiPriority w:val="99"/>
    <w:qFormat/>
    <w:pPr>
      <w:numPr>
        <w:ilvl w:val="0"/>
        <w:numId w:val="2"/>
      </w:numPr>
      <w:spacing w:beforeLines="50" w:afterLines="50" w:line="360" w:lineRule="auto"/>
      <w:jc w:val="left"/>
      <w:outlineLvl w:val="1"/>
    </w:pPr>
    <w:rPr>
      <w:rFonts w:ascii="Times New Roman" w:hAnsi="Times New Roman"/>
      <w:b/>
      <w:sz w:val="32"/>
      <w:szCs w:val="30"/>
    </w:rPr>
  </w:style>
  <w:style w:type="character" w:customStyle="1" w:styleId="Char">
    <w:name w:val="列出段落 Char"/>
    <w:link w:val="10"/>
    <w:uiPriority w:val="99"/>
    <w:qFormat/>
    <w:locked/>
  </w:style>
  <w:style w:type="character" w:customStyle="1" w:styleId="a7">
    <w:name w:val="无间隔 字符"/>
    <w:link w:val="NoSpacing"/>
    <w:uiPriority w:val="99"/>
    <w:qFormat/>
    <w:locked/>
    <w:rPr>
      <w:sz w:val="22"/>
      <w:szCs w:val="22"/>
      <w:lang w:val="en-US" w:eastAsia="zh-CN" w:bidi="ar-SA"/>
    </w:rPr>
  </w:style>
  <w:style w:type="paragraph" w:styleId="NoSpacing">
    <w:name w:val="No Spacing"/>
    <w:link w:val="a7"/>
    <w:autoRedefine/>
    <w:uiPriority w:val="99"/>
    <w:qFormat/>
    <w:pPr>
      <w:spacing w:line="360" w:lineRule="auto"/>
      <w:ind w:left="352"/>
      <w:jc w:val="both"/>
    </w:pPr>
    <w:rPr>
      <w:rFonts w:ascii="Calibri" w:eastAsia="宋体" w:hAnsi="Calibri" w:cs="Calibri"/>
      <w:sz w:val="22"/>
      <w:szCs w:val="22"/>
      <w:lang w:val="en-US" w:eastAsia="zh-CN" w:bidi="ar-SA"/>
    </w:rPr>
  </w:style>
  <w:style w:type="paragraph" w:customStyle="1" w:styleId="B1">
    <w:name w:val="首页B1"/>
    <w:basedOn w:val="Normal"/>
    <w:uiPriority w:val="99"/>
    <w:qFormat/>
    <w:pPr>
      <w:numPr>
        <w:ilvl w:val="0"/>
        <w:numId w:val="3"/>
      </w:numPr>
      <w:spacing w:before="120" w:after="120" w:line="288" w:lineRule="auto"/>
    </w:pPr>
    <w:rPr>
      <w:rFonts w:ascii="Times New Roman" w:hAnsi="Times New Roman"/>
      <w:b/>
      <w:sz w:val="28"/>
      <w:szCs w:val="24"/>
    </w:rPr>
  </w:style>
  <w:style w:type="paragraph" w:customStyle="1" w:styleId="WPSOffice1">
    <w:name w:val="WPSOffice手动目录 1"/>
    <w:autoRedefine/>
    <w:qFormat/>
    <w:rPr>
      <w:rFonts w:ascii="Times New Roman" w:eastAsia="宋体" w:hAnsi="Times New Roman" w:cs="Times New Roman"/>
      <w:lang w:val="en-US" w:eastAsia="zh-CN" w:bidi="ar-SA"/>
    </w:rPr>
  </w:style>
  <w:style w:type="paragraph" w:customStyle="1" w:styleId="WPSOffice2">
    <w:name w:val="WPSOffice手动目录 2"/>
    <w:autoRedefine/>
    <w:qFormat/>
    <w:pPr>
      <w:ind w:left="200" w:leftChars="200"/>
    </w:pPr>
    <w:rPr>
      <w:rFonts w:ascii="Times New Roman" w:eastAsia="宋体" w:hAnsi="Times New Roman" w:cs="Times New Roman"/>
      <w:lang w:val="en-US" w:eastAsia="zh-CN" w:bidi="ar-SA"/>
    </w:rPr>
  </w:style>
  <w:style w:type="paragraph" w:customStyle="1" w:styleId="TOC20">
    <w:name w:val="TOC 标题2"/>
    <w:basedOn w:val="Heading1"/>
    <w:next w:val="Normal"/>
    <w:autoRedefine/>
    <w:uiPriority w:val="39"/>
    <w:unhideWhenUsed/>
    <w:qFormat/>
    <w:pPr>
      <w:widowControl/>
      <w:spacing w:before="240" w:beforeLines="0" w:afterLines="0" w:line="259" w:lineRule="auto"/>
      <w:outlineLvl w:val="9"/>
    </w:pPr>
    <w:rPr>
      <w:rFonts w:ascii="Calibri Light" w:hAnsi="Calibri Light"/>
      <w:b w:val="0"/>
      <w:bCs w:val="0"/>
      <w:color w:val="2E74B5"/>
      <w:kern w:val="0"/>
      <w:szCs w:val="32"/>
    </w:rPr>
  </w:style>
  <w:style w:type="paragraph" w:customStyle="1" w:styleId="a8">
    <w:name w:val="表头"/>
    <w:basedOn w:val="Normal"/>
    <w:autoRedefine/>
    <w:qFormat/>
    <w:pPr>
      <w:spacing w:line="520" w:lineRule="exact"/>
      <w:jc w:val="center"/>
    </w:pPr>
    <w:rPr>
      <w:rFonts w:ascii="黑体" w:eastAsia="黑体" w:hAnsi="微软雅黑"/>
      <w:sz w:val="24"/>
      <w:szCs w:val="24"/>
    </w:rPr>
  </w:style>
  <w:style w:type="paragraph" w:customStyle="1" w:styleId="a9">
    <w:name w:val="表内容居中"/>
    <w:basedOn w:val="Normal"/>
    <w:autoRedefine/>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49"/>
    <customShpInfo spid="_x0000_s1025"/>
  </customShpExts>
</s:customData>
</file>

<file path=customXml/itemProps1.xml><?xml version="1.0" encoding="utf-8"?>
<ds:datastoreItem xmlns:ds="http://schemas.openxmlformats.org/officeDocument/2006/customXml" ds:itemID="{BC21A4C6-4688-4032-BAC2-71455FF27444}">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2651</Words>
  <Characters>2743</Characters>
  <Application>Microsoft Office Word</Application>
  <DocSecurity>0</DocSecurity>
  <Lines>28</Lines>
  <Paragraphs>7</Paragraphs>
  <ScaleCrop>false</ScaleCrop>
  <Company>PubInfo</Company>
  <LinksUpToDate>false</LinksUpToDate>
  <CharactersWithSpaces>2845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dc:title>
  <dc:creator>Dominique Long</dc:creator>
  <cp:lastModifiedBy>高</cp:lastModifiedBy>
  <cp:revision>76</cp:revision>
  <cp:lastPrinted>2014-08-19T11:49:00Z</cp:lastPrinted>
  <dcterms:created xsi:type="dcterms:W3CDTF">2015-08-26T02:53:00Z</dcterms:created>
  <dcterms:modified xsi:type="dcterms:W3CDTF">2025-11-27T08:57:09Z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819C11EFB02A4DEFA068CB49A96E27AB</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