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rPr>
          <w:vanish/>
        </w:rPr>
      </w:pPr>
      <w:r>
        <w:drawing>
          <wp:anchor distT="0" distB="0" distL="114300" distR="114300" simplePos="0" relativeHeight="251658240" behindDoc="1" locked="0" layoutInCell="1" allowOverlap="1">
            <wp:simplePos x="0" y="0"/>
            <wp:positionH relativeFrom="column">
              <wp:posOffset>-1226820</wp:posOffset>
            </wp:positionH>
            <wp:positionV relativeFrom="paragraph">
              <wp:posOffset>-1150620</wp:posOffset>
            </wp:positionV>
            <wp:extent cx="7734300" cy="1126045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xmlns:r="http://schemas.openxmlformats.org/officeDocument/2006/relationships" r:embed="rId6">
                      <a:extLst>
                        <a:ext uri="{28A0092B-C50C-407E-A947-70E740481C1C}">
                          <a14:useLocalDpi xmlns:a14="http://schemas.microsoft.com/office/drawing/2010/main" val="0"/>
                        </a:ext>
                      </a:extLst>
                    </a:blip>
                    <a:srcRect/>
                    <a:stretch>
                      <a:fillRect/>
                    </a:stretch>
                  </pic:blipFill>
                  <pic:spPr>
                    <a:xfrm>
                      <a:off x="0" y="0"/>
                      <a:ext cx="7739126" cy="11267668"/>
                    </a:xfrm>
                    <a:prstGeom prst="rect">
                      <a:avLst/>
                    </a:prstGeom>
                    <a:noFill/>
                  </pic:spPr>
                </pic:pic>
              </a:graphicData>
            </a:graphic>
          </wp:anchor>
        </w:drawing>
      </w:r>
    </w:p>
    <w:p>
      <w:pPr>
        <w:ind w:firstLine="420"/>
        <w:jc w:val="center"/>
        <w:rPr>
          <w:b/>
          <w:sz w:val="48"/>
          <w:szCs w:val="48"/>
        </w:rPr>
      </w:pPr>
      <w:bookmarkStart w:id="0" w:name="_GoBack"/>
      <w:bookmarkEnd w:id="0"/>
    </w:p>
    <w:p>
      <w:pPr>
        <w:tabs>
          <w:tab w:val="left" w:pos="6690"/>
        </w:tabs>
        <w:ind w:firstLine="964"/>
        <w:jc w:val="left"/>
        <w:rPr>
          <w:b/>
          <w:sz w:val="48"/>
          <w:szCs w:val="48"/>
        </w:rPr>
      </w:pPr>
      <w:r>
        <w:rPr>
          <w:b/>
          <w:sz w:val="48"/>
          <w:szCs w:val="48"/>
        </w:rPr>
        <w:tab/>
      </w:r>
    </w:p>
    <w:p>
      <w:pPr>
        <w:rPr>
          <w:b/>
          <w:sz w:val="48"/>
          <w:szCs w:val="48"/>
        </w:rPr>
      </w:pPr>
    </w:p>
    <w:p>
      <w:pPr>
        <w:jc w:val="center"/>
        <w:rPr>
          <w:rFonts w:ascii="微软雅黑" w:eastAsia="微软雅黑" w:hAnsi="微软雅黑" w:cs="微软雅黑"/>
          <w:b/>
          <w:bCs/>
          <w:sz w:val="52"/>
          <w:szCs w:val="52"/>
        </w:rPr>
      </w:pPr>
    </w:p>
    <w:p>
      <w:pPr>
        <w:jc w:val="center"/>
        <w:rPr>
          <w:rFonts w:ascii="微软雅黑" w:eastAsia="微软雅黑" w:hAnsi="微软雅黑" w:cs="微软雅黑"/>
          <w:b/>
          <w:bCs/>
          <w:sz w:val="52"/>
          <w:szCs w:val="52"/>
        </w:rPr>
      </w:pPr>
      <w:r>
        <w:rPr>
          <w:rFonts w:ascii="微软雅黑" w:eastAsia="微软雅黑" w:hAnsi="微软雅黑" w:cs="微软雅黑" w:hint="eastAsia"/>
          <w:b/>
          <w:bCs/>
          <w:sz w:val="52"/>
          <w:szCs w:val="52"/>
        </w:rPr>
        <w:t>甘肃国邦信息科技有限公司</w:t>
      </w:r>
    </w:p>
    <w:p>
      <w:pPr>
        <w:jc w:val="center"/>
        <w:rPr>
          <w:rFonts w:ascii="微软雅黑" w:eastAsia="微软雅黑" w:hAnsi="微软雅黑" w:cs="微软雅黑"/>
          <w:b/>
          <w:bCs/>
          <w:sz w:val="52"/>
          <w:szCs w:val="52"/>
        </w:rPr>
      </w:pPr>
    </w:p>
    <w:p>
      <w:pPr>
        <w:jc w:val="center"/>
        <w:rPr>
          <w:b/>
          <w:sz w:val="48"/>
          <w:szCs w:val="48"/>
        </w:rPr>
      </w:pPr>
      <w:r>
        <w:rPr>
          <w:rFonts w:hint="eastAsia"/>
          <w:b/>
          <w:sz w:val="48"/>
          <w:szCs w:val="48"/>
        </w:rPr>
        <w:t>服务能力改进管理制度</w:t>
      </w:r>
    </w:p>
    <w:p>
      <w:pPr>
        <w:spacing w:after="156" w:afterLines="50"/>
        <w:jc w:val="center"/>
        <w:rPr>
          <w:b/>
          <w:sz w:val="48"/>
          <w:szCs w:val="48"/>
        </w:rPr>
      </w:pPr>
    </w:p>
    <w:p>
      <w:pPr>
        <w:spacing w:after="156" w:afterLines="50"/>
        <w:jc w:val="center"/>
        <w:rPr>
          <w:b/>
          <w:sz w:val="48"/>
          <w:szCs w:val="48"/>
        </w:rPr>
      </w:pPr>
    </w:p>
    <w:p>
      <w:pPr>
        <w:spacing w:after="156" w:afterLines="50"/>
        <w:jc w:val="center"/>
        <w:rPr>
          <w:b/>
          <w:sz w:val="48"/>
          <w:szCs w:val="48"/>
        </w:rPr>
      </w:pPr>
      <w:r>
        <w:rPr>
          <w:rFonts w:ascii="宋体" w:hAnsi="宋体" w:cs="宋体" w:hint="eastAsia"/>
          <w:b/>
          <w:bCs/>
          <w:sz w:val="36"/>
          <w:szCs w:val="36"/>
        </w:rPr>
        <w:t>GSGB-ITSS-0</w:t>
      </w:r>
      <w:r>
        <w:rPr>
          <w:rFonts w:ascii="宋体" w:hAnsi="宋体" w:cs="宋体"/>
          <w:b/>
          <w:bCs/>
          <w:sz w:val="36"/>
          <w:szCs w:val="36"/>
        </w:rPr>
        <w:t>8</w:t>
      </w:r>
      <w:r>
        <w:rPr>
          <w:rFonts w:ascii="宋体" w:hAnsi="宋体" w:cs="宋体" w:hint="eastAsia"/>
          <w:b/>
          <w:bCs/>
          <w:sz w:val="36"/>
          <w:szCs w:val="36"/>
        </w:rPr>
        <w:t>-0</w:t>
      </w:r>
      <w:r>
        <w:rPr>
          <w:rFonts w:ascii="宋体" w:hAnsi="宋体" w:cs="宋体"/>
          <w:b/>
          <w:bCs/>
          <w:sz w:val="36"/>
          <w:szCs w:val="36"/>
        </w:rPr>
        <w:t>4</w:t>
      </w:r>
    </w:p>
    <w:p>
      <w:pPr>
        <w:spacing w:after="156" w:afterLines="50"/>
        <w:ind w:firstLine="720"/>
        <w:rPr>
          <w:sz w:val="36"/>
          <w:szCs w:val="36"/>
        </w:rPr>
      </w:pPr>
    </w:p>
    <w:p>
      <w:pPr>
        <w:spacing w:after="156" w:afterLines="50"/>
        <w:ind w:firstLine="720"/>
        <w:rPr>
          <w:sz w:val="36"/>
          <w:szCs w:val="36"/>
        </w:rPr>
      </w:pPr>
    </w:p>
    <w:p>
      <w:pPr>
        <w:tabs>
          <w:tab w:val="left" w:pos="0"/>
        </w:tabs>
        <w:spacing w:line="1000" w:lineRule="exact"/>
        <w:ind w:firstLine="1050" w:firstLineChars="500"/>
        <w:jc w:val="left"/>
        <w:rPr>
          <w:sz w:val="32"/>
          <w:szCs w:val="32"/>
          <w:u w:val="single"/>
        </w:rPr>
      </w:pPr>
      <w:r>
        <w:rPr>
          <w:rFonts w:hint="eastAsia"/>
          <w:sz w:val="32"/>
          <w:szCs w:val="32"/>
        </w:rPr>
        <w:t>拟制人：</w:t>
      </w:r>
      <w:r>
        <w:rPr>
          <w:rFonts w:hint="eastAsia"/>
          <w:sz w:val="32"/>
          <w:szCs w:val="32"/>
          <w:u w:val="single"/>
        </w:rPr>
        <w:t xml:space="preserve">         刘文慧            </w:t>
      </w:r>
    </w:p>
    <w:p>
      <w:pPr>
        <w:tabs>
          <w:tab w:val="left" w:pos="0"/>
        </w:tabs>
        <w:spacing w:line="1000" w:lineRule="exact"/>
        <w:ind w:firstLine="1050" w:firstLineChars="500"/>
        <w:jc w:val="left"/>
        <w:rPr>
          <w:sz w:val="32"/>
          <w:szCs w:val="32"/>
        </w:rPr>
      </w:pPr>
      <w:r>
        <w:rPr>
          <w:rFonts w:hint="eastAsia"/>
          <w:sz w:val="32"/>
          <w:szCs w:val="32"/>
        </w:rPr>
        <w:t>审核人：</w:t>
      </w:r>
      <w:r>
        <w:rPr>
          <w:rFonts w:hint="eastAsia"/>
          <w:sz w:val="32"/>
          <w:szCs w:val="32"/>
          <w:u w:val="single"/>
        </w:rPr>
        <w:t xml:space="preserve">         兰伟东            </w:t>
      </w:r>
    </w:p>
    <w:p>
      <w:pPr>
        <w:tabs>
          <w:tab w:val="left" w:pos="0"/>
        </w:tabs>
        <w:spacing w:line="1000" w:lineRule="exact"/>
        <w:ind w:firstLine="1050" w:firstLineChars="500"/>
        <w:jc w:val="left"/>
        <w:rPr>
          <w:b/>
          <w:sz w:val="32"/>
          <w:szCs w:val="32"/>
        </w:rPr>
      </w:pPr>
      <w:r>
        <w:rPr>
          <w:rFonts w:hint="eastAsia"/>
          <w:sz w:val="32"/>
          <w:szCs w:val="32"/>
        </w:rPr>
        <w:t>批准人：</w:t>
      </w:r>
      <w:r>
        <w:rPr>
          <w:rFonts w:hint="eastAsia"/>
          <w:sz w:val="32"/>
          <w:szCs w:val="32"/>
          <w:u w:val="single"/>
        </w:rPr>
        <w:t xml:space="preserve">         赵  鑫            </w:t>
      </w:r>
    </w:p>
    <w:p>
      <w:pPr>
        <w:tabs>
          <w:tab w:val="left" w:pos="0"/>
        </w:tabs>
        <w:spacing w:before="312" w:beforeLines="100" w:after="312" w:afterLines="100"/>
        <w:ind w:firstLine="720"/>
        <w:jc w:val="center"/>
        <w:rPr>
          <w:rFonts w:ascii="微软雅黑" w:eastAsia="微软雅黑" w:hAnsi="微软雅黑"/>
          <w:sz w:val="36"/>
          <w:szCs w:val="36"/>
        </w:rPr>
      </w:pPr>
    </w:p>
    <w:p>
      <w:pPr>
        <w:tabs>
          <w:tab w:val="left" w:pos="0"/>
        </w:tabs>
        <w:spacing w:before="312" w:beforeLines="100" w:after="312" w:afterLines="100"/>
        <w:ind w:firstLine="720"/>
        <w:jc w:val="center"/>
        <w:rPr>
          <w:rFonts w:ascii="微软雅黑" w:eastAsia="微软雅黑" w:hAnsi="微软雅黑"/>
          <w:sz w:val="36"/>
          <w:szCs w:val="36"/>
        </w:rPr>
      </w:pPr>
      <w:r>
        <w:rPr>
          <w:rFonts w:ascii="微软雅黑" w:eastAsia="微软雅黑" w:hAnsi="微软雅黑" w:hint="eastAsia"/>
          <w:sz w:val="36"/>
          <w:szCs w:val="36"/>
        </w:rPr>
        <w:t>修改记录</w:t>
      </w:r>
    </w:p>
    <w:tbl>
      <w:tblPr>
        <w:tblStyle w:val="TableNorm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380"/>
        <w:gridCol w:w="1381"/>
        <w:gridCol w:w="1381"/>
        <w:gridCol w:w="1381"/>
        <w:gridCol w:w="1497"/>
        <w:gridCol w:w="1497"/>
      </w:tblGrid>
      <w:tr>
        <w:tblPrEx>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67"/>
          <w:jc w:val="center"/>
        </w:trPr>
        <w:tc>
          <w:tcPr>
            <w:tcW w:w="810" w:type="pct"/>
            <w:vAlign w:val="center"/>
          </w:tcPr>
          <w:p>
            <w:pPr>
              <w:pStyle w:val="a3"/>
              <w:spacing w:line="240" w:lineRule="auto"/>
              <w:rPr>
                <w:rFonts w:ascii="微软雅黑" w:eastAsia="微软雅黑" w:cs="Arial"/>
              </w:rPr>
            </w:pPr>
            <w:r>
              <w:rPr>
                <w:rFonts w:ascii="微软雅黑" w:eastAsia="微软雅黑" w:cs="Arial" w:hint="eastAsia"/>
              </w:rPr>
              <w:t>版本</w:t>
            </w:r>
          </w:p>
        </w:tc>
        <w:tc>
          <w:tcPr>
            <w:tcW w:w="810" w:type="pct"/>
            <w:vAlign w:val="center"/>
          </w:tcPr>
          <w:p>
            <w:pPr>
              <w:pStyle w:val="a3"/>
              <w:spacing w:line="240" w:lineRule="auto"/>
              <w:rPr>
                <w:rFonts w:ascii="微软雅黑" w:eastAsia="微软雅黑" w:cs="Arial"/>
              </w:rPr>
            </w:pPr>
            <w:r>
              <w:rPr>
                <w:rFonts w:ascii="微软雅黑" w:eastAsia="微软雅黑" w:cs="Arial" w:hint="eastAsia"/>
              </w:rPr>
              <w:t>新建/修改</w:t>
            </w:r>
          </w:p>
        </w:tc>
        <w:tc>
          <w:tcPr>
            <w:tcW w:w="810" w:type="pct"/>
            <w:vAlign w:val="center"/>
          </w:tcPr>
          <w:p>
            <w:pPr>
              <w:pStyle w:val="a3"/>
              <w:spacing w:line="240" w:lineRule="auto"/>
              <w:rPr>
                <w:rFonts w:ascii="微软雅黑" w:eastAsia="微软雅黑" w:cs="Arial"/>
              </w:rPr>
            </w:pPr>
            <w:r>
              <w:rPr>
                <w:rFonts w:ascii="微软雅黑" w:eastAsia="微软雅黑" w:cs="Arial" w:hint="eastAsia"/>
              </w:rPr>
              <w:t>拟制人</w:t>
            </w:r>
          </w:p>
        </w:tc>
        <w:tc>
          <w:tcPr>
            <w:tcW w:w="810" w:type="pct"/>
            <w:vAlign w:val="center"/>
          </w:tcPr>
          <w:p>
            <w:pPr>
              <w:pStyle w:val="a3"/>
              <w:spacing w:line="240" w:lineRule="auto"/>
              <w:rPr>
                <w:rFonts w:ascii="微软雅黑" w:eastAsia="微软雅黑" w:cs="Arial"/>
              </w:rPr>
            </w:pPr>
            <w:r>
              <w:rPr>
                <w:rFonts w:ascii="微软雅黑" w:eastAsia="微软雅黑" w:cs="Arial" w:hint="eastAsia"/>
              </w:rPr>
              <w:t>审核人</w:t>
            </w:r>
          </w:p>
        </w:tc>
        <w:tc>
          <w:tcPr>
            <w:tcW w:w="878" w:type="pct"/>
            <w:vAlign w:val="center"/>
          </w:tcPr>
          <w:p>
            <w:pPr>
              <w:pStyle w:val="a3"/>
              <w:spacing w:line="240" w:lineRule="auto"/>
              <w:rPr>
                <w:rFonts w:ascii="微软雅黑" w:eastAsia="微软雅黑" w:cs="Arial"/>
              </w:rPr>
            </w:pPr>
            <w:r>
              <w:rPr>
                <w:rFonts w:ascii="微软雅黑" w:eastAsia="微软雅黑" w:cs="Arial" w:hint="eastAsia"/>
              </w:rPr>
              <w:t>批准人</w:t>
            </w:r>
          </w:p>
        </w:tc>
        <w:tc>
          <w:tcPr>
            <w:tcW w:w="878" w:type="pct"/>
            <w:vAlign w:val="center"/>
          </w:tcPr>
          <w:p>
            <w:pPr>
              <w:pStyle w:val="a3"/>
              <w:spacing w:line="240" w:lineRule="auto"/>
              <w:rPr>
                <w:rFonts w:ascii="微软雅黑" w:eastAsia="微软雅黑" w:cs="Arial"/>
              </w:rPr>
            </w:pPr>
            <w:r>
              <w:rPr>
                <w:rFonts w:ascii="微软雅黑" w:eastAsia="微软雅黑" w:cs="Arial" w:hint="eastAsia"/>
              </w:rPr>
              <w:t>日期</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spacing w:line="240" w:lineRule="auto"/>
              <w:rPr>
                <w:rFonts w:ascii="微软雅黑" w:eastAsia="微软雅黑" w:hAnsi="微软雅黑"/>
              </w:rPr>
            </w:pPr>
            <w:r>
              <w:rPr>
                <w:rFonts w:ascii="微软雅黑" w:eastAsia="微软雅黑" w:hAnsi="微软雅黑" w:hint="eastAsia"/>
              </w:rPr>
              <w:t>v1.0</w:t>
            </w:r>
          </w:p>
        </w:tc>
        <w:tc>
          <w:tcPr>
            <w:tcW w:w="810" w:type="pct"/>
            <w:vAlign w:val="center"/>
          </w:tcPr>
          <w:p>
            <w:pPr>
              <w:pStyle w:val="a4"/>
              <w:spacing w:line="240" w:lineRule="auto"/>
              <w:rPr>
                <w:rFonts w:ascii="微软雅黑" w:eastAsia="微软雅黑" w:hAnsi="微软雅黑"/>
              </w:rPr>
            </w:pPr>
            <w:r>
              <w:rPr>
                <w:rFonts w:ascii="微软雅黑" w:eastAsia="微软雅黑" w:hAnsi="微软雅黑" w:hint="eastAsia"/>
              </w:rPr>
              <w:t>新建</w:t>
            </w:r>
          </w:p>
        </w:tc>
        <w:tc>
          <w:tcPr>
            <w:tcW w:w="810" w:type="pct"/>
            <w:vAlign w:val="center"/>
          </w:tcPr>
          <w:p>
            <w:pPr>
              <w:pStyle w:val="a4"/>
              <w:spacing w:line="240" w:lineRule="auto"/>
              <w:rPr>
                <w:rFonts w:ascii="微软雅黑" w:eastAsia="微软雅黑" w:hAnsi="微软雅黑"/>
              </w:rPr>
            </w:pPr>
            <w:r>
              <w:rPr>
                <w:rFonts w:ascii="微软雅黑" w:eastAsia="微软雅黑" w:hAnsi="微软雅黑" w:hint="eastAsia"/>
              </w:rPr>
              <w:t>刘文慧</w:t>
            </w:r>
          </w:p>
        </w:tc>
        <w:tc>
          <w:tcPr>
            <w:tcW w:w="810" w:type="pct"/>
            <w:vAlign w:val="center"/>
          </w:tcPr>
          <w:p>
            <w:pPr>
              <w:pStyle w:val="a4"/>
              <w:spacing w:line="240" w:lineRule="auto"/>
              <w:rPr>
                <w:rFonts w:ascii="微软雅黑" w:eastAsia="微软雅黑" w:hAnsi="微软雅黑"/>
              </w:rPr>
            </w:pPr>
            <w:r>
              <w:rPr>
                <w:rFonts w:ascii="微软雅黑" w:eastAsia="微软雅黑" w:hAnsi="微软雅黑" w:hint="eastAsia"/>
              </w:rPr>
              <w:t>兰伟东</w:t>
            </w:r>
          </w:p>
        </w:tc>
        <w:tc>
          <w:tcPr>
            <w:tcW w:w="878" w:type="pct"/>
            <w:vAlign w:val="center"/>
          </w:tcPr>
          <w:p>
            <w:pPr>
              <w:pStyle w:val="a4"/>
              <w:spacing w:line="240" w:lineRule="auto"/>
              <w:rPr>
                <w:rFonts w:ascii="微软雅黑" w:eastAsia="微软雅黑" w:hAnsi="微软雅黑"/>
              </w:rPr>
            </w:pPr>
            <w:r>
              <w:rPr>
                <w:rFonts w:ascii="微软雅黑" w:eastAsia="微软雅黑" w:hAnsi="微软雅黑" w:hint="eastAsia"/>
              </w:rPr>
              <w:t>黄益溪</w:t>
            </w:r>
          </w:p>
        </w:tc>
        <w:tc>
          <w:tcPr>
            <w:tcW w:w="878" w:type="pct"/>
            <w:vAlign w:val="center"/>
          </w:tcPr>
          <w:p>
            <w:pPr>
              <w:pStyle w:val="a4"/>
              <w:spacing w:line="240" w:lineRule="auto"/>
              <w:rPr>
                <w:rFonts w:ascii="微软雅黑" w:eastAsia="微软雅黑" w:hAnsi="微软雅黑"/>
              </w:rPr>
            </w:pPr>
            <w:r>
              <w:rPr>
                <w:rFonts w:ascii="微软雅黑" w:eastAsia="微软雅黑" w:hAnsi="微软雅黑" w:hint="eastAsia"/>
              </w:rPr>
              <w:t>2025.1.7</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10"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c>
          <w:tcPr>
            <w:tcW w:w="878" w:type="pct"/>
            <w:vAlign w:val="center"/>
          </w:tcPr>
          <w:p>
            <w:pPr>
              <w:pStyle w:val="a4"/>
              <w:ind w:firstLine="420"/>
              <w:rPr>
                <w:rFonts w:ascii="微软雅黑" w:eastAsia="微软雅黑" w:hAnsi="微软雅黑"/>
              </w:rPr>
            </w:pPr>
          </w:p>
        </w:tc>
      </w:tr>
    </w:tbl>
    <w:p>
      <w:pPr>
        <w:rPr>
          <w:rFonts w:ascii="仿宋" w:eastAsia="仿宋" w:hAnsi="仿宋" w:cs="仿宋"/>
          <w:sz w:val="24"/>
          <w:szCs w:val="24"/>
        </w:rPr>
        <w:sectPr>
          <w:headerReference w:type="default" r:id="rId7"/>
          <w:pgSz w:w="11906" w:h="16838"/>
          <w:pgMar w:top="1440" w:right="1800" w:bottom="1440" w:left="1800" w:header="851" w:footer="992" w:gutter="0"/>
          <w:cols w:num="1" w:space="425"/>
          <w:docGrid w:type="lines" w:linePitch="312" w:charSpace="0"/>
        </w:sectPr>
      </w:pPr>
    </w:p>
    <w:sdt>
      <w:sdtPr>
        <w:rPr>
          <w:rFonts w:asciiTheme="minorHAnsi" w:eastAsiaTheme="minorEastAsia" w:hAnsiTheme="minorHAnsi" w:cstheme="minorBidi"/>
          <w:color w:val="auto"/>
          <w:kern w:val="2"/>
          <w:sz w:val="21"/>
          <w:szCs w:val="22"/>
          <w:lang w:val="zh-CN"/>
        </w:rPr>
        <w:id w:val="-550076165"/>
        <w:docPartObj>
          <w:docPartGallery w:val="Table of Contents"/>
          <w:docPartUnique/>
        </w:docPartObj>
      </w:sdtPr>
      <w:sdtEndPr>
        <w:rPr>
          <w:rFonts w:asciiTheme="minorHAnsi" w:eastAsiaTheme="minorEastAsia" w:hAnsiTheme="minorHAnsi" w:cstheme="minorBidi"/>
          <w:b/>
          <w:bCs/>
          <w:color w:val="auto"/>
          <w:kern w:val="2"/>
          <w:sz w:val="21"/>
          <w:szCs w:val="22"/>
          <w:lang w:val="zh-CN"/>
        </w:rPr>
      </w:sdtEndPr>
      <w:sdtContent>
        <w:p>
          <w:pPr>
            <w:pStyle w:val="TOCHeading"/>
            <w:jc w:val="center"/>
          </w:pPr>
          <w:r>
            <w:rPr>
              <w:lang w:val="zh-CN"/>
            </w:rPr>
            <w:t>目录</w:t>
          </w:r>
        </w:p>
        <w:p>
          <w:pPr>
            <w:pStyle w:val="TOC1"/>
            <w:tabs>
              <w:tab w:val="right" w:leader="dot" w:pos="8296"/>
            </w:tabs>
            <w:rPr>
              <w:b w:val="0"/>
              <w:bCs w:val="0"/>
              <w:caps w:val="0"/>
              <w:sz w:val="21"/>
              <w:szCs w:val="22"/>
            </w:rPr>
          </w:pPr>
          <w:r>
            <w:fldChar w:fldCharType="begin"/>
          </w:r>
          <w:r>
            <w:instrText xml:space="preserve"> TOC \o "1-3" \h \z \u </w:instrText>
          </w:r>
          <w:r>
            <w:fldChar w:fldCharType="separate"/>
          </w:r>
          <w:r>
            <w:fldChar w:fldCharType="begin"/>
          </w:r>
          <w:r>
            <w:instrText xml:space="preserve"> HYPERLINK \l "_Toc56171596" </w:instrText>
          </w:r>
          <w:r>
            <w:fldChar w:fldCharType="separate"/>
          </w:r>
          <w:r>
            <w:rPr>
              <w:rStyle w:val="Hyperlink"/>
              <w:rFonts w:ascii="仿宋" w:eastAsia="仿宋" w:hAnsi="仿宋" w:cs="仿宋"/>
            </w:rPr>
            <w:t>1.目的</w:t>
          </w:r>
          <w:r>
            <w:tab/>
          </w:r>
          <w:r>
            <w:fldChar w:fldCharType="begin"/>
          </w:r>
          <w:r>
            <w:instrText xml:space="preserve"> PAGEREF _Toc56171596 \h </w:instrText>
          </w:r>
          <w:r>
            <w:fldChar w:fldCharType="separate"/>
          </w:r>
          <w:r>
            <w:t>1</w:t>
          </w:r>
          <w:r>
            <w:fldChar w:fldCharType="end"/>
          </w:r>
          <w:r>
            <w:fldChar w:fldCharType="end"/>
          </w:r>
        </w:p>
        <w:p>
          <w:pPr>
            <w:pStyle w:val="TOC1"/>
            <w:tabs>
              <w:tab w:val="right" w:leader="dot" w:pos="8296"/>
            </w:tabs>
            <w:rPr>
              <w:b w:val="0"/>
              <w:bCs w:val="0"/>
              <w:caps w:val="0"/>
              <w:sz w:val="21"/>
              <w:szCs w:val="22"/>
            </w:rPr>
          </w:pPr>
          <w:r>
            <w:fldChar w:fldCharType="begin"/>
          </w:r>
          <w:r>
            <w:instrText xml:space="preserve"> HYPERLINK \l "_Toc56171597" </w:instrText>
          </w:r>
          <w:r>
            <w:fldChar w:fldCharType="separate"/>
          </w:r>
          <w:r>
            <w:rPr>
              <w:rStyle w:val="Hyperlink"/>
              <w:rFonts w:ascii="仿宋" w:eastAsia="仿宋" w:hAnsi="仿宋" w:cs="仿宋"/>
            </w:rPr>
            <w:t>2.适用范围</w:t>
          </w:r>
          <w:r>
            <w:tab/>
          </w:r>
          <w:r>
            <w:fldChar w:fldCharType="begin"/>
          </w:r>
          <w:r>
            <w:instrText xml:space="preserve"> PAGEREF _Toc56171597 \h </w:instrText>
          </w:r>
          <w:r>
            <w:fldChar w:fldCharType="separate"/>
          </w:r>
          <w:r>
            <w:t>1</w:t>
          </w:r>
          <w:r>
            <w:fldChar w:fldCharType="end"/>
          </w:r>
          <w:r>
            <w:fldChar w:fldCharType="end"/>
          </w:r>
        </w:p>
        <w:p>
          <w:pPr>
            <w:pStyle w:val="TOC1"/>
            <w:tabs>
              <w:tab w:val="right" w:leader="dot" w:pos="8296"/>
            </w:tabs>
            <w:rPr>
              <w:b w:val="0"/>
              <w:bCs w:val="0"/>
              <w:caps w:val="0"/>
              <w:sz w:val="21"/>
              <w:szCs w:val="22"/>
            </w:rPr>
          </w:pPr>
          <w:r>
            <w:fldChar w:fldCharType="begin"/>
          </w:r>
          <w:r>
            <w:instrText xml:space="preserve"> HYPERLINK \l "_Toc56171598" </w:instrText>
          </w:r>
          <w:r>
            <w:fldChar w:fldCharType="separate"/>
          </w:r>
          <w:r>
            <w:rPr>
              <w:rStyle w:val="Hyperlink"/>
              <w:rFonts w:ascii="仿宋" w:eastAsia="仿宋" w:hAnsi="仿宋" w:cs="仿宋"/>
            </w:rPr>
            <w:t>3.职责与权限</w:t>
          </w:r>
          <w:r>
            <w:tab/>
          </w:r>
          <w:r>
            <w:fldChar w:fldCharType="begin"/>
          </w:r>
          <w:r>
            <w:instrText xml:space="preserve"> PAGEREF _Toc56171598 \h </w:instrText>
          </w:r>
          <w:r>
            <w:fldChar w:fldCharType="separate"/>
          </w:r>
          <w:r>
            <w:t>1</w:t>
          </w:r>
          <w:r>
            <w:fldChar w:fldCharType="end"/>
          </w:r>
          <w:r>
            <w:fldChar w:fldCharType="end"/>
          </w:r>
        </w:p>
        <w:p>
          <w:pPr>
            <w:pStyle w:val="TOC1"/>
            <w:tabs>
              <w:tab w:val="right" w:leader="dot" w:pos="8296"/>
            </w:tabs>
            <w:rPr>
              <w:b w:val="0"/>
              <w:bCs w:val="0"/>
              <w:caps w:val="0"/>
              <w:sz w:val="21"/>
              <w:szCs w:val="22"/>
            </w:rPr>
          </w:pPr>
          <w:r>
            <w:fldChar w:fldCharType="begin"/>
          </w:r>
          <w:r>
            <w:instrText xml:space="preserve"> HYPERLINK \l "_Toc56171599" </w:instrText>
          </w:r>
          <w:r>
            <w:fldChar w:fldCharType="separate"/>
          </w:r>
          <w:r>
            <w:rPr>
              <w:rStyle w:val="Hyperlink"/>
              <w:rFonts w:ascii="仿宋" w:eastAsia="仿宋" w:hAnsi="仿宋" w:cs="仿宋"/>
            </w:rPr>
            <w:t>4.具体要求</w:t>
          </w:r>
          <w:r>
            <w:tab/>
          </w:r>
          <w:r>
            <w:fldChar w:fldCharType="begin"/>
          </w:r>
          <w:r>
            <w:instrText xml:space="preserve"> PAGEREF _Toc56171599 \h </w:instrText>
          </w:r>
          <w:r>
            <w:fldChar w:fldCharType="separate"/>
          </w:r>
          <w:r>
            <w:t>1</w:t>
          </w:r>
          <w:r>
            <w:fldChar w:fldCharType="end"/>
          </w:r>
          <w:r>
            <w:fldChar w:fldCharType="end"/>
          </w:r>
        </w:p>
        <w:p>
          <w:pPr>
            <w:pStyle w:val="TOC2"/>
            <w:tabs>
              <w:tab w:val="right" w:leader="dot" w:pos="8296"/>
            </w:tabs>
            <w:rPr>
              <w:smallCaps w:val="0"/>
              <w:sz w:val="21"/>
              <w:szCs w:val="22"/>
            </w:rPr>
          </w:pPr>
          <w:r>
            <w:fldChar w:fldCharType="begin"/>
          </w:r>
          <w:r>
            <w:instrText xml:space="preserve"> HYPERLINK \l "_Toc56171600" </w:instrText>
          </w:r>
          <w:r>
            <w:fldChar w:fldCharType="separate"/>
          </w:r>
          <w:r>
            <w:rPr>
              <w:rStyle w:val="Hyperlink"/>
              <w:rFonts w:ascii="仿宋" w:eastAsia="仿宋" w:hAnsi="仿宋" w:cs="仿宋"/>
            </w:rPr>
            <w:t>4.1服务改进来源</w:t>
          </w:r>
          <w:r>
            <w:tab/>
          </w:r>
          <w:r>
            <w:fldChar w:fldCharType="begin"/>
          </w:r>
          <w:r>
            <w:instrText xml:space="preserve"> PAGEREF _Toc56171600 \h </w:instrText>
          </w:r>
          <w:r>
            <w:fldChar w:fldCharType="separate"/>
          </w:r>
          <w:r>
            <w:t>1</w:t>
          </w:r>
          <w:r>
            <w:fldChar w:fldCharType="end"/>
          </w:r>
          <w:r>
            <w:fldChar w:fldCharType="end"/>
          </w:r>
        </w:p>
        <w:p>
          <w:pPr>
            <w:pStyle w:val="TOC2"/>
            <w:tabs>
              <w:tab w:val="right" w:leader="dot" w:pos="8296"/>
            </w:tabs>
            <w:rPr>
              <w:smallCaps w:val="0"/>
              <w:sz w:val="21"/>
              <w:szCs w:val="22"/>
            </w:rPr>
          </w:pPr>
          <w:r>
            <w:fldChar w:fldCharType="begin"/>
          </w:r>
          <w:r>
            <w:instrText xml:space="preserve"> HYPERLINK \l "_Toc56171601" </w:instrText>
          </w:r>
          <w:r>
            <w:fldChar w:fldCharType="separate"/>
          </w:r>
          <w:r>
            <w:rPr>
              <w:rStyle w:val="Hyperlink"/>
              <w:rFonts w:ascii="仿宋" w:eastAsia="仿宋" w:hAnsi="仿宋" w:cs="仿宋"/>
            </w:rPr>
            <w:t>4.2 运维服务改进流程</w:t>
          </w:r>
          <w:r>
            <w:tab/>
          </w:r>
          <w:r>
            <w:fldChar w:fldCharType="begin"/>
          </w:r>
          <w:r>
            <w:instrText xml:space="preserve"> PAGEREF _Toc56171601 \h </w:instrText>
          </w:r>
          <w:r>
            <w:fldChar w:fldCharType="separate"/>
          </w:r>
          <w:r>
            <w:t>2</w:t>
          </w:r>
          <w:r>
            <w:fldChar w:fldCharType="end"/>
          </w:r>
          <w:r>
            <w:fldChar w:fldCharType="end"/>
          </w:r>
        </w:p>
        <w:p>
          <w:pPr>
            <w:pStyle w:val="TOC2"/>
            <w:tabs>
              <w:tab w:val="right" w:leader="dot" w:pos="8296"/>
            </w:tabs>
            <w:rPr>
              <w:smallCaps w:val="0"/>
              <w:sz w:val="21"/>
              <w:szCs w:val="22"/>
            </w:rPr>
          </w:pPr>
          <w:r>
            <w:fldChar w:fldCharType="begin"/>
          </w:r>
          <w:r>
            <w:instrText xml:space="preserve"> HYPERLINK \l "_Toc56171602" </w:instrText>
          </w:r>
          <w:r>
            <w:fldChar w:fldCharType="separate"/>
          </w:r>
          <w:r>
            <w:rPr>
              <w:rStyle w:val="Hyperlink"/>
              <w:rFonts w:ascii="仿宋" w:eastAsia="仿宋" w:hAnsi="仿宋" w:cs="仿宋"/>
            </w:rPr>
            <w:t>4.3客户投诉的处理</w:t>
          </w:r>
          <w:r>
            <w:tab/>
          </w:r>
          <w:r>
            <w:fldChar w:fldCharType="begin"/>
          </w:r>
          <w:r>
            <w:instrText xml:space="preserve"> PAGEREF _Toc56171602 \h </w:instrText>
          </w:r>
          <w:r>
            <w:fldChar w:fldCharType="separate"/>
          </w:r>
          <w:r>
            <w:t>2</w:t>
          </w:r>
          <w:r>
            <w:fldChar w:fldCharType="end"/>
          </w:r>
          <w:r>
            <w:fldChar w:fldCharType="end"/>
          </w:r>
        </w:p>
        <w:p>
          <w:pPr>
            <w:pStyle w:val="TOC2"/>
            <w:tabs>
              <w:tab w:val="right" w:leader="dot" w:pos="8296"/>
            </w:tabs>
            <w:rPr>
              <w:smallCaps w:val="0"/>
              <w:sz w:val="21"/>
              <w:szCs w:val="22"/>
            </w:rPr>
          </w:pPr>
          <w:r>
            <w:fldChar w:fldCharType="begin"/>
          </w:r>
          <w:r>
            <w:instrText xml:space="preserve"> HYPERLINK \l "_Toc56171603" </w:instrText>
          </w:r>
          <w:r>
            <w:fldChar w:fldCharType="separate"/>
          </w:r>
          <w:r>
            <w:rPr>
              <w:rStyle w:val="Hyperlink"/>
              <w:rFonts w:ascii="仿宋" w:eastAsia="仿宋" w:hAnsi="仿宋" w:cs="仿宋"/>
            </w:rPr>
            <w:t>4.4纠正措施</w:t>
          </w:r>
          <w:r>
            <w:tab/>
          </w:r>
          <w:r>
            <w:fldChar w:fldCharType="begin"/>
          </w:r>
          <w:r>
            <w:instrText xml:space="preserve"> PAGEREF _Toc56171603 \h </w:instrText>
          </w:r>
          <w:r>
            <w:fldChar w:fldCharType="separate"/>
          </w:r>
          <w:r>
            <w:t>3</w:t>
          </w:r>
          <w:r>
            <w:fldChar w:fldCharType="end"/>
          </w:r>
          <w:r>
            <w:fldChar w:fldCharType="end"/>
          </w:r>
        </w:p>
        <w:p>
          <w:pPr>
            <w:pStyle w:val="TOC2"/>
            <w:tabs>
              <w:tab w:val="right" w:leader="dot" w:pos="8296"/>
            </w:tabs>
            <w:rPr>
              <w:smallCaps w:val="0"/>
              <w:sz w:val="21"/>
              <w:szCs w:val="22"/>
            </w:rPr>
          </w:pPr>
          <w:r>
            <w:fldChar w:fldCharType="begin"/>
          </w:r>
          <w:r>
            <w:instrText xml:space="preserve"> HYPERLINK \l "_Toc56171604" </w:instrText>
          </w:r>
          <w:r>
            <w:fldChar w:fldCharType="separate"/>
          </w:r>
          <w:r>
            <w:rPr>
              <w:rStyle w:val="Hyperlink"/>
              <w:rFonts w:ascii="仿宋" w:eastAsia="仿宋" w:hAnsi="仿宋" w:cs="仿宋"/>
            </w:rPr>
            <w:t>4.5预防措施</w:t>
          </w:r>
          <w:r>
            <w:tab/>
          </w:r>
          <w:r>
            <w:fldChar w:fldCharType="begin"/>
          </w:r>
          <w:r>
            <w:instrText xml:space="preserve"> PAGEREF _Toc56171604 \h </w:instrText>
          </w:r>
          <w:r>
            <w:fldChar w:fldCharType="separate"/>
          </w:r>
          <w:r>
            <w:t>3</w:t>
          </w:r>
          <w:r>
            <w:fldChar w:fldCharType="end"/>
          </w:r>
          <w:r>
            <w:fldChar w:fldCharType="end"/>
          </w:r>
        </w:p>
        <w:p>
          <w:pPr>
            <w:pStyle w:val="TOC1"/>
            <w:tabs>
              <w:tab w:val="right" w:leader="dot" w:pos="8296"/>
            </w:tabs>
            <w:rPr>
              <w:b w:val="0"/>
              <w:bCs w:val="0"/>
              <w:caps w:val="0"/>
              <w:sz w:val="21"/>
              <w:szCs w:val="22"/>
            </w:rPr>
          </w:pPr>
          <w:r>
            <w:fldChar w:fldCharType="begin"/>
          </w:r>
          <w:r>
            <w:instrText xml:space="preserve"> HYPERLINK \l "_Toc56171605" </w:instrText>
          </w:r>
          <w:r>
            <w:fldChar w:fldCharType="separate"/>
          </w:r>
          <w:r>
            <w:rPr>
              <w:rStyle w:val="Hyperlink"/>
              <w:rFonts w:ascii="仿宋" w:eastAsia="仿宋" w:hAnsi="仿宋" w:cs="仿宋"/>
            </w:rPr>
            <w:t>5.相关文件</w:t>
          </w:r>
          <w:r>
            <w:tab/>
          </w:r>
          <w:r>
            <w:fldChar w:fldCharType="begin"/>
          </w:r>
          <w:r>
            <w:instrText xml:space="preserve"> PAGEREF _Toc56171605 \h </w:instrText>
          </w:r>
          <w:r>
            <w:fldChar w:fldCharType="separate"/>
          </w:r>
          <w:r>
            <w:t>4</w:t>
          </w:r>
          <w:r>
            <w:fldChar w:fldCharType="end"/>
          </w:r>
          <w:r>
            <w:fldChar w:fldCharType="end"/>
          </w:r>
        </w:p>
        <w:p>
          <w:pPr>
            <w:pStyle w:val="TOC1"/>
            <w:tabs>
              <w:tab w:val="right" w:leader="dot" w:pos="8296"/>
            </w:tabs>
            <w:rPr>
              <w:b w:val="0"/>
              <w:bCs w:val="0"/>
              <w:caps w:val="0"/>
              <w:sz w:val="21"/>
              <w:szCs w:val="22"/>
            </w:rPr>
          </w:pPr>
          <w:r>
            <w:fldChar w:fldCharType="begin"/>
          </w:r>
          <w:r>
            <w:instrText xml:space="preserve"> HYPERLINK \l "_Toc56171606" </w:instrText>
          </w:r>
          <w:r>
            <w:fldChar w:fldCharType="separate"/>
          </w:r>
          <w:r>
            <w:rPr>
              <w:rStyle w:val="Hyperlink"/>
              <w:rFonts w:ascii="仿宋" w:eastAsia="仿宋" w:hAnsi="仿宋" w:cs="仿宋"/>
            </w:rPr>
            <w:t>6.相关表单</w:t>
          </w:r>
          <w:r>
            <w:tab/>
          </w:r>
          <w:r>
            <w:fldChar w:fldCharType="begin"/>
          </w:r>
          <w:r>
            <w:instrText xml:space="preserve"> PAGEREF _Toc56171606 \h </w:instrText>
          </w:r>
          <w:r>
            <w:fldChar w:fldCharType="separate"/>
          </w:r>
          <w:r>
            <w:t>4</w:t>
          </w:r>
          <w:r>
            <w:fldChar w:fldCharType="end"/>
          </w:r>
          <w:r>
            <w:fldChar w:fldCharType="end"/>
          </w:r>
        </w:p>
        <w:p>
          <w:r>
            <w:rPr>
              <w:b/>
              <w:bCs/>
              <w:lang w:val="zh-CN"/>
            </w:rPr>
            <w:fldChar w:fldCharType="end"/>
          </w:r>
        </w:p>
      </w:sdtContent>
    </w:sdt>
    <w:p>
      <w:pPr>
        <w:pStyle w:val="reader-word-layer"/>
        <w:shd w:val="clear" w:color="auto" w:fill="FFFFFF"/>
        <w:spacing w:before="0" w:beforeAutospacing="0" w:after="0" w:afterAutospacing="0" w:line="240" w:lineRule="atLeast"/>
        <w:rPr>
          <w:rFonts w:ascii="仿宋" w:eastAsia="仿宋" w:hAnsi="仿宋" w:cs="仿宋"/>
          <w:color w:val="000000"/>
          <w:spacing w:val="5"/>
        </w:rPr>
      </w:pPr>
    </w:p>
    <w:p>
      <w:pPr>
        <w:pStyle w:val="reader-word-layer"/>
        <w:shd w:val="clear" w:color="auto" w:fill="FFFFFF"/>
        <w:spacing w:before="0" w:beforeAutospacing="0" w:after="0" w:afterAutospacing="0" w:line="240" w:lineRule="atLeast"/>
        <w:rPr>
          <w:rFonts w:ascii="仿宋" w:eastAsia="仿宋" w:hAnsi="仿宋" w:cs="仿宋"/>
          <w:color w:val="000000"/>
          <w:spacing w:val="5"/>
        </w:rPr>
        <w:sectPr>
          <w:headerReference w:type="default" r:id="rId8"/>
          <w:footerReference w:type="default" r:id="rId9"/>
          <w:pgSz w:w="11906" w:h="16838"/>
          <w:pgMar w:top="1440" w:right="1800" w:bottom="1440" w:left="1800" w:header="851" w:footer="992" w:gutter="0"/>
          <w:pgNumType w:start="1"/>
          <w:cols w:num="1" w:space="425"/>
          <w:docGrid w:type="lines" w:linePitch="312" w:charSpace="0"/>
        </w:sectPr>
      </w:pPr>
    </w:p>
    <w:p>
      <w:pPr>
        <w:pStyle w:val="Heading1"/>
        <w:tabs>
          <w:tab w:val="left" w:pos="3645"/>
        </w:tabs>
        <w:spacing w:before="0" w:after="0" w:line="360" w:lineRule="auto"/>
        <w:jc w:val="left"/>
        <w:rPr>
          <w:rFonts w:ascii="仿宋" w:eastAsia="仿宋" w:hAnsi="仿宋" w:cs="仿宋"/>
          <w:sz w:val="24"/>
          <w:szCs w:val="24"/>
        </w:rPr>
      </w:pPr>
      <w:bookmarkStart w:id="1" w:name="_Toc461350386"/>
      <w:bookmarkStart w:id="2" w:name="_Toc481071011"/>
      <w:bookmarkStart w:id="3" w:name="_Toc462721457"/>
      <w:bookmarkStart w:id="4" w:name="_Toc56171596"/>
      <w:bookmarkStart w:id="5" w:name="_Toc500104815"/>
      <w:bookmarkStart w:id="6" w:name="_Toc454182258"/>
      <w:r>
        <w:rPr>
          <w:rFonts w:ascii="仿宋" w:eastAsia="仿宋" w:hAnsi="仿宋" w:cs="仿宋" w:hint="eastAsia"/>
          <w:sz w:val="24"/>
          <w:szCs w:val="24"/>
        </w:rPr>
        <w:t>1.目的</w:t>
      </w:r>
      <w:bookmarkEnd w:id="1"/>
      <w:bookmarkEnd w:id="2"/>
      <w:bookmarkEnd w:id="3"/>
      <w:bookmarkEnd w:id="4"/>
      <w:bookmarkEnd w:id="5"/>
      <w:bookmarkEnd w:id="6"/>
    </w:p>
    <w:p>
      <w:pPr>
        <w:widowControl/>
        <w:spacing w:line="360" w:lineRule="auto"/>
        <w:ind w:firstLine="420" w:firstLineChars="200"/>
        <w:jc w:val="left"/>
        <w:rPr>
          <w:rFonts w:ascii="仿宋" w:eastAsia="仿宋" w:hAnsi="仿宋" w:cs="仿宋"/>
          <w:kern w:val="0"/>
          <w:sz w:val="24"/>
          <w:szCs w:val="24"/>
        </w:rPr>
      </w:pPr>
      <w:r>
        <w:rPr>
          <w:rFonts w:ascii="仿宋" w:eastAsia="仿宋" w:hAnsi="仿宋" w:cs="仿宋" w:hint="eastAsia"/>
          <w:kern w:val="0"/>
          <w:sz w:val="24"/>
          <w:szCs w:val="24"/>
        </w:rPr>
        <w:t>采取有效的改进、纠正和预防措施，实现质量管理的持续改进，提高企业质量管理水平；同时收集分析相关数据，以确定质量管理体系的适宜性和有效性，并识别可以实施的改进。</w:t>
      </w:r>
    </w:p>
    <w:p>
      <w:pPr>
        <w:pStyle w:val="Heading1"/>
        <w:spacing w:before="0" w:after="0" w:line="360" w:lineRule="auto"/>
        <w:jc w:val="left"/>
        <w:rPr>
          <w:rFonts w:ascii="仿宋" w:eastAsia="仿宋" w:hAnsi="仿宋" w:cs="仿宋"/>
          <w:sz w:val="24"/>
          <w:szCs w:val="24"/>
        </w:rPr>
      </w:pPr>
      <w:bookmarkStart w:id="7" w:name="_Toc454182259"/>
      <w:bookmarkStart w:id="8" w:name="_Toc462721458"/>
      <w:bookmarkStart w:id="9" w:name="_Toc500104816"/>
      <w:bookmarkStart w:id="10" w:name="_Toc56171597"/>
      <w:bookmarkStart w:id="11" w:name="_Toc461350387"/>
      <w:bookmarkStart w:id="12" w:name="_Toc481071012"/>
      <w:r>
        <w:rPr>
          <w:rFonts w:ascii="仿宋" w:eastAsia="仿宋" w:hAnsi="仿宋" w:cs="仿宋" w:hint="eastAsia"/>
          <w:sz w:val="24"/>
          <w:szCs w:val="24"/>
        </w:rPr>
        <w:t>2.适用范围</w:t>
      </w:r>
      <w:bookmarkEnd w:id="7"/>
      <w:bookmarkEnd w:id="8"/>
      <w:bookmarkEnd w:id="9"/>
      <w:bookmarkEnd w:id="10"/>
      <w:bookmarkEnd w:id="11"/>
      <w:bookmarkEnd w:id="12"/>
    </w:p>
    <w:p>
      <w:pPr>
        <w:widowControl/>
        <w:spacing w:line="360" w:lineRule="auto"/>
        <w:ind w:firstLine="420" w:firstLineChars="200"/>
        <w:jc w:val="left"/>
        <w:rPr>
          <w:rFonts w:ascii="仿宋" w:eastAsia="仿宋" w:hAnsi="仿宋" w:cs="仿宋"/>
          <w:kern w:val="0"/>
          <w:sz w:val="24"/>
          <w:szCs w:val="24"/>
        </w:rPr>
      </w:pPr>
      <w:r>
        <w:rPr>
          <w:rFonts w:ascii="仿宋" w:eastAsia="仿宋" w:hAnsi="仿宋" w:cs="仿宋" w:hint="eastAsia"/>
          <w:kern w:val="0"/>
          <w:sz w:val="24"/>
          <w:szCs w:val="24"/>
        </w:rPr>
        <w:t>适用于改进、纠正和预防措施的制定、实施与验证；同时对来自监视和测量活动及其他相关来源的数据分析。</w:t>
      </w:r>
      <w:bookmarkStart w:id="13" w:name="_Toc462721459"/>
      <w:bookmarkStart w:id="14" w:name="_Toc454182260"/>
      <w:bookmarkStart w:id="15" w:name="_Toc461350388"/>
    </w:p>
    <w:p>
      <w:pPr>
        <w:pStyle w:val="Heading1"/>
        <w:spacing w:before="0" w:after="0" w:line="360" w:lineRule="auto"/>
        <w:jc w:val="left"/>
        <w:rPr>
          <w:rFonts w:ascii="仿宋" w:eastAsia="仿宋" w:hAnsi="仿宋" w:cs="仿宋"/>
          <w:sz w:val="24"/>
          <w:szCs w:val="24"/>
        </w:rPr>
      </w:pPr>
      <w:bookmarkStart w:id="16" w:name="_Toc56171598"/>
      <w:bookmarkStart w:id="17" w:name="_Toc500104817"/>
      <w:bookmarkStart w:id="18" w:name="_Toc481071013"/>
      <w:r>
        <w:rPr>
          <w:rFonts w:ascii="仿宋" w:eastAsia="仿宋" w:hAnsi="仿宋" w:cs="仿宋" w:hint="eastAsia"/>
          <w:sz w:val="24"/>
          <w:szCs w:val="24"/>
        </w:rPr>
        <w:t>3.职责与权限</w:t>
      </w:r>
      <w:bookmarkEnd w:id="13"/>
      <w:bookmarkEnd w:id="14"/>
      <w:bookmarkEnd w:id="15"/>
      <w:bookmarkEnd w:id="16"/>
      <w:bookmarkEnd w:id="17"/>
      <w:bookmarkEnd w:id="18"/>
    </w:p>
    <w:p>
      <w:pPr>
        <w:pStyle w:val="11"/>
        <w:widowControl/>
        <w:numPr>
          <w:ilvl w:val="0"/>
          <w:numId w:val="1"/>
        </w:numPr>
        <w:spacing w:line="360" w:lineRule="auto"/>
        <w:ind w:left="420" w:firstLine="0" w:leftChars="200" w:firstLineChars="0"/>
        <w:jc w:val="left"/>
        <w:rPr>
          <w:rFonts w:ascii="仿宋" w:eastAsia="仿宋" w:hAnsi="仿宋" w:cs="仿宋"/>
          <w:kern w:val="0"/>
          <w:sz w:val="24"/>
          <w:szCs w:val="24"/>
        </w:rPr>
      </w:pPr>
      <w:r>
        <w:rPr>
          <w:rFonts w:ascii="仿宋" w:eastAsia="仿宋" w:hAnsi="仿宋" w:cs="仿宋" w:hint="eastAsia"/>
          <w:kern w:val="0"/>
          <w:sz w:val="24"/>
          <w:szCs w:val="24"/>
        </w:rPr>
        <w:t>质量部负责对产品采取预防措施的监督管理工作及跨部门性预防措施的组织实施工作，并验证预防措施的有效性；</w:t>
      </w:r>
    </w:p>
    <w:p>
      <w:pPr>
        <w:pStyle w:val="11"/>
        <w:widowControl/>
        <w:numPr>
          <w:ilvl w:val="0"/>
          <w:numId w:val="1"/>
        </w:numPr>
        <w:spacing w:line="360" w:lineRule="auto"/>
        <w:ind w:left="420" w:firstLine="0" w:leftChars="200" w:firstLineChars="0"/>
        <w:jc w:val="left"/>
        <w:rPr>
          <w:rFonts w:ascii="仿宋" w:eastAsia="仿宋" w:hAnsi="仿宋" w:cs="仿宋"/>
          <w:kern w:val="0"/>
          <w:sz w:val="24"/>
          <w:szCs w:val="24"/>
        </w:rPr>
      </w:pPr>
      <w:r>
        <w:rPr>
          <w:rFonts w:ascii="仿宋" w:eastAsia="仿宋" w:hAnsi="仿宋" w:cs="仿宋" w:hint="eastAsia"/>
          <w:kern w:val="0"/>
          <w:sz w:val="24"/>
          <w:szCs w:val="24"/>
        </w:rPr>
        <w:t>质量部负责公司对内、对外相关数据的传递与分析、处理；</w:t>
      </w:r>
    </w:p>
    <w:p>
      <w:pPr>
        <w:pStyle w:val="11"/>
        <w:widowControl/>
        <w:numPr>
          <w:ilvl w:val="0"/>
          <w:numId w:val="1"/>
        </w:numPr>
        <w:spacing w:line="360" w:lineRule="auto"/>
        <w:ind w:left="420" w:firstLine="0" w:leftChars="200" w:firstLineChars="0"/>
        <w:jc w:val="left"/>
        <w:rPr>
          <w:rFonts w:ascii="仿宋" w:eastAsia="仿宋" w:hAnsi="仿宋" w:cs="仿宋"/>
          <w:kern w:val="0"/>
          <w:sz w:val="24"/>
          <w:szCs w:val="24"/>
        </w:rPr>
      </w:pPr>
      <w:r>
        <w:rPr>
          <w:rFonts w:ascii="仿宋" w:eastAsia="仿宋" w:hAnsi="仿宋" w:cs="仿宋" w:hint="eastAsia"/>
          <w:kern w:val="0"/>
          <w:sz w:val="24"/>
          <w:szCs w:val="24"/>
        </w:rPr>
        <w:t>相关部门负责本部门预防措施的实施工作；</w:t>
      </w:r>
    </w:p>
    <w:p>
      <w:pPr>
        <w:pStyle w:val="11"/>
        <w:widowControl/>
        <w:numPr>
          <w:ilvl w:val="0"/>
          <w:numId w:val="1"/>
        </w:numPr>
        <w:spacing w:line="360" w:lineRule="auto"/>
        <w:ind w:left="420" w:firstLine="0" w:leftChars="200" w:firstLineChars="0"/>
        <w:jc w:val="left"/>
        <w:rPr>
          <w:rFonts w:ascii="仿宋" w:eastAsia="仿宋" w:hAnsi="仿宋" w:cs="仿宋"/>
          <w:kern w:val="0"/>
          <w:sz w:val="24"/>
          <w:szCs w:val="24"/>
        </w:rPr>
      </w:pPr>
      <w:r>
        <w:rPr>
          <w:rFonts w:ascii="仿宋" w:eastAsia="仿宋" w:hAnsi="仿宋" w:cs="仿宋" w:hint="eastAsia"/>
          <w:kern w:val="0"/>
          <w:sz w:val="24"/>
          <w:szCs w:val="24"/>
        </w:rPr>
        <w:t>各部门负责各自相关的数据收集、传递。</w:t>
      </w:r>
    </w:p>
    <w:p>
      <w:pPr>
        <w:pStyle w:val="Heading1"/>
        <w:spacing w:before="0" w:after="0" w:line="360" w:lineRule="auto"/>
        <w:jc w:val="left"/>
        <w:rPr>
          <w:rFonts w:ascii="仿宋" w:eastAsia="仿宋" w:hAnsi="仿宋" w:cs="仿宋"/>
          <w:sz w:val="24"/>
          <w:szCs w:val="24"/>
        </w:rPr>
      </w:pPr>
      <w:bookmarkStart w:id="19" w:name="_Toc481071014"/>
      <w:bookmarkStart w:id="20" w:name="_Toc500104818"/>
      <w:bookmarkStart w:id="21" w:name="_Toc461350391"/>
      <w:bookmarkStart w:id="22" w:name="_Toc462721462"/>
      <w:bookmarkStart w:id="23" w:name="_Toc454182263"/>
      <w:bookmarkStart w:id="24" w:name="_Toc56171599"/>
      <w:r>
        <w:rPr>
          <w:rFonts w:ascii="仿宋" w:eastAsia="仿宋" w:hAnsi="仿宋" w:cs="仿宋" w:hint="eastAsia"/>
          <w:sz w:val="24"/>
          <w:szCs w:val="24"/>
        </w:rPr>
        <w:t>4.具体要求</w:t>
      </w:r>
      <w:bookmarkEnd w:id="19"/>
      <w:bookmarkEnd w:id="20"/>
      <w:bookmarkEnd w:id="21"/>
      <w:bookmarkEnd w:id="22"/>
      <w:bookmarkEnd w:id="23"/>
      <w:bookmarkEnd w:id="24"/>
    </w:p>
    <w:p>
      <w:pPr>
        <w:pStyle w:val="Heading2"/>
        <w:spacing w:before="0" w:after="0" w:line="360" w:lineRule="auto"/>
        <w:jc w:val="left"/>
        <w:rPr>
          <w:rFonts w:ascii="仿宋" w:eastAsia="仿宋" w:hAnsi="仿宋" w:cs="仿宋"/>
          <w:szCs w:val="24"/>
        </w:rPr>
      </w:pPr>
      <w:bookmarkStart w:id="25" w:name="_Toc500104819"/>
      <w:bookmarkStart w:id="26" w:name="_Toc454182264"/>
      <w:bookmarkStart w:id="27" w:name="_Toc56171600"/>
      <w:bookmarkStart w:id="28" w:name="_Toc462721463"/>
      <w:bookmarkStart w:id="29" w:name="_Toc481071015"/>
      <w:bookmarkStart w:id="30" w:name="_Toc461350392"/>
      <w:r>
        <w:rPr>
          <w:rFonts w:ascii="仿宋" w:eastAsia="仿宋" w:hAnsi="仿宋" w:cs="仿宋" w:hint="eastAsia"/>
          <w:szCs w:val="24"/>
        </w:rPr>
        <w:t>4.1服务改进来源</w:t>
      </w:r>
      <w:bookmarkEnd w:id="25"/>
      <w:bookmarkEnd w:id="26"/>
      <w:bookmarkEnd w:id="27"/>
      <w:bookmarkEnd w:id="28"/>
      <w:bookmarkEnd w:id="29"/>
      <w:bookmarkEnd w:id="30"/>
    </w:p>
    <w:p>
      <w:pPr>
        <w:pStyle w:val="11"/>
        <w:numPr>
          <w:ilvl w:val="0"/>
          <w:numId w:val="2"/>
        </w:numPr>
        <w:spacing w:line="360" w:lineRule="auto"/>
        <w:ind w:left="420" w:firstLine="0" w:leftChars="200" w:firstLineChars="0"/>
        <w:jc w:val="left"/>
        <w:rPr>
          <w:rFonts w:ascii="仿宋" w:eastAsia="仿宋" w:hAnsi="仿宋" w:cs="仿宋"/>
          <w:sz w:val="24"/>
          <w:szCs w:val="24"/>
        </w:rPr>
      </w:pPr>
      <w:r>
        <w:rPr>
          <w:rFonts w:ascii="仿宋" w:eastAsia="仿宋" w:hAnsi="仿宋" w:cs="仿宋" w:hint="eastAsia"/>
          <w:sz w:val="24"/>
          <w:szCs w:val="24"/>
        </w:rPr>
        <w:t>公司内部审核；</w:t>
      </w:r>
    </w:p>
    <w:p>
      <w:pPr>
        <w:pStyle w:val="11"/>
        <w:numPr>
          <w:ilvl w:val="0"/>
          <w:numId w:val="2"/>
        </w:numPr>
        <w:spacing w:line="360" w:lineRule="auto"/>
        <w:ind w:left="420" w:firstLine="0" w:leftChars="200" w:firstLineChars="0"/>
        <w:jc w:val="left"/>
        <w:rPr>
          <w:rFonts w:ascii="仿宋" w:eastAsia="仿宋" w:hAnsi="仿宋" w:cs="仿宋"/>
          <w:sz w:val="24"/>
          <w:szCs w:val="24"/>
        </w:rPr>
      </w:pPr>
      <w:r>
        <w:rPr>
          <w:rFonts w:ascii="仿宋" w:eastAsia="仿宋" w:hAnsi="仿宋" w:cs="仿宋" w:hint="eastAsia"/>
          <w:sz w:val="24"/>
          <w:szCs w:val="24"/>
        </w:rPr>
        <w:t>公司管理评审；</w:t>
      </w:r>
    </w:p>
    <w:p>
      <w:pPr>
        <w:pStyle w:val="11"/>
        <w:numPr>
          <w:ilvl w:val="0"/>
          <w:numId w:val="2"/>
        </w:numPr>
        <w:spacing w:line="360" w:lineRule="auto"/>
        <w:ind w:left="420" w:firstLine="0" w:leftChars="200" w:firstLineChars="0"/>
        <w:jc w:val="left"/>
        <w:rPr>
          <w:rFonts w:ascii="仿宋" w:eastAsia="仿宋" w:hAnsi="仿宋" w:cs="仿宋"/>
          <w:sz w:val="24"/>
          <w:szCs w:val="24"/>
        </w:rPr>
      </w:pPr>
      <w:r>
        <w:rPr>
          <w:rFonts w:ascii="仿宋" w:eastAsia="仿宋" w:hAnsi="仿宋" w:cs="仿宋" w:hint="eastAsia"/>
          <w:sz w:val="24"/>
          <w:szCs w:val="24"/>
        </w:rPr>
        <w:t>客户满意度调查；</w:t>
      </w:r>
    </w:p>
    <w:p>
      <w:pPr>
        <w:pStyle w:val="11"/>
        <w:numPr>
          <w:ilvl w:val="0"/>
          <w:numId w:val="2"/>
        </w:numPr>
        <w:spacing w:line="360" w:lineRule="auto"/>
        <w:ind w:left="420" w:firstLine="0" w:leftChars="200" w:firstLineChars="0"/>
        <w:jc w:val="left"/>
        <w:rPr>
          <w:rFonts w:ascii="仿宋" w:eastAsia="仿宋" w:hAnsi="仿宋" w:cs="仿宋"/>
          <w:sz w:val="24"/>
          <w:szCs w:val="24"/>
        </w:rPr>
      </w:pPr>
      <w:r>
        <w:rPr>
          <w:rFonts w:ascii="仿宋" w:eastAsia="仿宋" w:hAnsi="仿宋" w:cs="仿宋" w:hint="eastAsia"/>
          <w:sz w:val="24"/>
          <w:szCs w:val="24"/>
        </w:rPr>
        <w:t>客户投诉；</w:t>
      </w:r>
    </w:p>
    <w:p>
      <w:pPr>
        <w:pStyle w:val="11"/>
        <w:numPr>
          <w:ilvl w:val="0"/>
          <w:numId w:val="2"/>
        </w:numPr>
        <w:spacing w:line="360" w:lineRule="auto"/>
        <w:ind w:left="420" w:firstLine="0" w:leftChars="200" w:firstLineChars="0"/>
        <w:jc w:val="left"/>
        <w:rPr>
          <w:rFonts w:ascii="仿宋" w:eastAsia="仿宋" w:hAnsi="仿宋" w:cs="仿宋"/>
          <w:sz w:val="24"/>
          <w:szCs w:val="24"/>
        </w:rPr>
      </w:pPr>
      <w:r>
        <w:rPr>
          <w:rFonts w:ascii="仿宋" w:eastAsia="仿宋" w:hAnsi="仿宋" w:cs="仿宋" w:hint="eastAsia"/>
          <w:sz w:val="24"/>
          <w:szCs w:val="24"/>
        </w:rPr>
        <w:t>日常工作报告、日常工作会议；</w:t>
      </w:r>
    </w:p>
    <w:p>
      <w:pPr>
        <w:pStyle w:val="11"/>
        <w:numPr>
          <w:ilvl w:val="0"/>
          <w:numId w:val="2"/>
        </w:numPr>
        <w:spacing w:line="360" w:lineRule="auto"/>
        <w:ind w:left="420" w:firstLine="0" w:leftChars="200" w:firstLineChars="0"/>
        <w:jc w:val="left"/>
        <w:rPr>
          <w:rFonts w:ascii="仿宋" w:eastAsia="仿宋" w:hAnsi="仿宋" w:cs="仿宋"/>
          <w:sz w:val="24"/>
          <w:szCs w:val="24"/>
        </w:rPr>
      </w:pPr>
      <w:r>
        <w:rPr>
          <w:rFonts w:ascii="仿宋" w:eastAsia="仿宋" w:hAnsi="仿宋" w:cs="仿宋" w:hint="eastAsia"/>
          <w:sz w:val="24"/>
          <w:szCs w:val="24"/>
        </w:rPr>
        <w:t>其他运维服务过程的管理中发现的问题。</w:t>
      </w:r>
    </w:p>
    <w:p>
      <w:pPr>
        <w:pStyle w:val="Heading2"/>
        <w:spacing w:before="0" w:after="0" w:line="360" w:lineRule="auto"/>
        <w:jc w:val="left"/>
        <w:rPr>
          <w:rFonts w:ascii="仿宋" w:eastAsia="仿宋" w:hAnsi="仿宋" w:cs="仿宋"/>
          <w:szCs w:val="24"/>
        </w:rPr>
      </w:pPr>
      <w:bookmarkStart w:id="31" w:name="_Toc462721464"/>
      <w:bookmarkStart w:id="32" w:name="_Toc56171601"/>
      <w:bookmarkStart w:id="33" w:name="_Toc500104820"/>
      <w:bookmarkStart w:id="34" w:name="_Toc454182265"/>
      <w:bookmarkStart w:id="35" w:name="_Toc481071016"/>
      <w:bookmarkStart w:id="36" w:name="_Toc461350393"/>
      <w:r>
        <w:rPr>
          <w:rFonts w:ascii="仿宋" w:eastAsia="仿宋" w:hAnsi="仿宋" w:cs="仿宋" w:hint="eastAsia"/>
          <w:szCs w:val="24"/>
        </w:rPr>
        <w:t>4.2 运维服务改进流程</w:t>
      </w:r>
      <w:bookmarkEnd w:id="31"/>
      <w:bookmarkEnd w:id="32"/>
      <w:bookmarkEnd w:id="33"/>
      <w:bookmarkEnd w:id="34"/>
      <w:bookmarkEnd w:id="35"/>
      <w:bookmarkEnd w:id="36"/>
    </w:p>
    <w:p>
      <w:pPr>
        <w:spacing w:line="360" w:lineRule="auto"/>
        <w:rPr>
          <w:rFonts w:ascii="仿宋" w:eastAsia="仿宋" w:hAnsi="仿宋" w:cs="仿宋"/>
          <w:sz w:val="24"/>
          <w:szCs w:val="24"/>
        </w:rPr>
      </w:pPr>
      <w:r>
        <w:rPr>
          <w:rFonts w:ascii="仿宋" w:eastAsia="仿宋" w:hAnsi="仿宋" w:cs="仿宋"/>
          <w:sz w:val="24"/>
          <w:szCs w:val="24"/>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46pt;width:425.4pt" o:oleicon="f" o:ole="" coordsize="21600,21600" o:preferrelative="t" filled="f" stroked="f">
            <v:stroke joinstyle="miter"/>
            <v:imagedata r:id="rId10" o:title=""/>
            <o:lock v:ext="edit" aspectratio="t"/>
            <w10:anchorlock/>
          </v:shape>
          <o:OLEObject Type="Embed" ProgID="Visio.Drawing.11" ShapeID="_x0000_i1025" DrawAspect="Content" ObjectID="_1468075725" r:id="rId11"/>
        </w:object>
      </w:r>
    </w:p>
    <w:p>
      <w:pPr>
        <w:pStyle w:val="11"/>
        <w:spacing w:line="360" w:lineRule="auto"/>
        <w:ind w:firstLine="480"/>
        <w:jc w:val="left"/>
        <w:rPr>
          <w:rFonts w:ascii="仿宋" w:eastAsia="仿宋" w:hAnsi="仿宋" w:cs="仿宋"/>
          <w:sz w:val="24"/>
          <w:szCs w:val="24"/>
        </w:rPr>
      </w:pPr>
      <w:r>
        <w:rPr>
          <w:rFonts w:ascii="仿宋" w:eastAsia="仿宋" w:hAnsi="仿宋" w:cs="仿宋" w:hint="eastAsia"/>
          <w:sz w:val="24"/>
          <w:szCs w:val="24"/>
        </w:rPr>
        <w:t>质量部负责对发现的不符合项和改进内容进行跟踪，直到问题进行解决。</w:t>
      </w:r>
    </w:p>
    <w:p>
      <w:pPr>
        <w:pStyle w:val="11"/>
        <w:spacing w:line="360" w:lineRule="auto"/>
        <w:ind w:firstLine="480"/>
        <w:jc w:val="left"/>
        <w:rPr>
          <w:rFonts w:ascii="仿宋" w:eastAsia="仿宋" w:hAnsi="仿宋" w:cs="仿宋"/>
          <w:sz w:val="24"/>
          <w:szCs w:val="24"/>
        </w:rPr>
      </w:pPr>
      <w:r>
        <w:rPr>
          <w:rFonts w:ascii="仿宋" w:eastAsia="仿宋" w:hAnsi="仿宋" w:cs="仿宋" w:hint="eastAsia"/>
          <w:sz w:val="24"/>
          <w:szCs w:val="24"/>
        </w:rPr>
        <w:t>由质量部对改进实施方案进行确认，并跟踪改进的进度、针对改进结果进行符合性验证、关闭不符合项做结案处理；如果需要给予客户答复的改进项，必须及时向客户进行通报和说明。</w:t>
      </w:r>
    </w:p>
    <w:p>
      <w:pPr>
        <w:pStyle w:val="Heading2"/>
        <w:spacing w:before="0" w:after="0" w:line="360" w:lineRule="auto"/>
        <w:jc w:val="left"/>
        <w:rPr>
          <w:rFonts w:ascii="仿宋" w:eastAsia="仿宋" w:hAnsi="仿宋" w:cs="仿宋"/>
          <w:szCs w:val="24"/>
        </w:rPr>
      </w:pPr>
      <w:bookmarkStart w:id="37" w:name="_Toc461350394"/>
      <w:bookmarkStart w:id="38" w:name="_Toc481071017"/>
      <w:bookmarkStart w:id="39" w:name="_Toc56171602"/>
      <w:bookmarkStart w:id="40" w:name="_Toc462721465"/>
      <w:bookmarkStart w:id="41" w:name="_Toc500104821"/>
      <w:bookmarkStart w:id="42" w:name="_Toc454182266"/>
      <w:r>
        <w:rPr>
          <w:rFonts w:ascii="仿宋" w:eastAsia="仿宋" w:hAnsi="仿宋" w:cs="仿宋" w:hint="eastAsia"/>
          <w:szCs w:val="24"/>
        </w:rPr>
        <w:t>4.3客户投诉的处理</w:t>
      </w:r>
      <w:bookmarkEnd w:id="37"/>
      <w:bookmarkEnd w:id="38"/>
      <w:bookmarkEnd w:id="39"/>
      <w:bookmarkEnd w:id="40"/>
      <w:bookmarkEnd w:id="41"/>
      <w:bookmarkEnd w:id="42"/>
    </w:p>
    <w:p>
      <w:pPr>
        <w:pStyle w:val="11"/>
        <w:widowControl/>
        <w:numPr>
          <w:ilvl w:val="0"/>
          <w:numId w:val="3"/>
        </w:numPr>
        <w:spacing w:line="360" w:lineRule="auto"/>
        <w:ind w:left="420" w:firstLine="0" w:leftChars="200" w:firstLineChars="0"/>
        <w:jc w:val="left"/>
        <w:rPr>
          <w:rFonts w:ascii="仿宋" w:eastAsia="仿宋" w:hAnsi="仿宋" w:cs="仿宋"/>
          <w:kern w:val="0"/>
          <w:sz w:val="24"/>
          <w:szCs w:val="24"/>
        </w:rPr>
      </w:pPr>
      <w:r>
        <w:rPr>
          <w:rFonts w:ascii="仿宋" w:eastAsia="仿宋" w:hAnsi="仿宋" w:cs="仿宋" w:hint="eastAsia"/>
          <w:kern w:val="0"/>
          <w:sz w:val="24"/>
          <w:szCs w:val="24"/>
        </w:rPr>
        <w:t>由服务台作为公司固定的与客户沟通，受理客户投诉的渠道，但公司任何部门或人员在接到来自客户的投诉时，都有责任记录并转交相关部门进行处理。</w:t>
      </w:r>
    </w:p>
    <w:p>
      <w:pPr>
        <w:pStyle w:val="11"/>
        <w:widowControl/>
        <w:numPr>
          <w:ilvl w:val="0"/>
          <w:numId w:val="3"/>
        </w:numPr>
        <w:spacing w:line="360" w:lineRule="auto"/>
        <w:ind w:left="420" w:firstLine="0" w:leftChars="200" w:firstLineChars="0"/>
        <w:jc w:val="left"/>
        <w:rPr>
          <w:rFonts w:ascii="仿宋" w:eastAsia="仿宋" w:hAnsi="仿宋" w:cs="仿宋"/>
          <w:kern w:val="0"/>
          <w:sz w:val="24"/>
          <w:szCs w:val="24"/>
        </w:rPr>
      </w:pPr>
      <w:r>
        <w:rPr>
          <w:rFonts w:ascii="仿宋" w:eastAsia="仿宋" w:hAnsi="仿宋" w:cs="仿宋" w:hint="eastAsia"/>
          <w:kern w:val="0"/>
          <w:sz w:val="24"/>
          <w:szCs w:val="24"/>
        </w:rPr>
        <w:t>客户的投诉可能针对产品和服务，也可能针对其他与客户发生接口的环节。</w:t>
      </w:r>
    </w:p>
    <w:p>
      <w:pPr>
        <w:pStyle w:val="11"/>
        <w:widowControl/>
        <w:numPr>
          <w:ilvl w:val="0"/>
          <w:numId w:val="3"/>
        </w:numPr>
        <w:spacing w:line="360" w:lineRule="auto"/>
        <w:ind w:left="420" w:firstLine="0" w:leftChars="200" w:firstLineChars="0"/>
        <w:jc w:val="left"/>
        <w:rPr>
          <w:rFonts w:ascii="仿宋" w:eastAsia="仿宋" w:hAnsi="仿宋" w:cs="仿宋"/>
          <w:kern w:val="0"/>
          <w:sz w:val="24"/>
          <w:szCs w:val="24"/>
        </w:rPr>
      </w:pPr>
      <w:r>
        <w:rPr>
          <w:rFonts w:ascii="仿宋" w:eastAsia="仿宋" w:hAnsi="仿宋" w:cs="仿宋" w:hint="eastAsia"/>
          <w:kern w:val="0"/>
          <w:sz w:val="24"/>
          <w:szCs w:val="24"/>
        </w:rPr>
        <w:t>服务台在接到客户任何形式的投诉时，如果客户以书面形式提出投诉，应将客户的书面资料作为附件。同时填写《客户投诉处理记录表》，将客户投诉事实描述清楚，及时传递相关部门进行处理，相关部门将《客户投诉处理记录表》中问题答复、后续处理、答复人员、答复时间填写完整。当问题较为严重或涉及一个以上部门时，直接报告最高管理者，由最高管理者召开管理评审会议，讨论解决方案和相关纠正措施。</w:t>
      </w:r>
    </w:p>
    <w:p>
      <w:pPr>
        <w:pStyle w:val="11"/>
        <w:widowControl/>
        <w:numPr>
          <w:ilvl w:val="0"/>
          <w:numId w:val="3"/>
        </w:numPr>
        <w:spacing w:line="360" w:lineRule="auto"/>
        <w:ind w:left="420" w:firstLine="0" w:leftChars="200" w:firstLineChars="0"/>
        <w:jc w:val="left"/>
        <w:rPr>
          <w:rFonts w:ascii="仿宋" w:eastAsia="仿宋" w:hAnsi="仿宋" w:cs="仿宋"/>
          <w:kern w:val="0"/>
          <w:sz w:val="24"/>
          <w:szCs w:val="24"/>
        </w:rPr>
      </w:pPr>
      <w:r>
        <w:rPr>
          <w:rFonts w:ascii="仿宋" w:eastAsia="仿宋" w:hAnsi="仿宋" w:cs="仿宋" w:hint="eastAsia"/>
          <w:kern w:val="0"/>
          <w:sz w:val="24"/>
          <w:szCs w:val="24"/>
        </w:rPr>
        <w:t>相关部门问题处理完成后，由服务台进行回访，并将《客户投诉处理记录表》中处理结果、客户意见、记录人员、记录日期填写完整。</w:t>
      </w:r>
    </w:p>
    <w:p>
      <w:pPr>
        <w:pStyle w:val="11"/>
        <w:widowControl/>
        <w:numPr>
          <w:ilvl w:val="0"/>
          <w:numId w:val="3"/>
        </w:numPr>
        <w:spacing w:line="360" w:lineRule="auto"/>
        <w:ind w:left="420" w:firstLine="0" w:leftChars="200" w:firstLineChars="0"/>
        <w:jc w:val="left"/>
        <w:rPr>
          <w:rFonts w:ascii="仿宋" w:eastAsia="仿宋" w:hAnsi="仿宋" w:cs="仿宋"/>
          <w:kern w:val="0"/>
          <w:sz w:val="24"/>
          <w:szCs w:val="24"/>
        </w:rPr>
      </w:pPr>
      <w:r>
        <w:rPr>
          <w:rFonts w:ascii="仿宋" w:eastAsia="仿宋" w:hAnsi="仿宋" w:cs="仿宋" w:hint="eastAsia"/>
          <w:kern w:val="0"/>
          <w:sz w:val="24"/>
          <w:szCs w:val="24"/>
        </w:rPr>
        <w:t>对于客户投诉的处理方式可以是：</w:t>
      </w:r>
    </w:p>
    <w:p>
      <w:pPr>
        <w:pStyle w:val="11"/>
        <w:widowControl/>
        <w:numPr>
          <w:ilvl w:val="0"/>
          <w:numId w:val="4"/>
        </w:numPr>
        <w:spacing w:line="360" w:lineRule="auto"/>
        <w:ind w:left="0" w:firstLine="480"/>
        <w:jc w:val="left"/>
        <w:rPr>
          <w:rFonts w:ascii="仿宋" w:eastAsia="仿宋" w:hAnsi="仿宋" w:cs="仿宋"/>
          <w:kern w:val="0"/>
          <w:sz w:val="24"/>
          <w:szCs w:val="24"/>
        </w:rPr>
      </w:pPr>
      <w:r>
        <w:rPr>
          <w:rFonts w:ascii="仿宋" w:eastAsia="仿宋" w:hAnsi="仿宋" w:cs="仿宋" w:hint="eastAsia"/>
          <w:kern w:val="0"/>
          <w:sz w:val="24"/>
          <w:szCs w:val="24"/>
        </w:rPr>
        <w:t>应急对策：由相关部门制定应急方案，并与用户协商实施，以纠正目前客户/最终用户所面临的问题为目的，防止已发生问题的影响范围和程度继续蔓延。同时应保持所有实施方案和协商的记录，并报质量部，以便于跟踪。</w:t>
      </w:r>
    </w:p>
    <w:p>
      <w:pPr>
        <w:pStyle w:val="11"/>
        <w:widowControl/>
        <w:numPr>
          <w:ilvl w:val="0"/>
          <w:numId w:val="4"/>
        </w:numPr>
        <w:spacing w:line="360" w:lineRule="auto"/>
        <w:ind w:left="0" w:firstLine="480"/>
        <w:jc w:val="left"/>
        <w:rPr>
          <w:rFonts w:ascii="仿宋" w:eastAsia="仿宋" w:hAnsi="仿宋" w:cs="仿宋"/>
          <w:kern w:val="0"/>
          <w:sz w:val="24"/>
          <w:szCs w:val="24"/>
        </w:rPr>
      </w:pPr>
      <w:r>
        <w:rPr>
          <w:rFonts w:ascii="仿宋" w:eastAsia="仿宋" w:hAnsi="仿宋" w:cs="仿宋" w:hint="eastAsia"/>
          <w:kern w:val="0"/>
          <w:sz w:val="24"/>
          <w:szCs w:val="24"/>
        </w:rPr>
        <w:t>纠正措施：相关部门应对问题发生的原因进行调查，并针对原因制定纠正措施计划并实施，以防止问题再发生。由相关部门组织对纠正措施的实施效果进行验证，以此评价纠正措施的适宜性。</w:t>
      </w:r>
    </w:p>
    <w:p>
      <w:pPr>
        <w:pStyle w:val="Heading2"/>
        <w:spacing w:before="0" w:after="0" w:line="360" w:lineRule="auto"/>
        <w:jc w:val="left"/>
        <w:rPr>
          <w:rFonts w:ascii="仿宋" w:eastAsia="仿宋" w:hAnsi="仿宋" w:cs="仿宋"/>
          <w:szCs w:val="24"/>
        </w:rPr>
      </w:pPr>
      <w:bookmarkStart w:id="43" w:name="_Toc500104822"/>
      <w:bookmarkStart w:id="44" w:name="_Toc56171603"/>
      <w:bookmarkStart w:id="45" w:name="_Toc481071018"/>
      <w:bookmarkStart w:id="46" w:name="_Toc462721466"/>
      <w:bookmarkStart w:id="47" w:name="_Toc461350395"/>
      <w:bookmarkStart w:id="48" w:name="_Toc454182267"/>
      <w:r>
        <w:rPr>
          <w:rFonts w:ascii="仿宋" w:eastAsia="仿宋" w:hAnsi="仿宋" w:cs="仿宋" w:hint="eastAsia"/>
          <w:szCs w:val="24"/>
        </w:rPr>
        <w:t>4.4纠正措施</w:t>
      </w:r>
      <w:bookmarkEnd w:id="43"/>
      <w:bookmarkEnd w:id="44"/>
      <w:bookmarkEnd w:id="45"/>
      <w:bookmarkEnd w:id="46"/>
      <w:bookmarkEnd w:id="47"/>
      <w:bookmarkEnd w:id="48"/>
    </w:p>
    <w:p>
      <w:pPr>
        <w:pStyle w:val="11"/>
        <w:widowControl/>
        <w:numPr>
          <w:ilvl w:val="0"/>
          <w:numId w:val="5"/>
        </w:numPr>
        <w:spacing w:line="360" w:lineRule="auto"/>
        <w:ind w:left="420" w:firstLine="0" w:leftChars="200" w:firstLineChars="0"/>
        <w:jc w:val="left"/>
        <w:rPr>
          <w:rFonts w:ascii="仿宋" w:eastAsia="仿宋" w:hAnsi="仿宋" w:cs="仿宋"/>
          <w:kern w:val="0"/>
          <w:sz w:val="24"/>
          <w:szCs w:val="24"/>
        </w:rPr>
      </w:pPr>
      <w:r>
        <w:rPr>
          <w:rFonts w:ascii="仿宋" w:eastAsia="仿宋" w:hAnsi="仿宋" w:cs="仿宋" w:hint="eastAsia"/>
          <w:kern w:val="0"/>
          <w:sz w:val="24"/>
          <w:szCs w:val="24"/>
        </w:rPr>
        <w:t>对于存在的不符合应采取纠正措施，以消除不符合原因，防止不符合再发生，纠正措施应与问题的影响程度相适应。</w:t>
      </w:r>
    </w:p>
    <w:p>
      <w:pPr>
        <w:pStyle w:val="11"/>
        <w:widowControl/>
        <w:numPr>
          <w:ilvl w:val="0"/>
          <w:numId w:val="5"/>
        </w:numPr>
        <w:spacing w:line="360" w:lineRule="auto"/>
        <w:ind w:left="420" w:firstLine="0" w:leftChars="200" w:firstLineChars="0"/>
        <w:jc w:val="left"/>
        <w:rPr>
          <w:rFonts w:ascii="仿宋" w:eastAsia="仿宋" w:hAnsi="仿宋" w:cs="仿宋"/>
          <w:kern w:val="0"/>
          <w:sz w:val="24"/>
          <w:szCs w:val="24"/>
        </w:rPr>
      </w:pPr>
      <w:r>
        <w:rPr>
          <w:rFonts w:ascii="仿宋" w:eastAsia="仿宋" w:hAnsi="仿宋" w:cs="仿宋" w:hint="eastAsia"/>
          <w:kern w:val="0"/>
          <w:sz w:val="24"/>
          <w:szCs w:val="24"/>
        </w:rPr>
        <w:t>不符合识别、原因分析、措施制订及实施验证。</w:t>
      </w:r>
    </w:p>
    <w:p>
      <w:pPr>
        <w:pStyle w:val="11"/>
        <w:widowControl/>
        <w:numPr>
          <w:ilvl w:val="0"/>
          <w:numId w:val="6"/>
        </w:numPr>
        <w:spacing w:line="360" w:lineRule="auto"/>
        <w:ind w:left="0" w:firstLine="480"/>
        <w:jc w:val="left"/>
        <w:rPr>
          <w:rFonts w:ascii="仿宋" w:eastAsia="仿宋" w:hAnsi="仿宋" w:cs="仿宋"/>
          <w:kern w:val="0"/>
          <w:sz w:val="24"/>
          <w:szCs w:val="24"/>
        </w:rPr>
      </w:pPr>
      <w:r>
        <w:rPr>
          <w:rFonts w:ascii="仿宋" w:eastAsia="仿宋" w:hAnsi="仿宋" w:cs="仿宋" w:hint="eastAsia"/>
          <w:kern w:val="0"/>
          <w:sz w:val="24"/>
          <w:szCs w:val="24"/>
        </w:rPr>
        <w:t>对内审发现的不符合，由责任部门根据《不符合项报告》的不符合事实分析原因，制订纠正措施并实施，质量部组织人员跟踪验证实施结果。对管理评审中发现的改进项，应确定责任人和整改时间，同时制定相应的纠正预防措施，以求避免发生或再发生。</w:t>
      </w:r>
    </w:p>
    <w:p>
      <w:pPr>
        <w:pStyle w:val="11"/>
        <w:widowControl/>
        <w:numPr>
          <w:ilvl w:val="0"/>
          <w:numId w:val="6"/>
        </w:numPr>
        <w:spacing w:line="360" w:lineRule="auto"/>
        <w:ind w:left="0" w:firstLine="480"/>
        <w:jc w:val="left"/>
        <w:rPr>
          <w:rFonts w:ascii="仿宋" w:eastAsia="仿宋" w:hAnsi="仿宋" w:cs="仿宋"/>
          <w:kern w:val="0"/>
          <w:sz w:val="24"/>
          <w:szCs w:val="24"/>
        </w:rPr>
      </w:pPr>
      <w:r>
        <w:rPr>
          <w:rFonts w:ascii="仿宋" w:eastAsia="仿宋" w:hAnsi="仿宋" w:cs="仿宋" w:hint="eastAsia"/>
          <w:kern w:val="0"/>
          <w:sz w:val="24"/>
          <w:szCs w:val="24"/>
        </w:rPr>
        <w:t>对出现的重大问题或不符合由质量部组织责任部门进行立项分析原因、制订措施；并进行实施改进情况的监督。</w:t>
      </w:r>
    </w:p>
    <w:p>
      <w:pPr>
        <w:pStyle w:val="11"/>
        <w:widowControl/>
        <w:numPr>
          <w:ilvl w:val="0"/>
          <w:numId w:val="5"/>
        </w:numPr>
        <w:spacing w:line="360" w:lineRule="auto"/>
        <w:ind w:left="420" w:firstLine="0" w:leftChars="200" w:firstLineChars="0"/>
        <w:jc w:val="left"/>
        <w:rPr>
          <w:rFonts w:ascii="仿宋" w:eastAsia="仿宋" w:hAnsi="仿宋" w:cs="仿宋"/>
          <w:kern w:val="0"/>
          <w:sz w:val="24"/>
          <w:szCs w:val="24"/>
        </w:rPr>
      </w:pPr>
      <w:r>
        <w:rPr>
          <w:rFonts w:ascii="仿宋" w:eastAsia="仿宋" w:hAnsi="仿宋" w:cs="仿宋" w:hint="eastAsia"/>
          <w:kern w:val="0"/>
          <w:sz w:val="24"/>
          <w:szCs w:val="24"/>
        </w:rPr>
        <w:t>每项纠正措施完成后，监督部门进行跟踪验证，该部门负责人对实施效果的有效性进行评审，评审其能否防止类似不符合的继续发生。</w:t>
      </w:r>
    </w:p>
    <w:p>
      <w:pPr>
        <w:pStyle w:val="Heading2"/>
        <w:spacing w:before="0" w:after="0" w:line="360" w:lineRule="auto"/>
        <w:jc w:val="left"/>
        <w:rPr>
          <w:rFonts w:ascii="仿宋" w:eastAsia="仿宋" w:hAnsi="仿宋" w:cs="仿宋"/>
          <w:szCs w:val="24"/>
        </w:rPr>
      </w:pPr>
      <w:bookmarkStart w:id="49" w:name="_Toc461350396"/>
      <w:bookmarkStart w:id="50" w:name="_Toc454182268"/>
      <w:bookmarkStart w:id="51" w:name="_Toc462721467"/>
      <w:bookmarkStart w:id="52" w:name="_Toc56171604"/>
      <w:bookmarkStart w:id="53" w:name="_Toc500104823"/>
      <w:bookmarkStart w:id="54" w:name="_Toc481071019"/>
      <w:r>
        <w:rPr>
          <w:rFonts w:ascii="仿宋" w:eastAsia="仿宋" w:hAnsi="仿宋" w:cs="仿宋" w:hint="eastAsia"/>
          <w:szCs w:val="24"/>
        </w:rPr>
        <w:t>4.5预防措施</w:t>
      </w:r>
      <w:bookmarkEnd w:id="49"/>
      <w:bookmarkEnd w:id="50"/>
      <w:bookmarkEnd w:id="51"/>
      <w:bookmarkEnd w:id="52"/>
      <w:bookmarkEnd w:id="53"/>
      <w:bookmarkEnd w:id="54"/>
    </w:p>
    <w:p>
      <w:pPr>
        <w:pStyle w:val="11"/>
        <w:widowControl/>
        <w:spacing w:line="360" w:lineRule="auto"/>
        <w:ind w:left="480" w:firstLine="0" w:firstLineChars="0"/>
        <w:jc w:val="left"/>
        <w:rPr>
          <w:rFonts w:ascii="仿宋" w:eastAsia="仿宋" w:hAnsi="仿宋" w:cs="仿宋"/>
          <w:kern w:val="0"/>
          <w:sz w:val="24"/>
          <w:szCs w:val="24"/>
        </w:rPr>
      </w:pPr>
      <w:r>
        <w:rPr>
          <w:rFonts w:ascii="仿宋" w:eastAsia="仿宋" w:hAnsi="仿宋" w:cs="仿宋" w:hint="eastAsia"/>
          <w:kern w:val="0"/>
          <w:sz w:val="24"/>
          <w:szCs w:val="24"/>
        </w:rPr>
        <w:t>识别潜在的不符合，并采取预防措施并消除潜在不符合的原因，防止不符合</w:t>
      </w:r>
    </w:p>
    <w:p>
      <w:pPr>
        <w:widowControl/>
        <w:spacing w:line="360" w:lineRule="auto"/>
        <w:jc w:val="left"/>
        <w:rPr>
          <w:rFonts w:ascii="仿宋" w:eastAsia="仿宋" w:hAnsi="仿宋" w:cs="仿宋"/>
          <w:kern w:val="0"/>
          <w:sz w:val="24"/>
          <w:szCs w:val="24"/>
        </w:rPr>
      </w:pPr>
      <w:r>
        <w:rPr>
          <w:rFonts w:ascii="仿宋" w:eastAsia="仿宋" w:hAnsi="仿宋" w:cs="仿宋" w:hint="eastAsia"/>
          <w:kern w:val="0"/>
          <w:sz w:val="24"/>
          <w:szCs w:val="24"/>
        </w:rPr>
        <w:t>的发生，所采取的预防应与潜在问题的影响相适应。</w:t>
      </w:r>
    </w:p>
    <w:p>
      <w:pPr>
        <w:pStyle w:val="11"/>
        <w:widowControl/>
        <w:numPr>
          <w:ilvl w:val="0"/>
          <w:numId w:val="7"/>
        </w:numPr>
        <w:spacing w:line="360" w:lineRule="auto"/>
        <w:ind w:left="420" w:firstLine="0" w:leftChars="200" w:firstLineChars="0"/>
        <w:jc w:val="left"/>
        <w:rPr>
          <w:rFonts w:ascii="仿宋" w:eastAsia="仿宋" w:hAnsi="仿宋" w:cs="仿宋"/>
          <w:kern w:val="0"/>
          <w:sz w:val="24"/>
          <w:szCs w:val="24"/>
        </w:rPr>
      </w:pPr>
      <w:r>
        <w:rPr>
          <w:rFonts w:ascii="仿宋" w:eastAsia="仿宋" w:hAnsi="仿宋" w:cs="仿宋" w:hint="eastAsia"/>
          <w:kern w:val="0"/>
          <w:sz w:val="24"/>
          <w:szCs w:val="24"/>
        </w:rPr>
        <w:t>识别潜在不符合</w:t>
      </w:r>
    </w:p>
    <w:p>
      <w:pPr>
        <w:pStyle w:val="11"/>
        <w:widowControl/>
        <w:numPr>
          <w:ilvl w:val="0"/>
          <w:numId w:val="8"/>
        </w:numPr>
        <w:spacing w:line="360" w:lineRule="auto"/>
        <w:ind w:left="0" w:firstLine="480"/>
        <w:jc w:val="left"/>
        <w:rPr>
          <w:rFonts w:ascii="仿宋" w:eastAsia="仿宋" w:hAnsi="仿宋" w:cs="仿宋"/>
          <w:kern w:val="0"/>
          <w:sz w:val="24"/>
          <w:szCs w:val="24"/>
        </w:rPr>
      </w:pPr>
      <w:r>
        <w:rPr>
          <w:rFonts w:ascii="仿宋" w:eastAsia="仿宋" w:hAnsi="仿宋" w:cs="仿宋" w:hint="eastAsia"/>
          <w:kern w:val="0"/>
          <w:sz w:val="24"/>
          <w:szCs w:val="24"/>
        </w:rPr>
        <w:t>质量部要从以下活动和记录中寻找潜在的不符合：产品质量、产品检验记录、不符合报告、质量情况报告、公司内外安全事件记录、事件记录、日常管理检查及技术检查中指出的不符合、信息安全监控记录、风险评估报告、相关方的建议或抱怨。</w:t>
      </w:r>
    </w:p>
    <w:p>
      <w:pPr>
        <w:pStyle w:val="11"/>
        <w:widowControl/>
        <w:numPr>
          <w:ilvl w:val="0"/>
          <w:numId w:val="8"/>
        </w:numPr>
        <w:spacing w:line="360" w:lineRule="auto"/>
        <w:ind w:left="0" w:firstLine="480"/>
        <w:jc w:val="left"/>
        <w:rPr>
          <w:rFonts w:ascii="仿宋" w:eastAsia="仿宋" w:hAnsi="仿宋" w:cs="仿宋"/>
          <w:kern w:val="0"/>
          <w:sz w:val="24"/>
          <w:szCs w:val="24"/>
        </w:rPr>
      </w:pPr>
      <w:r>
        <w:rPr>
          <w:rFonts w:ascii="仿宋" w:eastAsia="仿宋" w:hAnsi="仿宋" w:cs="仿宋" w:hint="eastAsia"/>
          <w:kern w:val="0"/>
          <w:sz w:val="24"/>
          <w:szCs w:val="24"/>
        </w:rPr>
        <w:t>质量部要及时分析如下记录：客户满意程度及市场分析、服务报告。</w:t>
      </w:r>
    </w:p>
    <w:p>
      <w:pPr>
        <w:pStyle w:val="11"/>
        <w:widowControl/>
        <w:numPr>
          <w:ilvl w:val="0"/>
          <w:numId w:val="8"/>
        </w:numPr>
        <w:spacing w:line="360" w:lineRule="auto"/>
        <w:ind w:left="0" w:firstLine="480"/>
        <w:jc w:val="left"/>
        <w:rPr>
          <w:rFonts w:ascii="仿宋" w:eastAsia="仿宋" w:hAnsi="仿宋" w:cs="仿宋"/>
          <w:kern w:val="0"/>
          <w:sz w:val="24"/>
          <w:szCs w:val="24"/>
        </w:rPr>
      </w:pPr>
      <w:r>
        <w:rPr>
          <w:rFonts w:ascii="仿宋" w:eastAsia="仿宋" w:hAnsi="仿宋" w:cs="仿宋" w:hint="eastAsia"/>
          <w:kern w:val="0"/>
          <w:sz w:val="24"/>
          <w:szCs w:val="24"/>
        </w:rPr>
        <w:t>质量部要从以往纠正和预防措施执行情况及不符合项报告提交管理评审有关信息中寻找潜在的不符合。</w:t>
      </w:r>
    </w:p>
    <w:p>
      <w:pPr>
        <w:pStyle w:val="11"/>
        <w:widowControl/>
        <w:numPr>
          <w:ilvl w:val="0"/>
          <w:numId w:val="7"/>
        </w:numPr>
        <w:spacing w:line="360" w:lineRule="auto"/>
        <w:ind w:left="420" w:firstLine="0" w:leftChars="200" w:firstLineChars="0"/>
        <w:jc w:val="left"/>
        <w:rPr>
          <w:rFonts w:ascii="仿宋" w:eastAsia="仿宋" w:hAnsi="仿宋" w:cs="仿宋"/>
          <w:kern w:val="0"/>
          <w:sz w:val="24"/>
          <w:szCs w:val="24"/>
        </w:rPr>
      </w:pPr>
      <w:r>
        <w:rPr>
          <w:rFonts w:ascii="仿宋" w:eastAsia="仿宋" w:hAnsi="仿宋" w:cs="仿宋" w:hint="eastAsia"/>
          <w:kern w:val="0"/>
          <w:sz w:val="24"/>
          <w:szCs w:val="24"/>
        </w:rPr>
        <w:t>评价预防措施的需求</w:t>
      </w:r>
    </w:p>
    <w:p>
      <w:pPr>
        <w:widowControl/>
        <w:spacing w:line="360" w:lineRule="auto"/>
        <w:ind w:firstLine="420" w:firstLineChars="200"/>
        <w:jc w:val="left"/>
        <w:rPr>
          <w:rFonts w:ascii="仿宋" w:eastAsia="仿宋" w:hAnsi="仿宋" w:cs="仿宋"/>
          <w:kern w:val="0"/>
          <w:sz w:val="24"/>
          <w:szCs w:val="24"/>
        </w:rPr>
      </w:pPr>
      <w:r>
        <w:rPr>
          <w:rFonts w:ascii="仿宋" w:eastAsia="仿宋" w:hAnsi="仿宋" w:cs="仿宋" w:hint="eastAsia"/>
          <w:kern w:val="0"/>
          <w:sz w:val="24"/>
          <w:szCs w:val="24"/>
        </w:rPr>
        <w:t>上述部门在原因分析后，权衡风险、利益和成本，确定预防措施的需求，对重大预防措施，提交总经理批准。</w:t>
      </w:r>
    </w:p>
    <w:p>
      <w:pPr>
        <w:pStyle w:val="11"/>
        <w:widowControl/>
        <w:numPr>
          <w:ilvl w:val="0"/>
          <w:numId w:val="9"/>
        </w:numPr>
        <w:spacing w:line="360" w:lineRule="auto"/>
        <w:ind w:left="420" w:firstLine="0" w:leftChars="200" w:firstLineChars="0"/>
        <w:jc w:val="left"/>
        <w:rPr>
          <w:rFonts w:ascii="仿宋" w:eastAsia="仿宋" w:hAnsi="仿宋" w:cs="仿宋"/>
          <w:kern w:val="0"/>
          <w:sz w:val="24"/>
          <w:szCs w:val="24"/>
        </w:rPr>
      </w:pPr>
      <w:r>
        <w:rPr>
          <w:rFonts w:ascii="仿宋" w:eastAsia="仿宋" w:hAnsi="仿宋" w:cs="仿宋" w:hint="eastAsia"/>
          <w:kern w:val="0"/>
          <w:sz w:val="24"/>
          <w:szCs w:val="24"/>
        </w:rPr>
        <w:t>预防措施的制定实施验证</w:t>
      </w:r>
    </w:p>
    <w:p>
      <w:pPr>
        <w:widowControl/>
        <w:spacing w:line="360" w:lineRule="auto"/>
        <w:ind w:firstLine="420" w:firstLineChars="200"/>
        <w:jc w:val="left"/>
        <w:rPr>
          <w:rFonts w:ascii="仿宋" w:eastAsia="仿宋" w:hAnsi="仿宋" w:cs="仿宋"/>
          <w:kern w:val="0"/>
          <w:sz w:val="24"/>
          <w:szCs w:val="24"/>
        </w:rPr>
      </w:pPr>
      <w:r>
        <w:rPr>
          <w:rFonts w:ascii="仿宋" w:eastAsia="仿宋" w:hAnsi="仿宋" w:cs="仿宋" w:hint="eastAsia"/>
          <w:kern w:val="0"/>
          <w:sz w:val="24"/>
          <w:szCs w:val="24"/>
        </w:rPr>
        <w:t>由责任部门制定预防措施并按计划组织实施，质量部对预防措施的实施进行验证其有效性。</w:t>
      </w:r>
    </w:p>
    <w:p>
      <w:pPr>
        <w:pStyle w:val="11"/>
        <w:widowControl/>
        <w:numPr>
          <w:ilvl w:val="0"/>
          <w:numId w:val="10"/>
        </w:numPr>
        <w:spacing w:line="360" w:lineRule="auto"/>
        <w:ind w:left="420" w:firstLine="0" w:leftChars="200" w:firstLineChars="0"/>
        <w:jc w:val="left"/>
        <w:rPr>
          <w:rFonts w:ascii="仿宋" w:eastAsia="仿宋" w:hAnsi="仿宋" w:cs="仿宋"/>
          <w:kern w:val="0"/>
          <w:sz w:val="24"/>
          <w:szCs w:val="24"/>
        </w:rPr>
      </w:pPr>
      <w:r>
        <w:rPr>
          <w:rFonts w:ascii="仿宋" w:eastAsia="仿宋" w:hAnsi="仿宋" w:cs="仿宋" w:hint="eastAsia"/>
          <w:kern w:val="0"/>
          <w:sz w:val="24"/>
          <w:szCs w:val="24"/>
        </w:rPr>
        <w:t>改进、纠正、预防措施引起的体系文件的更改，按文件控制程序执行。</w:t>
      </w:r>
    </w:p>
    <w:p>
      <w:pPr>
        <w:pStyle w:val="11"/>
        <w:widowControl/>
        <w:numPr>
          <w:ilvl w:val="0"/>
          <w:numId w:val="10"/>
        </w:numPr>
        <w:spacing w:line="360" w:lineRule="auto"/>
        <w:ind w:left="420" w:firstLine="0" w:leftChars="200" w:firstLineChars="0"/>
        <w:jc w:val="left"/>
        <w:rPr>
          <w:rFonts w:ascii="仿宋" w:eastAsia="仿宋" w:hAnsi="仿宋" w:cs="仿宋"/>
          <w:kern w:val="0"/>
          <w:sz w:val="24"/>
          <w:szCs w:val="24"/>
        </w:rPr>
      </w:pPr>
      <w:r>
        <w:rPr>
          <w:rFonts w:ascii="仿宋" w:eastAsia="仿宋" w:hAnsi="仿宋" w:cs="仿宋" w:hint="eastAsia"/>
          <w:kern w:val="0"/>
          <w:sz w:val="24"/>
          <w:szCs w:val="24"/>
        </w:rPr>
        <w:t>重要的改进、纠正、预防措施的相关记录作为管理评审的输入。</w:t>
      </w:r>
    </w:p>
    <w:p>
      <w:pPr>
        <w:pStyle w:val="Heading1"/>
        <w:spacing w:before="0" w:after="0" w:line="360" w:lineRule="auto"/>
        <w:jc w:val="left"/>
        <w:rPr>
          <w:rFonts w:ascii="仿宋" w:eastAsia="仿宋" w:hAnsi="仿宋" w:cs="仿宋"/>
          <w:sz w:val="24"/>
          <w:szCs w:val="24"/>
        </w:rPr>
      </w:pPr>
      <w:bookmarkStart w:id="55" w:name="_Toc461350397"/>
      <w:bookmarkStart w:id="56" w:name="_Toc56171605"/>
      <w:bookmarkStart w:id="57" w:name="_Toc481071020"/>
      <w:bookmarkStart w:id="58" w:name="_Toc454182269"/>
      <w:bookmarkStart w:id="59" w:name="_Toc500104824"/>
      <w:bookmarkStart w:id="60" w:name="_Toc462721468"/>
      <w:r>
        <w:rPr>
          <w:rFonts w:ascii="仿宋" w:eastAsia="仿宋" w:hAnsi="仿宋" w:cs="仿宋" w:hint="eastAsia"/>
          <w:sz w:val="24"/>
          <w:szCs w:val="24"/>
        </w:rPr>
        <w:t>5.相关文件</w:t>
      </w:r>
      <w:bookmarkEnd w:id="55"/>
      <w:bookmarkEnd w:id="56"/>
      <w:bookmarkEnd w:id="57"/>
      <w:bookmarkEnd w:id="58"/>
      <w:bookmarkEnd w:id="59"/>
      <w:bookmarkEnd w:id="60"/>
    </w:p>
    <w:p>
      <w:pPr>
        <w:widowControl/>
        <w:spacing w:line="360" w:lineRule="auto"/>
        <w:ind w:firstLine="420" w:firstLineChars="200"/>
        <w:jc w:val="left"/>
        <w:rPr>
          <w:rFonts w:ascii="仿宋" w:eastAsia="仿宋" w:hAnsi="仿宋" w:cs="仿宋"/>
          <w:kern w:val="0"/>
          <w:sz w:val="24"/>
          <w:szCs w:val="24"/>
        </w:rPr>
      </w:pPr>
      <w:r>
        <w:rPr>
          <w:rFonts w:ascii="仿宋" w:eastAsia="仿宋" w:hAnsi="仿宋" w:cs="仿宋" w:hint="eastAsia"/>
          <w:kern w:val="0"/>
          <w:sz w:val="24"/>
          <w:szCs w:val="24"/>
        </w:rPr>
        <w:t>《内部审核管理制度》</w:t>
      </w:r>
    </w:p>
    <w:p>
      <w:pPr>
        <w:pStyle w:val="Heading1"/>
        <w:spacing w:before="0" w:after="0" w:line="360" w:lineRule="auto"/>
        <w:jc w:val="left"/>
        <w:rPr>
          <w:rFonts w:ascii="仿宋" w:eastAsia="仿宋" w:hAnsi="仿宋" w:cs="仿宋"/>
          <w:sz w:val="24"/>
          <w:szCs w:val="24"/>
        </w:rPr>
      </w:pPr>
      <w:bookmarkStart w:id="61" w:name="_Toc500104825"/>
      <w:bookmarkStart w:id="62" w:name="_Toc462721469"/>
      <w:bookmarkStart w:id="63" w:name="_Toc461350398"/>
      <w:bookmarkStart w:id="64" w:name="_Toc454182270"/>
      <w:bookmarkStart w:id="65" w:name="_Toc481071021"/>
      <w:bookmarkStart w:id="66" w:name="_Toc56171606"/>
      <w:r>
        <w:rPr>
          <w:rFonts w:ascii="仿宋" w:eastAsia="仿宋" w:hAnsi="仿宋" w:cs="仿宋" w:hint="eastAsia"/>
          <w:sz w:val="24"/>
          <w:szCs w:val="24"/>
        </w:rPr>
        <w:t>6.相关表单</w:t>
      </w:r>
      <w:bookmarkEnd w:id="61"/>
      <w:bookmarkEnd w:id="62"/>
      <w:bookmarkEnd w:id="63"/>
      <w:bookmarkEnd w:id="64"/>
      <w:bookmarkEnd w:id="65"/>
      <w:bookmarkEnd w:id="66"/>
    </w:p>
    <w:p>
      <w:pPr>
        <w:widowControl/>
        <w:spacing w:line="360" w:lineRule="auto"/>
        <w:ind w:firstLine="420" w:firstLineChars="200"/>
        <w:jc w:val="left"/>
        <w:rPr>
          <w:rFonts w:ascii="仿宋" w:eastAsia="仿宋" w:hAnsi="仿宋" w:cs="仿宋"/>
          <w:kern w:val="0"/>
          <w:sz w:val="24"/>
          <w:szCs w:val="24"/>
        </w:rPr>
      </w:pPr>
      <w:r>
        <w:rPr>
          <w:rFonts w:ascii="仿宋" w:eastAsia="仿宋" w:hAnsi="仿宋" w:cs="仿宋" w:hint="eastAsia"/>
          <w:kern w:val="0"/>
          <w:sz w:val="24"/>
          <w:szCs w:val="24"/>
        </w:rPr>
        <w:t>《客户投诉处理记录》</w:t>
      </w:r>
    </w:p>
    <w:p>
      <w:pPr>
        <w:pStyle w:val="reader-word-layer"/>
        <w:shd w:val="clear" w:color="auto" w:fill="FFFFFF"/>
        <w:spacing w:before="0" w:beforeAutospacing="0" w:after="0" w:afterAutospacing="0" w:line="360" w:lineRule="auto"/>
        <w:ind w:firstLine="420" w:firstLineChars="200"/>
        <w:rPr>
          <w:rFonts w:ascii="仿宋" w:eastAsia="仿宋" w:hAnsi="仿宋" w:cs="仿宋"/>
          <w:color w:val="000000"/>
          <w:spacing w:val="-2"/>
        </w:rPr>
      </w:pPr>
    </w:p>
    <w:sectPr>
      <w:footerReference w:type="default" r:id="rId12"/>
      <w:pgSz w:w="11906" w:h="16838"/>
      <w:pgMar w:top="1440" w:right="1800" w:bottom="1440" w:left="1800"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tabs>
        <w:tab w:val="clear" w:pos="4153"/>
      </w:tabs>
      <w:ind w:left="420"/>
      <w:jc w:val="center"/>
    </w:pPr>
    <w: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v:textbox style="mso-fit-shape-to-text:t" inset="0,0,0,0">
            <w:txbxContent>
              <w:p>
                <w:pPr>
                  <w:pStyle w:val="Footer"/>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right"/>
      <w:rPr>
        <w:rFonts w:ascii="仿宋" w:eastAsia="仿宋" w:hAnsi="仿宋" w:cs="仿宋"/>
        <w:sz w:val="24"/>
        <w:szCs w:val="24"/>
      </w:rPr>
    </w:pPr>
    <w:r>
      <w:rPr>
        <w:rFonts w:hint="eastAsia"/>
      </w:rPr>
      <w:t xml:space="preserve">                                  </w:t>
    </w:r>
    <w:r>
      <w:t xml:space="preserve">               </w:t>
    </w:r>
    <w:r>
      <w:rPr>
        <w:rFonts w:hint="eastAsia"/>
      </w:rPr>
      <w:t xml:space="preserve"> </w:t>
    </w:r>
    <w:r>
      <w:rPr>
        <w:rFonts w:ascii="仿宋" w:eastAsia="仿宋" w:hAnsi="仿宋" w:cs="仿宋" w:hint="eastAsia"/>
        <w:sz w:val="24"/>
        <w:szCs w:val="24"/>
      </w:rPr>
      <w:t>服务能力改进管理制度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right"/>
    </w:pPr>
    <w:r>
      <w:rPr>
        <w:rFonts w:hint="eastAsia"/>
      </w:rPr>
      <w:t xml:space="preserve">                               </w:t>
    </w:r>
    <w:r>
      <w:t xml:space="preserve">          </w:t>
    </w:r>
    <w:r>
      <w:rPr>
        <w:rFonts w:hint="eastAsia"/>
      </w:rPr>
      <w:t xml:space="preserve">   </w:t>
    </w:r>
    <w:r>
      <w:t xml:space="preserve">     </w:t>
    </w:r>
    <w:r>
      <w:rPr>
        <w:rFonts w:hint="eastAsia"/>
      </w:rPr>
      <w:t xml:space="preserve"> </w:t>
    </w:r>
    <w:r>
      <w:rPr>
        <w:rFonts w:ascii="仿宋" w:eastAsia="仿宋" w:hAnsi="仿宋" w:cs="仿宋" w:hint="eastAsia"/>
        <w:sz w:val="24"/>
        <w:szCs w:val="24"/>
      </w:rPr>
      <w:t>服务能力改进管理制度</w:t>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FA3B898"/>
    <w:multiLevelType w:val="singleLevel"/>
    <w:tmpl w:val="8FA3B898"/>
    <w:lvl w:ilvl="0">
      <w:start w:val="1"/>
      <w:numFmt w:val="bullet"/>
      <w:lvlText w:val=""/>
      <w:lvlJc w:val="left"/>
      <w:pPr>
        <w:ind w:left="420" w:hanging="420"/>
      </w:pPr>
      <w:rPr>
        <w:rFonts w:ascii="Wingdings" w:hAnsi="Wingdings" w:hint="default"/>
      </w:rPr>
    </w:lvl>
  </w:abstractNum>
  <w:abstractNum w:abstractNumId="1">
    <w:nsid w:val="99DF5B73"/>
    <w:multiLevelType w:val="singleLevel"/>
    <w:tmpl w:val="99DF5B73"/>
    <w:lvl w:ilvl="0">
      <w:start w:val="1"/>
      <w:numFmt w:val="bullet"/>
      <w:lvlText w:val=""/>
      <w:lvlJc w:val="left"/>
      <w:pPr>
        <w:ind w:left="420" w:hanging="420"/>
      </w:pPr>
      <w:rPr>
        <w:rFonts w:ascii="Wingdings" w:hAnsi="Wingdings" w:hint="default"/>
      </w:rPr>
    </w:lvl>
  </w:abstractNum>
  <w:abstractNum w:abstractNumId="2">
    <w:nsid w:val="B5B1F062"/>
    <w:multiLevelType w:val="singleLevel"/>
    <w:tmpl w:val="B5B1F062"/>
    <w:lvl w:ilvl="0">
      <w:start w:val="1"/>
      <w:numFmt w:val="bullet"/>
      <w:lvlText w:val=""/>
      <w:lvlJc w:val="left"/>
      <w:pPr>
        <w:ind w:left="420" w:hanging="420"/>
      </w:pPr>
      <w:rPr>
        <w:rFonts w:ascii="Wingdings" w:hAnsi="Wingdings" w:hint="default"/>
      </w:rPr>
    </w:lvl>
  </w:abstractNum>
  <w:abstractNum w:abstractNumId="3">
    <w:nsid w:val="B9FFC373"/>
    <w:multiLevelType w:val="singleLevel"/>
    <w:tmpl w:val="B9FFC373"/>
    <w:lvl w:ilvl="0">
      <w:start w:val="1"/>
      <w:numFmt w:val="bullet"/>
      <w:lvlText w:val=""/>
      <w:lvlJc w:val="left"/>
      <w:pPr>
        <w:ind w:left="420" w:hanging="420"/>
      </w:pPr>
      <w:rPr>
        <w:rFonts w:ascii="Wingdings" w:hAnsi="Wingdings" w:hint="default"/>
      </w:rPr>
    </w:lvl>
  </w:abstractNum>
  <w:abstractNum w:abstractNumId="4">
    <w:nsid w:val="20E3B443"/>
    <w:multiLevelType w:val="singleLevel"/>
    <w:tmpl w:val="20E3B443"/>
    <w:lvl w:ilvl="0">
      <w:start w:val="1"/>
      <w:numFmt w:val="bullet"/>
      <w:lvlText w:val=""/>
      <w:lvlJc w:val="left"/>
      <w:pPr>
        <w:ind w:left="420" w:hanging="420"/>
      </w:pPr>
      <w:rPr>
        <w:rFonts w:ascii="Wingdings" w:hAnsi="Wingdings" w:hint="default"/>
      </w:rPr>
    </w:lvl>
  </w:abstractNum>
  <w:abstractNum w:abstractNumId="5">
    <w:nsid w:val="3F0E36E6"/>
    <w:multiLevelType w:val="multilevel"/>
    <w:tmpl w:val="3F0E36E6"/>
    <w:lvl w:ilvl="0">
      <w:start w:val="1"/>
      <w:numFmt w:val="lowerLetter"/>
      <w:lvlText w:val="%1)"/>
      <w:lvlJc w:val="left"/>
      <w:pPr>
        <w:ind w:left="2100" w:hanging="420"/>
      </w:pPr>
    </w:lvl>
    <w:lvl w:ilvl="1">
      <w:start w:val="1"/>
      <w:numFmt w:val="lowerLetter"/>
      <w:lvlText w:val="%2)"/>
      <w:lvlJc w:val="left"/>
      <w:pPr>
        <w:ind w:left="2520" w:hanging="420"/>
      </w:pPr>
    </w:lvl>
    <w:lvl w:ilvl="2">
      <w:start w:val="1"/>
      <w:numFmt w:val="lowerRoman"/>
      <w:lvlText w:val="%3."/>
      <w:lvlJc w:val="right"/>
      <w:pPr>
        <w:ind w:left="2940" w:hanging="420"/>
      </w:pPr>
    </w:lvl>
    <w:lvl w:ilvl="3">
      <w:start w:val="1"/>
      <w:numFmt w:val="decimal"/>
      <w:lvlText w:val="%4."/>
      <w:lvlJc w:val="left"/>
      <w:pPr>
        <w:ind w:left="3360" w:hanging="420"/>
      </w:pPr>
    </w:lvl>
    <w:lvl w:ilvl="4">
      <w:start w:val="1"/>
      <w:numFmt w:val="lowerLetter"/>
      <w:lvlText w:val="%5)"/>
      <w:lvlJc w:val="left"/>
      <w:pPr>
        <w:ind w:left="3780" w:hanging="420"/>
      </w:pPr>
    </w:lvl>
    <w:lvl w:ilvl="5">
      <w:start w:val="1"/>
      <w:numFmt w:val="lowerRoman"/>
      <w:lvlText w:val="%6."/>
      <w:lvlJc w:val="right"/>
      <w:pPr>
        <w:ind w:left="4200" w:hanging="420"/>
      </w:pPr>
    </w:lvl>
    <w:lvl w:ilvl="6">
      <w:start w:val="1"/>
      <w:numFmt w:val="decimal"/>
      <w:lvlText w:val="%7."/>
      <w:lvlJc w:val="left"/>
      <w:pPr>
        <w:ind w:left="4620" w:hanging="420"/>
      </w:pPr>
    </w:lvl>
    <w:lvl w:ilvl="7">
      <w:start w:val="1"/>
      <w:numFmt w:val="lowerLetter"/>
      <w:lvlText w:val="%8)"/>
      <w:lvlJc w:val="left"/>
      <w:pPr>
        <w:ind w:left="5040" w:hanging="420"/>
      </w:pPr>
    </w:lvl>
    <w:lvl w:ilvl="8">
      <w:start w:val="1"/>
      <w:numFmt w:val="lowerRoman"/>
      <w:lvlText w:val="%9."/>
      <w:lvlJc w:val="right"/>
      <w:pPr>
        <w:ind w:left="5460" w:hanging="420"/>
      </w:pPr>
    </w:lvl>
  </w:abstractNum>
  <w:abstractNum w:abstractNumId="6">
    <w:nsid w:val="4DE63FD2"/>
    <w:multiLevelType w:val="multilevel"/>
    <w:tmpl w:val="4DE63FD2"/>
    <w:lvl w:ilvl="0">
      <w:start w:val="1"/>
      <w:numFmt w:val="lowerLetter"/>
      <w:lvlText w:val="%1)"/>
      <w:lvlJc w:val="left"/>
      <w:pPr>
        <w:ind w:left="2100" w:hanging="420"/>
      </w:pPr>
    </w:lvl>
    <w:lvl w:ilvl="1">
      <w:start w:val="1"/>
      <w:numFmt w:val="lowerLetter"/>
      <w:lvlText w:val="%2)"/>
      <w:lvlJc w:val="left"/>
      <w:pPr>
        <w:ind w:left="2520" w:hanging="420"/>
      </w:pPr>
    </w:lvl>
    <w:lvl w:ilvl="2">
      <w:start w:val="1"/>
      <w:numFmt w:val="lowerRoman"/>
      <w:lvlText w:val="%3."/>
      <w:lvlJc w:val="right"/>
      <w:pPr>
        <w:ind w:left="2940" w:hanging="420"/>
      </w:pPr>
    </w:lvl>
    <w:lvl w:ilvl="3">
      <w:start w:val="1"/>
      <w:numFmt w:val="decimal"/>
      <w:lvlText w:val="%4."/>
      <w:lvlJc w:val="left"/>
      <w:pPr>
        <w:ind w:left="3360" w:hanging="420"/>
      </w:pPr>
    </w:lvl>
    <w:lvl w:ilvl="4">
      <w:start w:val="1"/>
      <w:numFmt w:val="lowerLetter"/>
      <w:lvlText w:val="%5)"/>
      <w:lvlJc w:val="left"/>
      <w:pPr>
        <w:ind w:left="3780" w:hanging="420"/>
      </w:pPr>
    </w:lvl>
    <w:lvl w:ilvl="5">
      <w:start w:val="1"/>
      <w:numFmt w:val="lowerRoman"/>
      <w:lvlText w:val="%6."/>
      <w:lvlJc w:val="right"/>
      <w:pPr>
        <w:ind w:left="4200" w:hanging="420"/>
      </w:pPr>
    </w:lvl>
    <w:lvl w:ilvl="6">
      <w:start w:val="1"/>
      <w:numFmt w:val="decimal"/>
      <w:lvlText w:val="%7."/>
      <w:lvlJc w:val="left"/>
      <w:pPr>
        <w:ind w:left="4620" w:hanging="420"/>
      </w:pPr>
    </w:lvl>
    <w:lvl w:ilvl="7">
      <w:start w:val="1"/>
      <w:numFmt w:val="lowerLetter"/>
      <w:lvlText w:val="%8)"/>
      <w:lvlJc w:val="left"/>
      <w:pPr>
        <w:ind w:left="5040" w:hanging="420"/>
      </w:pPr>
    </w:lvl>
    <w:lvl w:ilvl="8">
      <w:start w:val="1"/>
      <w:numFmt w:val="lowerRoman"/>
      <w:lvlText w:val="%9."/>
      <w:lvlJc w:val="right"/>
      <w:pPr>
        <w:ind w:left="5460" w:hanging="420"/>
      </w:pPr>
    </w:lvl>
  </w:abstractNum>
  <w:abstractNum w:abstractNumId="7">
    <w:nsid w:val="60409115"/>
    <w:multiLevelType w:val="singleLevel"/>
    <w:tmpl w:val="60409115"/>
    <w:lvl w:ilvl="0">
      <w:start w:val="1"/>
      <w:numFmt w:val="bullet"/>
      <w:lvlText w:val=""/>
      <w:lvlJc w:val="left"/>
      <w:pPr>
        <w:ind w:left="420" w:hanging="420"/>
      </w:pPr>
      <w:rPr>
        <w:rFonts w:ascii="Wingdings" w:hAnsi="Wingdings" w:hint="default"/>
      </w:rPr>
    </w:lvl>
  </w:abstractNum>
  <w:abstractNum w:abstractNumId="8">
    <w:nsid w:val="6125F938"/>
    <w:multiLevelType w:val="singleLevel"/>
    <w:tmpl w:val="6125F938"/>
    <w:lvl w:ilvl="0">
      <w:start w:val="1"/>
      <w:numFmt w:val="bullet"/>
      <w:lvlText w:val=""/>
      <w:lvlJc w:val="left"/>
      <w:pPr>
        <w:ind w:left="420" w:hanging="420"/>
      </w:pPr>
      <w:rPr>
        <w:rFonts w:ascii="Wingdings" w:hAnsi="Wingdings" w:hint="default"/>
      </w:rPr>
    </w:lvl>
  </w:abstractNum>
  <w:abstractNum w:abstractNumId="9">
    <w:nsid w:val="75F17ED3"/>
    <w:multiLevelType w:val="multilevel"/>
    <w:tmpl w:val="75F17ED3"/>
    <w:lvl w:ilvl="0">
      <w:start w:val="1"/>
      <w:numFmt w:val="lowerLetter"/>
      <w:lvlText w:val="%1)"/>
      <w:lvlJc w:val="left"/>
      <w:pPr>
        <w:ind w:left="2115" w:hanging="420"/>
      </w:pPr>
    </w:lvl>
    <w:lvl w:ilvl="1">
      <w:start w:val="1"/>
      <w:numFmt w:val="lowerLetter"/>
      <w:lvlText w:val="%2)"/>
      <w:lvlJc w:val="left"/>
      <w:pPr>
        <w:ind w:left="2535" w:hanging="420"/>
      </w:pPr>
    </w:lvl>
    <w:lvl w:ilvl="2">
      <w:start w:val="1"/>
      <w:numFmt w:val="lowerRoman"/>
      <w:lvlText w:val="%3."/>
      <w:lvlJc w:val="right"/>
      <w:pPr>
        <w:ind w:left="2955" w:hanging="420"/>
      </w:pPr>
    </w:lvl>
    <w:lvl w:ilvl="3">
      <w:start w:val="1"/>
      <w:numFmt w:val="decimal"/>
      <w:lvlText w:val="%4."/>
      <w:lvlJc w:val="left"/>
      <w:pPr>
        <w:ind w:left="3375" w:hanging="420"/>
      </w:pPr>
    </w:lvl>
    <w:lvl w:ilvl="4">
      <w:start w:val="1"/>
      <w:numFmt w:val="lowerLetter"/>
      <w:lvlText w:val="%5)"/>
      <w:lvlJc w:val="left"/>
      <w:pPr>
        <w:ind w:left="3795" w:hanging="420"/>
      </w:pPr>
    </w:lvl>
    <w:lvl w:ilvl="5">
      <w:start w:val="1"/>
      <w:numFmt w:val="lowerRoman"/>
      <w:lvlText w:val="%6."/>
      <w:lvlJc w:val="right"/>
      <w:pPr>
        <w:ind w:left="4215" w:hanging="420"/>
      </w:pPr>
    </w:lvl>
    <w:lvl w:ilvl="6">
      <w:start w:val="1"/>
      <w:numFmt w:val="decimal"/>
      <w:lvlText w:val="%7."/>
      <w:lvlJc w:val="left"/>
      <w:pPr>
        <w:ind w:left="4635" w:hanging="420"/>
      </w:pPr>
    </w:lvl>
    <w:lvl w:ilvl="7">
      <w:start w:val="1"/>
      <w:numFmt w:val="lowerLetter"/>
      <w:lvlText w:val="%8)"/>
      <w:lvlJc w:val="left"/>
      <w:pPr>
        <w:ind w:left="5055" w:hanging="420"/>
      </w:pPr>
    </w:lvl>
    <w:lvl w:ilvl="8">
      <w:start w:val="1"/>
      <w:numFmt w:val="lowerRoman"/>
      <w:lvlText w:val="%9."/>
      <w:lvlJc w:val="right"/>
      <w:pPr>
        <w:ind w:left="5475" w:hanging="420"/>
      </w:pPr>
    </w:lvl>
  </w:abstractNum>
  <w:num w:numId="1">
    <w:abstractNumId w:val="0"/>
  </w:num>
  <w:num w:numId="2">
    <w:abstractNumId w:val="2"/>
  </w:num>
  <w:num w:numId="3">
    <w:abstractNumId w:val="1"/>
  </w:num>
  <w:num w:numId="4">
    <w:abstractNumId w:val="5"/>
  </w:num>
  <w:num w:numId="5">
    <w:abstractNumId w:val="4"/>
  </w:num>
  <w:num w:numId="6">
    <w:abstractNumId w:val="6"/>
  </w:num>
  <w:num w:numId="7">
    <w:abstractNumId w:val="7"/>
  </w:num>
  <w:num w:numId="8">
    <w:abstractNumId w:val="9"/>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Y2NTkyOGM2YjI2OTQwZmM2MmQxMjNhNGM5MGQ4MG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semiHidden="0" w:uiPriority="39" w:qFormat="1"/>
    <w:lsdException w:name="toc 4" w:semiHidden="0" w:uiPriority="39" w:qFormat="1"/>
    <w:lsdException w:name="toc 5" w:semiHidden="0" w:uiPriority="39" w:qFormat="1"/>
    <w:lsdException w:name="toc 6" w:semiHidden="0" w:uiPriority="39" w:qFormat="1"/>
    <w:lsdException w:name="toc 7" w:semiHidden="0" w:uiPriority="39" w:qFormat="1"/>
    <w:lsdException w:name="toc 8" w:semiHidden="0" w:uiPriority="39" w:qFormat="1"/>
    <w:lsdException w:name="toc 9" w:semiHidden="0" w:uiPriority="39" w:qFormat="1"/>
    <w:lsdException w:name="Normal Indent"/>
    <w:lsdException w:name="footnote text"/>
    <w:lsdException w:name="annotation text"/>
    <w:lsdException w:name="header" w:semiHidden="0" w:uiPriority="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semiHidden="0" w:uiPriority="0"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qFormat="1"/>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pPr>
      <w:keepNext/>
      <w:keepLines/>
      <w:spacing w:before="260" w:after="260" w:line="416" w:lineRule="auto"/>
      <w:outlineLvl w:val="1"/>
    </w:pPr>
    <w:rPr>
      <w:rFonts w:eastAsia="微软雅黑" w:asciiTheme="majorHAnsi" w:hAnsiTheme="majorHAnsi" w:cstheme="majorBidi"/>
      <w:b/>
      <w:bCs/>
      <w:sz w:val="24"/>
      <w:szCs w:val="32"/>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TOC7">
    <w:name w:val="toc 7"/>
    <w:basedOn w:val="Normal"/>
    <w:next w:val="Normal"/>
    <w:uiPriority w:val="39"/>
    <w:unhideWhenUsed/>
    <w:qFormat/>
    <w:pPr>
      <w:ind w:left="1260"/>
      <w:jc w:val="left"/>
    </w:pPr>
    <w:rPr>
      <w:sz w:val="18"/>
      <w:szCs w:val="18"/>
    </w:rPr>
  </w:style>
  <w:style w:type="paragraph" w:styleId="DocumentMap">
    <w:name w:val="Document Map"/>
    <w:basedOn w:val="Normal"/>
    <w:link w:val="a2"/>
    <w:uiPriority w:val="99"/>
    <w:semiHidden/>
    <w:unhideWhenUsed/>
    <w:qFormat/>
    <w:rPr>
      <w:rFonts w:ascii="宋体" w:eastAsia="宋体"/>
      <w:sz w:val="18"/>
      <w:szCs w:val="18"/>
    </w:rPr>
  </w:style>
  <w:style w:type="paragraph" w:styleId="TOC5">
    <w:name w:val="toc 5"/>
    <w:basedOn w:val="Normal"/>
    <w:next w:val="Normal"/>
    <w:uiPriority w:val="39"/>
    <w:unhideWhenUsed/>
    <w:qFormat/>
    <w:pPr>
      <w:ind w:left="840"/>
      <w:jc w:val="left"/>
    </w:pPr>
    <w:rPr>
      <w:sz w:val="18"/>
      <w:szCs w:val="18"/>
    </w:rPr>
  </w:style>
  <w:style w:type="paragraph" w:styleId="TOC3">
    <w:name w:val="toc 3"/>
    <w:basedOn w:val="Normal"/>
    <w:next w:val="Normal"/>
    <w:uiPriority w:val="39"/>
    <w:unhideWhenUsed/>
    <w:qFormat/>
    <w:pPr>
      <w:ind w:left="420"/>
      <w:jc w:val="left"/>
    </w:pPr>
    <w:rPr>
      <w:i/>
      <w:iCs/>
      <w:sz w:val="20"/>
      <w:szCs w:val="20"/>
    </w:rPr>
  </w:style>
  <w:style w:type="paragraph" w:styleId="TOC8">
    <w:name w:val="toc 8"/>
    <w:basedOn w:val="Normal"/>
    <w:next w:val="Normal"/>
    <w:uiPriority w:val="39"/>
    <w:unhideWhenUsed/>
    <w:qFormat/>
    <w:pPr>
      <w:ind w:left="1470"/>
      <w:jc w:val="left"/>
    </w:pPr>
    <w:rPr>
      <w:sz w:val="18"/>
      <w:szCs w:val="18"/>
    </w:rPr>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uiPriority w:val="39"/>
    <w:unhideWhenUsed/>
    <w:qFormat/>
    <w:pPr>
      <w:spacing w:before="120" w:after="120"/>
      <w:jc w:val="left"/>
    </w:pPr>
    <w:rPr>
      <w:b/>
      <w:bCs/>
      <w:caps/>
      <w:sz w:val="20"/>
      <w:szCs w:val="20"/>
    </w:rPr>
  </w:style>
  <w:style w:type="paragraph" w:styleId="TOC4">
    <w:name w:val="toc 4"/>
    <w:basedOn w:val="Normal"/>
    <w:next w:val="Normal"/>
    <w:uiPriority w:val="39"/>
    <w:unhideWhenUsed/>
    <w:qFormat/>
    <w:pPr>
      <w:ind w:left="630"/>
      <w:jc w:val="left"/>
    </w:pPr>
    <w:rPr>
      <w:sz w:val="18"/>
      <w:szCs w:val="18"/>
    </w:rPr>
  </w:style>
  <w:style w:type="paragraph" w:styleId="TOC6">
    <w:name w:val="toc 6"/>
    <w:basedOn w:val="Normal"/>
    <w:next w:val="Normal"/>
    <w:uiPriority w:val="39"/>
    <w:unhideWhenUsed/>
    <w:qFormat/>
    <w:pPr>
      <w:ind w:left="1050"/>
      <w:jc w:val="left"/>
    </w:pPr>
    <w:rPr>
      <w:sz w:val="18"/>
      <w:szCs w:val="18"/>
    </w:rPr>
  </w:style>
  <w:style w:type="paragraph" w:styleId="TOC2">
    <w:name w:val="toc 2"/>
    <w:basedOn w:val="Normal"/>
    <w:next w:val="Normal"/>
    <w:uiPriority w:val="39"/>
    <w:unhideWhenUsed/>
    <w:qFormat/>
    <w:pPr>
      <w:ind w:left="210"/>
      <w:jc w:val="left"/>
    </w:pPr>
    <w:rPr>
      <w:smallCaps/>
      <w:sz w:val="20"/>
      <w:szCs w:val="20"/>
    </w:rPr>
  </w:style>
  <w:style w:type="paragraph" w:styleId="TOC9">
    <w:name w:val="toc 9"/>
    <w:basedOn w:val="Normal"/>
    <w:next w:val="Normal"/>
    <w:uiPriority w:val="39"/>
    <w:unhideWhenUsed/>
    <w:qFormat/>
    <w:pPr>
      <w:ind w:left="1680"/>
      <w:jc w:val="left"/>
    </w:pPr>
    <w:rPr>
      <w:sz w:val="18"/>
      <w:szCs w:val="18"/>
    </w:rPr>
  </w:style>
  <w:style w:type="character" w:styleId="PageNumber">
    <w:name w:val="page number"/>
    <w:qFormat/>
    <w:rPr>
      <w:rFonts w:ascii="Arial" w:eastAsia="宋体" w:hAnsi="Arial"/>
      <w:sz w:val="22"/>
      <w:szCs w:val="22"/>
      <w:lang w:val="en-US" w:eastAsia="en-US" w:bidi="ar-SA"/>
    </w:rPr>
  </w:style>
  <w:style w:type="character" w:styleId="Hyperlink">
    <w:name w:val="Hyperlink"/>
    <w:basedOn w:val="DefaultParagraphFont"/>
    <w:uiPriority w:val="99"/>
    <w:unhideWhenUsed/>
    <w:qFormat/>
    <w:rPr>
      <w:color w:val="0000FF"/>
      <w:u w:val="single"/>
    </w:rPr>
  </w:style>
  <w:style w:type="paragraph" w:customStyle="1" w:styleId="reader-word-layer">
    <w:name w:val="reader-word-layer"/>
    <w:basedOn w:val="Normal"/>
    <w:qFormat/>
    <w:pPr>
      <w:widowControl/>
      <w:spacing w:before="100" w:beforeAutospacing="1" w:after="100" w:afterAutospacing="1"/>
      <w:jc w:val="left"/>
    </w:pPr>
    <w:rPr>
      <w:rFonts w:ascii="宋体" w:eastAsia="宋体" w:hAnsi="宋体" w:cs="宋体"/>
      <w:kern w:val="0"/>
      <w:sz w:val="24"/>
      <w:szCs w:val="24"/>
    </w:rPr>
  </w:style>
  <w:style w:type="character" w:customStyle="1" w:styleId="a">
    <w:name w:val="页眉 字符"/>
    <w:basedOn w:val="DefaultParagraphFont"/>
    <w:link w:val="Header"/>
    <w:qFormat/>
    <w:rPr>
      <w:sz w:val="18"/>
      <w:szCs w:val="18"/>
    </w:rPr>
  </w:style>
  <w:style w:type="character" w:customStyle="1" w:styleId="a0">
    <w:name w:val="页脚 字符"/>
    <w:basedOn w:val="DefaultParagraphFont"/>
    <w:link w:val="Footer"/>
    <w:uiPriority w:val="99"/>
    <w:qFormat/>
    <w:rPr>
      <w:sz w:val="18"/>
      <w:szCs w:val="18"/>
    </w:rPr>
  </w:style>
  <w:style w:type="paragraph" w:customStyle="1" w:styleId="TOC10">
    <w:name w:val="TOC 标题1"/>
    <w:basedOn w:val="Heading1"/>
    <w:next w:val="Normal"/>
    <w:uiPriority w:val="39"/>
    <w:unhideWhenUsed/>
    <w:qFormat/>
    <w:pPr>
      <w:widowControl/>
      <w:spacing w:before="480" w:after="0" w:line="276" w:lineRule="auto"/>
      <w:jc w:val="left"/>
      <w:outlineLvl w:val="9"/>
    </w:pPr>
    <w:rPr>
      <w:rFonts w:ascii="Cambria" w:eastAsia="宋体" w:hAnsi="Cambria" w:cs="Times New Roman"/>
      <w:color w:val="365F91"/>
      <w:kern w:val="0"/>
      <w:sz w:val="28"/>
      <w:szCs w:val="28"/>
    </w:rPr>
  </w:style>
  <w:style w:type="character" w:customStyle="1" w:styleId="1">
    <w:name w:val="标题 1 字符"/>
    <w:basedOn w:val="DefaultParagraphFont"/>
    <w:link w:val="Heading1"/>
    <w:uiPriority w:val="9"/>
    <w:qFormat/>
    <w:rPr>
      <w:b/>
      <w:bCs/>
      <w:kern w:val="44"/>
      <w:sz w:val="44"/>
      <w:szCs w:val="44"/>
    </w:rPr>
  </w:style>
  <w:style w:type="character" w:customStyle="1" w:styleId="a1">
    <w:name w:val="批注框文本 字符"/>
    <w:basedOn w:val="DefaultParagraphFont"/>
    <w:link w:val="BalloonText"/>
    <w:uiPriority w:val="99"/>
    <w:semiHidden/>
    <w:qFormat/>
    <w:rPr>
      <w:sz w:val="18"/>
      <w:szCs w:val="18"/>
    </w:rPr>
  </w:style>
  <w:style w:type="character" w:customStyle="1" w:styleId="a2">
    <w:name w:val="文档结构图 字符"/>
    <w:basedOn w:val="DefaultParagraphFont"/>
    <w:link w:val="DocumentMap"/>
    <w:uiPriority w:val="99"/>
    <w:semiHidden/>
    <w:qFormat/>
    <w:rPr>
      <w:rFonts w:ascii="宋体" w:eastAsia="宋体"/>
      <w:sz w:val="18"/>
      <w:szCs w:val="18"/>
    </w:rPr>
  </w:style>
  <w:style w:type="character" w:customStyle="1" w:styleId="Char">
    <w:name w:val="无间隔 Char"/>
    <w:link w:val="10"/>
    <w:qFormat/>
    <w:rPr>
      <w:rFonts w:ascii="Calibri" w:hAnsi="Calibri"/>
      <w:sz w:val="22"/>
    </w:rPr>
  </w:style>
  <w:style w:type="paragraph" w:customStyle="1" w:styleId="10">
    <w:name w:val="无间隔1"/>
    <w:link w:val="Char"/>
    <w:qFormat/>
    <w:pPr>
      <w:spacing w:line="360" w:lineRule="auto"/>
      <w:ind w:left="352"/>
      <w:jc w:val="both"/>
    </w:pPr>
    <w:rPr>
      <w:rFonts w:ascii="Calibri" w:hAnsi="Calibri" w:eastAsiaTheme="minorEastAsia" w:cstheme="minorBidi"/>
      <w:kern w:val="2"/>
      <w:sz w:val="22"/>
      <w:szCs w:val="22"/>
      <w:lang w:val="en-US" w:eastAsia="zh-CN" w:bidi="ar-SA"/>
    </w:rPr>
  </w:style>
  <w:style w:type="paragraph" w:customStyle="1" w:styleId="B1">
    <w:name w:val="首页B1"/>
    <w:basedOn w:val="Normal"/>
    <w:qFormat/>
    <w:pPr>
      <w:spacing w:before="120" w:after="120" w:line="288" w:lineRule="auto"/>
    </w:pPr>
    <w:rPr>
      <w:rFonts w:ascii="Times New Roman" w:eastAsia="宋体" w:hAnsi="Times New Roman" w:cs="Times New Roman"/>
      <w:b/>
      <w:sz w:val="28"/>
      <w:szCs w:val="24"/>
    </w:rPr>
  </w:style>
  <w:style w:type="character" w:customStyle="1" w:styleId="2">
    <w:name w:val="标题 2 字符"/>
    <w:basedOn w:val="DefaultParagraphFont"/>
    <w:link w:val="Heading2"/>
    <w:uiPriority w:val="9"/>
    <w:qFormat/>
    <w:rPr>
      <w:rFonts w:eastAsia="微软雅黑" w:asciiTheme="majorHAnsi" w:hAnsiTheme="majorHAnsi" w:cstheme="majorBidi"/>
      <w:b/>
      <w:bCs/>
      <w:sz w:val="24"/>
      <w:szCs w:val="32"/>
    </w:rPr>
  </w:style>
  <w:style w:type="paragraph" w:customStyle="1" w:styleId="11">
    <w:name w:val="列出段落1"/>
    <w:basedOn w:val="Normal"/>
    <w:uiPriority w:val="34"/>
    <w:qFormat/>
    <w:pPr>
      <w:ind w:firstLine="420" w:firstLineChars="200"/>
    </w:pPr>
  </w:style>
  <w:style w:type="paragraph" w:customStyle="1" w:styleId="WPSOffice1">
    <w:name w:val="WPSOffice手动目录 1"/>
    <w:qFormat/>
    <w:rPr>
      <w:rFonts w:ascii="Times New Roman" w:eastAsia="宋体" w:hAnsi="Times New Roman" w:cs="Times New Roman"/>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lang w:val="en-US" w:eastAsia="zh-CN" w:bidi="ar-SA"/>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76092" w:themeColor="accent1" w:themeShade="BF"/>
      <w:kern w:val="0"/>
      <w:sz w:val="32"/>
      <w:szCs w:val="32"/>
    </w:rPr>
  </w:style>
  <w:style w:type="paragraph" w:customStyle="1" w:styleId="a3">
    <w:name w:val="表头"/>
    <w:basedOn w:val="Normal"/>
    <w:qFormat/>
    <w:pPr>
      <w:spacing w:line="520" w:lineRule="exact"/>
      <w:jc w:val="center"/>
    </w:pPr>
    <w:rPr>
      <w:rFonts w:ascii="黑体" w:eastAsia="黑体" w:hAnsi="微软雅黑" w:cs="Times New Roman"/>
      <w:sz w:val="24"/>
      <w:szCs w:val="24"/>
    </w:rPr>
  </w:style>
  <w:style w:type="paragraph" w:customStyle="1" w:styleId="a4">
    <w:name w:val="表内容居中"/>
    <w:basedOn w:val="Normal"/>
    <w:qFormat/>
    <w:pPr>
      <w:spacing w:line="520" w:lineRule="exact"/>
      <w:jc w:val="center"/>
    </w:pPr>
    <w:rPr>
      <w:rFonts w:ascii="Calibri" w:eastAsia="宋体" w:hAnsi="Calibri"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emf" /><Relationship Id="rId11" Type="http://schemas.openxmlformats.org/officeDocument/2006/relationships/oleObject" Target="embeddings/oleObject1.bin" /><Relationship Id="rId12" Type="http://schemas.openxmlformats.org/officeDocument/2006/relationships/footer" Target="footer2.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jpeg"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E3CCD2-F1D2-40D3-B075-6655C3CCFBF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1894</Words>
  <Characters>1951</Characters>
  <Application>Microsoft Office Word</Application>
  <DocSecurity>0</DocSecurity>
  <Lines>20</Lines>
  <Paragraphs>5</Paragraphs>
  <ScaleCrop>false</ScaleCrop>
  <Company>微软中国</Company>
  <LinksUpToDate>false</LinksUpToDate>
  <CharactersWithSpaces>2052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董文娟</dc:creator>
  <cp:lastModifiedBy>高</cp:lastModifiedBy>
  <cp:revision>82</cp:revision>
  <dcterms:created xsi:type="dcterms:W3CDTF">2015-09-15T08:30:00Z</dcterms:created>
  <dcterms:modified xsi:type="dcterms:W3CDTF">2025-11-27T08:57:09Z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C271FDD2AE2249E39803FE1678751BDC</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