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-1236345</wp:posOffset>
            </wp:positionH>
            <wp:positionV relativeFrom="paragraph">
              <wp:posOffset>-1144905</wp:posOffset>
            </wp:positionV>
            <wp:extent cx="7919085" cy="115290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5275" cy="11538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rFonts w:hint="eastAsia"/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内部审核计划</w:t>
      </w:r>
    </w:p>
    <w:p>
      <w:pPr>
        <w:spacing w:after="163" w:afterLines="50"/>
        <w:jc w:val="center"/>
        <w:rPr>
          <w:b/>
          <w:sz w:val="48"/>
          <w:szCs w:val="48"/>
        </w:rPr>
      </w:pPr>
    </w:p>
    <w:p>
      <w:pPr>
        <w:spacing w:after="163" w:afterLines="50"/>
        <w:jc w:val="center"/>
        <w:rPr>
          <w:b/>
          <w:sz w:val="48"/>
          <w:szCs w:val="48"/>
        </w:rPr>
      </w:pPr>
    </w:p>
    <w:p>
      <w:pPr>
        <w:spacing w:after="163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7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2</w:t>
      </w:r>
    </w:p>
    <w:p>
      <w:pPr>
        <w:spacing w:after="163" w:afterLines="50"/>
        <w:ind w:firstLine="720"/>
        <w:rPr>
          <w:sz w:val="36"/>
          <w:szCs w:val="36"/>
        </w:rPr>
      </w:pPr>
    </w:p>
    <w:p>
      <w:pPr>
        <w:spacing w:after="163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>金文莉</w:t>
      </w:r>
      <w:r>
        <w:rPr>
          <w:rFonts w:hint="eastAsia"/>
          <w:sz w:val="32"/>
          <w:szCs w:val="32"/>
          <w:u w:val="single"/>
        </w:rPr>
        <w:t xml:space="preserve">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赵  鑫         </w:t>
      </w:r>
    </w:p>
    <w:p>
      <w:pPr>
        <w:tabs>
          <w:tab w:val="left" w:pos="0"/>
        </w:tabs>
        <w:spacing w:before="326" w:beforeLines="100" w:after="326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326" w:beforeLines="100" w:after="326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3"/>
        <w:gridCol w:w="1413"/>
        <w:gridCol w:w="1413"/>
        <w:gridCol w:w="1532"/>
        <w:gridCol w:w="1532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 w:hint="eastAsia"/>
              </w:rPr>
            </w:pPr>
            <w:r>
              <w:rPr>
                <w:rFonts w:ascii="微软雅黑" w:eastAsia="微软雅黑" w:cs="Arial"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.0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金文莉</w:t>
            </w:r>
          </w:p>
        </w:tc>
        <w:tc>
          <w:tcPr>
            <w:tcW w:w="810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8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2025.11.2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8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widowControl/>
        <w:jc w:val="left"/>
        <w:rPr>
          <w:rFonts w:ascii="仿宋" w:eastAsia="仿宋" w:hAnsi="仿宋" w:cs="仿宋"/>
          <w:sz w:val="24"/>
          <w:szCs w:val="24"/>
        </w:rPr>
        <w:sectPr>
          <w:headerReference w:type="default" r:id="rId6"/>
          <w:pgSz w:w="11906" w:h="16838"/>
          <w:pgMar w:top="1418" w:right="1701" w:bottom="1418" w:left="1701" w:header="851" w:footer="964" w:gutter="0"/>
          <w:pgBorders w:offsetFrom="page">
            <w:top w:val="nil"/>
            <w:left w:val="nil"/>
            <w:bottom w:val="nil"/>
            <w:right w:val="nil"/>
          </w:pgBorders>
          <w:pgNumType w:start="1"/>
          <w:cols w:num="1" w:space="720"/>
          <w:docGrid w:type="linesAndChars" w:linePitch="326" w:charSpace="5370"/>
        </w:sectPr>
      </w:pPr>
    </w:p>
    <w:p>
      <w:pPr>
        <w:spacing w:line="440" w:lineRule="exact"/>
        <w:jc w:val="left"/>
        <w:rPr>
          <w:rFonts w:ascii="宋体" w:hAnsi="宋体"/>
          <w:bCs/>
          <w:sz w:val="24"/>
        </w:rPr>
      </w:pPr>
    </w:p>
    <w:p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运维服务能力管理体系内部审核计划</w:t>
      </w:r>
    </w:p>
    <w:p>
      <w:pPr>
        <w:spacing w:line="440" w:lineRule="exact"/>
        <w:jc w:val="center"/>
        <w:rPr>
          <w:rFonts w:ascii="楷体_GB2312" w:hAnsi="宋体"/>
          <w:b/>
          <w:bCs/>
          <w:sz w:val="24"/>
        </w:rPr>
      </w:pPr>
    </w:p>
    <w:tbl>
      <w:tblPr>
        <w:tblStyle w:val="TableNormal"/>
        <w:tblW w:w="940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2383"/>
        <w:gridCol w:w="1134"/>
        <w:gridCol w:w="1276"/>
        <w:gridCol w:w="567"/>
        <w:gridCol w:w="2177"/>
      </w:tblGrid>
      <w:tr>
        <w:tblPrEx>
          <w:tblW w:w="9407" w:type="dxa"/>
          <w:tblInd w:w="108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/>
        </w:trPr>
        <w:tc>
          <w:tcPr>
            <w:tcW w:w="1870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审核目的</w:t>
            </w:r>
          </w:p>
        </w:tc>
        <w:tc>
          <w:tcPr>
            <w:tcW w:w="7537" w:type="dxa"/>
            <w:gridSpan w:val="5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检查公司运维服务能力管理体系是否符合审核准则的要求，是否能通过管理体系有效实现目标，识别需要改进的区域，促进组织内部管理的有效性。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/>
        </w:trPr>
        <w:tc>
          <w:tcPr>
            <w:tcW w:w="1870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审核范围</w:t>
            </w:r>
          </w:p>
        </w:tc>
        <w:tc>
          <w:tcPr>
            <w:tcW w:w="7537" w:type="dxa"/>
            <w:gridSpan w:val="5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对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围绕“四要素”，对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运维体系制度、服务流程、运维工具、运维技术研发、运维人员等计划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执行情况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进行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审核。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/>
        </w:trPr>
        <w:tc>
          <w:tcPr>
            <w:tcW w:w="1870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审核准则</w:t>
            </w:r>
          </w:p>
        </w:tc>
        <w:tc>
          <w:tcPr>
            <w:tcW w:w="3517" w:type="dxa"/>
            <w:gridSpan w:val="2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1、合同要求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2、体系文件、规定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3、《信息技术服务ITSS.1—2015运行维护服务能力成熟度模型》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4、法律、法规</w:t>
            </w:r>
          </w:p>
        </w:tc>
        <w:tc>
          <w:tcPr>
            <w:tcW w:w="1276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审核组长</w:t>
            </w:r>
          </w:p>
        </w:tc>
        <w:tc>
          <w:tcPr>
            <w:tcW w:w="2744" w:type="dxa"/>
            <w:gridSpan w:val="2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金文莉（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质量部</w:t>
            </w: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/>
        </w:trPr>
        <w:tc>
          <w:tcPr>
            <w:tcW w:w="1870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审核组成员</w:t>
            </w:r>
          </w:p>
        </w:tc>
        <w:tc>
          <w:tcPr>
            <w:tcW w:w="3517" w:type="dxa"/>
            <w:gridSpan w:val="2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lang w:val="en-US" w:eastAsia="zh-CN"/>
              </w:rPr>
              <w:t>阎树花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商务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部）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</w:rPr>
              <w:t>王海燕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人力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部）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游天舒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（研发部）</w:t>
            </w:r>
          </w:p>
        </w:tc>
        <w:tc>
          <w:tcPr>
            <w:tcW w:w="1276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审核日期</w:t>
            </w:r>
          </w:p>
        </w:tc>
        <w:tc>
          <w:tcPr>
            <w:tcW w:w="2744" w:type="dxa"/>
            <w:gridSpan w:val="2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 w:hint="default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025.11.11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-</w:t>
            </w: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5.11.12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5"/>
        </w:trPr>
        <w:tc>
          <w:tcPr>
            <w:tcW w:w="1870" w:type="dxa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</w:p>
        </w:tc>
        <w:tc>
          <w:tcPr>
            <w:tcW w:w="7537" w:type="dxa"/>
            <w:gridSpan w:val="5"/>
            <w:vAlign w:val="center"/>
          </w:tcPr>
          <w:p>
            <w:pPr>
              <w:spacing w:line="46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 核 日 程 安 排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/>
        </w:trPr>
        <w:tc>
          <w:tcPr>
            <w:tcW w:w="1870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审核日期/时间</w:t>
            </w:r>
          </w:p>
        </w:tc>
        <w:tc>
          <w:tcPr>
            <w:tcW w:w="2383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受审核部门</w:t>
            </w:r>
            <w:r>
              <w:rPr>
                <w:rFonts w:ascii="仿宋" w:eastAsia="仿宋" w:hAnsi="仿宋" w:cs="仿宋" w:hint="eastAsia"/>
                <w:b/>
                <w:sz w:val="24"/>
                <w:szCs w:val="24"/>
                <w:lang w:val="en-US" w:eastAsia="zh-CN"/>
              </w:rPr>
              <w:t>/负责人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审核条款</w:t>
            </w:r>
          </w:p>
        </w:tc>
        <w:tc>
          <w:tcPr>
            <w:tcW w:w="2177" w:type="dxa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  <w:szCs w:val="24"/>
              </w:rPr>
              <w:t>审核员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/>
        </w:trPr>
        <w:tc>
          <w:tcPr>
            <w:tcW w:w="1870" w:type="dxa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</w:t>
            </w:r>
            <w:bookmarkStart w:id="0" w:name="_GoBack"/>
            <w:bookmarkEnd w:id="0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25.11.11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9:00-9:30</w:t>
            </w:r>
          </w:p>
        </w:tc>
        <w:tc>
          <w:tcPr>
            <w:tcW w:w="2383" w:type="dxa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全体部门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首次会议</w:t>
            </w:r>
          </w:p>
        </w:tc>
        <w:tc>
          <w:tcPr>
            <w:tcW w:w="2177" w:type="dxa"/>
            <w:vAlign w:val="center"/>
          </w:tcPr>
          <w:p>
            <w:pPr>
              <w:spacing w:line="46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/>
        </w:trPr>
        <w:tc>
          <w:tcPr>
            <w:tcW w:w="1870" w:type="dxa"/>
            <w:shd w:val="clear" w:color="auto" w:fill="auto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2025.11.11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9:30-1</w:t>
            </w:r>
            <w:r>
              <w:rPr>
                <w:rFonts w:ascii="仿宋" w:eastAsia="仿宋" w:hAnsi="仿宋" w:cs="仿宋"/>
                <w:sz w:val="24"/>
                <w:szCs w:val="24"/>
              </w:rPr>
              <w:t>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:30</w:t>
            </w:r>
          </w:p>
        </w:tc>
        <w:tc>
          <w:tcPr>
            <w:tcW w:w="2383" w:type="dxa"/>
            <w:shd w:val="clear" w:color="auto" w:fill="FFFFFF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质量部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/金文莉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5.2、5.3、5.4、5.5</w:t>
            </w:r>
          </w:p>
        </w:tc>
        <w:tc>
          <w:tcPr>
            <w:tcW w:w="2177" w:type="dxa"/>
            <w:shd w:val="clear" w:color="auto" w:fill="FFFFFF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王海燕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、游天舒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/>
        </w:trPr>
        <w:tc>
          <w:tcPr>
            <w:tcW w:w="1870" w:type="dxa"/>
            <w:shd w:val="clear" w:color="auto" w:fill="auto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2025.11.11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/>
                <w:sz w:val="24"/>
                <w:szCs w:val="24"/>
              </w:rPr>
              <w:t>10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:</w:t>
            </w:r>
            <w:r>
              <w:rPr>
                <w:rFonts w:ascii="仿宋" w:eastAsia="仿宋" w:hAnsi="仿宋" w:cs="仿宋"/>
                <w:sz w:val="24"/>
                <w:szCs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0-1</w:t>
            </w:r>
            <w:r>
              <w:rPr>
                <w:rFonts w:ascii="仿宋" w:eastAsia="仿宋" w:hAnsi="仿宋" w:cs="仿宋"/>
                <w:sz w:val="24"/>
                <w:szCs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:</w:t>
            </w:r>
            <w:r>
              <w:rPr>
                <w:rFonts w:ascii="仿宋" w:eastAsia="仿宋" w:hAnsi="仿宋" w:cs="仿宋"/>
                <w:sz w:val="24"/>
                <w:szCs w:val="24"/>
              </w:rPr>
              <w:t>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0</w:t>
            </w:r>
          </w:p>
        </w:tc>
        <w:tc>
          <w:tcPr>
            <w:tcW w:w="2383" w:type="dxa"/>
            <w:shd w:val="clear" w:color="auto" w:fill="FFFFFF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人力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部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/王海燕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6.2、6.3、6.4、6.5、6.6</w:t>
            </w:r>
          </w:p>
        </w:tc>
        <w:tc>
          <w:tcPr>
            <w:tcW w:w="2177" w:type="dxa"/>
            <w:shd w:val="clear" w:color="auto" w:fill="FFFFFF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游天舒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阎树花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/>
        </w:trPr>
        <w:tc>
          <w:tcPr>
            <w:tcW w:w="1870" w:type="dxa"/>
            <w:shd w:val="clear" w:color="auto" w:fill="auto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2025.11.11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13:30-1</w:t>
            </w:r>
            <w:r>
              <w:rPr>
                <w:rFonts w:ascii="仿宋" w:eastAsia="仿宋" w:hAnsi="仿宋" w:cs="仿宋"/>
                <w:sz w:val="24"/>
                <w:szCs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:</w:t>
            </w:r>
            <w:r>
              <w:rPr>
                <w:rFonts w:ascii="仿宋" w:eastAsia="仿宋" w:hAnsi="仿宋" w:cs="仿宋"/>
                <w:sz w:val="24"/>
                <w:szCs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0</w:t>
            </w:r>
          </w:p>
        </w:tc>
        <w:tc>
          <w:tcPr>
            <w:tcW w:w="2383" w:type="dxa"/>
            <w:shd w:val="clear" w:color="auto" w:fill="FFFFFF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研发部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/游天舒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8</w:t>
            </w:r>
            <w:r>
              <w:rPr>
                <w:rFonts w:ascii="仿宋" w:eastAsia="仿宋" w:hAnsi="仿宋" w:cs="仿宋"/>
                <w:sz w:val="24"/>
                <w:szCs w:val="24"/>
              </w:rPr>
              <w:t>.2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cs="仿宋"/>
                <w:sz w:val="24"/>
                <w:szCs w:val="24"/>
              </w:rPr>
              <w:t>8.3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</w:t>
            </w:r>
            <w:r>
              <w:rPr>
                <w:rFonts w:ascii="仿宋" w:eastAsia="仿宋" w:hAnsi="仿宋" w:cs="仿宋"/>
                <w:sz w:val="24"/>
                <w:szCs w:val="24"/>
              </w:rPr>
              <w:t>8.4</w:t>
            </w:r>
          </w:p>
        </w:tc>
        <w:tc>
          <w:tcPr>
            <w:tcW w:w="2177" w:type="dxa"/>
            <w:shd w:val="clear" w:color="auto" w:fill="FFFFFF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王海燕、阎树花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/>
        </w:trPr>
        <w:tc>
          <w:tcPr>
            <w:tcW w:w="1870" w:type="dxa"/>
            <w:shd w:val="clear" w:color="auto" w:fill="auto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2025.11.11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1</w:t>
            </w:r>
            <w:r>
              <w:rPr>
                <w:rFonts w:ascii="仿宋" w:eastAsia="仿宋" w:hAnsi="仿宋" w:cs="仿宋"/>
                <w:sz w:val="24"/>
                <w:szCs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:</w:t>
            </w:r>
            <w:r>
              <w:rPr>
                <w:rFonts w:ascii="仿宋" w:eastAsia="仿宋" w:hAnsi="仿宋" w:cs="仿宋"/>
                <w:sz w:val="24"/>
                <w:szCs w:val="24"/>
              </w:rPr>
              <w:t>0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0-17:00</w:t>
            </w:r>
          </w:p>
        </w:tc>
        <w:tc>
          <w:tcPr>
            <w:tcW w:w="2383" w:type="dxa"/>
            <w:shd w:val="clear" w:color="auto" w:fill="FFFFFF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运维部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/胡葛鹏宇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7.4</w:t>
            </w:r>
          </w:p>
        </w:tc>
        <w:tc>
          <w:tcPr>
            <w:tcW w:w="2177" w:type="dxa"/>
            <w:shd w:val="clear" w:color="auto" w:fill="FFFFFF"/>
            <w:vAlign w:val="center"/>
          </w:tcPr>
          <w:p>
            <w:pPr>
              <w:spacing w:line="460" w:lineRule="exact"/>
              <w:jc w:val="center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王海燕、游天舒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4"/>
        </w:trPr>
        <w:tc>
          <w:tcPr>
            <w:tcW w:w="1870" w:type="dxa"/>
            <w:shd w:val="clear" w:color="auto" w:fill="auto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2025.11.12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9:00-16:30</w:t>
            </w:r>
          </w:p>
        </w:tc>
        <w:tc>
          <w:tcPr>
            <w:tcW w:w="2383" w:type="dxa"/>
            <w:shd w:val="clear" w:color="auto" w:fill="FFFFFF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default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运维部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/胡葛鹏宇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7</w:t>
            </w:r>
            <w:r>
              <w:rPr>
                <w:rFonts w:ascii="仿宋" w:eastAsia="仿宋" w:hAnsi="仿宋" w:cs="仿宋"/>
                <w:sz w:val="24"/>
                <w:szCs w:val="24"/>
              </w:rPr>
              <w:t>.2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、7</w:t>
            </w:r>
            <w:r>
              <w:rPr>
                <w:rFonts w:ascii="仿宋" w:eastAsia="仿宋" w:hAnsi="仿宋" w:cs="仿宋"/>
                <w:sz w:val="24"/>
                <w:szCs w:val="24"/>
              </w:rPr>
              <w:t>.3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、7</w:t>
            </w:r>
            <w:r>
              <w:rPr>
                <w:rFonts w:ascii="仿宋" w:eastAsia="仿宋" w:hAnsi="仿宋" w:cs="仿宋"/>
                <w:sz w:val="24"/>
                <w:szCs w:val="24"/>
              </w:rPr>
              <w:t>.5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.2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.3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.4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.5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.6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.7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.8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、9</w:t>
            </w:r>
            <w:r>
              <w:rPr>
                <w:rFonts w:ascii="仿宋" w:eastAsia="仿宋" w:hAnsi="仿宋" w:cs="仿宋"/>
                <w:sz w:val="24"/>
                <w:szCs w:val="24"/>
              </w:rPr>
              <w:t>.9</w:t>
            </w:r>
          </w:p>
        </w:tc>
        <w:tc>
          <w:tcPr>
            <w:tcW w:w="2177" w:type="dxa"/>
            <w:shd w:val="clear" w:color="auto" w:fill="FFFFFF"/>
            <w:vAlign w:val="center"/>
          </w:tcPr>
          <w:p>
            <w:pPr>
              <w:spacing w:line="460" w:lineRule="exact"/>
              <w:jc w:val="center"/>
              <w:rPr>
                <w:rFonts w:ascii="宋体" w:eastAsia="仿宋" w:hAnsi="宋体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王海燕、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阎树花</w:t>
            </w: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/>
        </w:trPr>
        <w:tc>
          <w:tcPr>
            <w:tcW w:w="1870" w:type="dxa"/>
            <w:shd w:val="clear" w:color="auto" w:fill="auto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2025.11.12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17:00-17:30</w:t>
            </w:r>
          </w:p>
        </w:tc>
        <w:tc>
          <w:tcPr>
            <w:tcW w:w="2383" w:type="dxa"/>
            <w:shd w:val="clear" w:color="auto" w:fill="FFFFFF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内审组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审核情况汇总、讨论</w:t>
            </w:r>
          </w:p>
        </w:tc>
        <w:tc>
          <w:tcPr>
            <w:tcW w:w="2177" w:type="dxa"/>
            <w:shd w:val="clear" w:color="auto" w:fill="FFFFFF"/>
            <w:vAlign w:val="center"/>
          </w:tcPr>
          <w:p>
            <w:pPr>
              <w:spacing w:line="46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W w:w="9407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2"/>
        </w:trPr>
        <w:tc>
          <w:tcPr>
            <w:tcW w:w="1870" w:type="dxa"/>
            <w:vAlign w:val="center"/>
          </w:tcPr>
          <w:p>
            <w:pPr>
              <w:spacing w:line="460" w:lineRule="exact"/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2025.11.12</w:t>
            </w:r>
          </w:p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17：30-18:00</w:t>
            </w:r>
          </w:p>
        </w:tc>
        <w:tc>
          <w:tcPr>
            <w:tcW w:w="2383" w:type="dxa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全体部门</w:t>
            </w:r>
          </w:p>
        </w:tc>
        <w:tc>
          <w:tcPr>
            <w:tcW w:w="2977" w:type="dxa"/>
            <w:gridSpan w:val="3"/>
            <w:vAlign w:val="center"/>
          </w:tcPr>
          <w:p>
            <w:pPr>
              <w:spacing w:line="460" w:lineRule="exact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末次会议</w:t>
            </w:r>
          </w:p>
        </w:tc>
        <w:tc>
          <w:tcPr>
            <w:tcW w:w="2177" w:type="dxa"/>
            <w:vAlign w:val="center"/>
          </w:tcPr>
          <w:p>
            <w:pPr>
              <w:spacing w:line="46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  <w:r>
        <w:rPr>
          <w:rFonts w:ascii="宋体" w:hAnsi="宋体"/>
          <w:b/>
          <w:szCs w:val="28"/>
        </w:rPr>
        <w:br/>
      </w:r>
    </w:p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</w:p>
    <w:p>
      <w:pPr>
        <w:spacing w:line="440" w:lineRule="exact"/>
        <w:rPr>
          <w:rFonts w:ascii="宋体" w:hAnsi="宋体"/>
          <w:b/>
          <w:szCs w:val="28"/>
        </w:rPr>
      </w:pPr>
    </w:p>
    <w:sectPr>
      <w:headerReference w:type="default" r:id="rId7"/>
      <w:pgSz w:w="11907" w:h="16840"/>
      <w:pgMar w:top="1134" w:right="1304" w:bottom="1134" w:left="1304" w:header="851" w:footer="992" w:gutter="0"/>
      <w:pgBorders w:offsetFrom="page">
        <w:top w:val="nil"/>
        <w:left w:val="nil"/>
        <w:bottom w:val="nil"/>
        <w:right w:val="nil"/>
      </w:pgBorders>
      <w:cols w:num="1" w:space="720"/>
      <w:docGrid w:type="lines" w:linePitch="312" w:charSpace="11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</w:pPr>
    <w:r>
      <w:rPr>
        <w:rFonts w:hint="eastAsia"/>
      </w:rPr>
      <w:t xml:space="preserve">                                                    </w:t>
    </w:r>
    <w:r>
      <w:t xml:space="preserve">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distribute"/>
    </w:pPr>
    <w:r>
      <w:rPr>
        <w:rFonts w:hint="eastAsia"/>
      </w:rPr>
      <w:t xml:space="preserve">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7"/>
    <w:multiLevelType w:val="multilevel"/>
    <w:tmpl w:val="00000017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E7D4C33"/>
    <w:multiLevelType w:val="multilevel"/>
    <w:tmpl w:val="4E7D4C33"/>
    <w:lvl w:ilvl="0">
      <w:start w:val="1"/>
      <w:numFmt w:val="decimal"/>
      <w:pStyle w:val="a0"/>
      <w:lvlText w:val="(%1)"/>
      <w:lvlJc w:val="left"/>
      <w:pPr>
        <w:ind w:left="952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D417B1"/>
    <w:multiLevelType w:val="multilevel"/>
    <w:tmpl w:val="54D417B1"/>
    <w:lvl w:ilvl="0">
      <w:start w:val="1"/>
      <w:numFmt w:val="decimal"/>
      <w:pStyle w:val="B1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120"/>
  <w:drawingGridHorizontalSpacing w:val="118"/>
  <w:drawingGridVerticalSpacing w:val="163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locked="1" w:semiHidden="0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nhideWhenUsed="0" w:qFormat="1"/>
    <w:lsdException w:name="toc 5" w:semiHidden="0" w:unhideWhenUsed="0" w:qFormat="1"/>
    <w:lsdException w:name="toc 6" w:semiHidden="0" w:unhideWhenUsed="0" w:qFormat="1"/>
    <w:lsdException w:name="toc 7" w:semiHidden="0" w:unhideWhenUsed="0" w:qFormat="1"/>
    <w:lsdException w:name="toc 8" w:semiHidden="0" w:unhideWhenUsed="0" w:qFormat="1"/>
    <w:lsdException w:name="toc 9" w:semiHidden="0" w:unhideWhenUsed="0" w:qFormat="1"/>
    <w:lsdException w:name="Normal Indent" w:uiPriority="0"/>
    <w:lsdException w:name="footnote text" w:uiPriority="0"/>
    <w:lsdException w:name="annotation text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locked="1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locked="1" w:semiHidden="0" w:uiPriority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locked="1" w:semiHidden="0" w:uiPriority="0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semiHidden="0" w:qFormat="1"/>
    <w:lsdException w:name="Body Text Indent 3" w:semiHidden="0" w:uiPriority="0" w:unhideWhenUsed="0" w:qFormat="1"/>
    <w:lsdException w:name="Block Text" w:uiPriority="0"/>
    <w:lsdException w:name="Hyperlink" w:semiHidden="0" w:unhideWhenUsed="0" w:qFormat="1"/>
    <w:lsdException w:name="Followed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nhideWhenUsed="0" w:qFormat="1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nhideWhenUsed="0" w:qFormat="1"/>
    <w:lsdException w:name="Table Grid" w:semiHidden="0" w:uiPriority="59" w:unhideWhenUsed="0" w:qFormat="1"/>
    <w:lsdException w:name="Table Theme" w:uiPriority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qFormat/>
    <w:pPr>
      <w:keepNext/>
      <w:keepLines/>
      <w:spacing w:beforeLines="50" w:afterLines="50" w:line="360" w:lineRule="auto"/>
      <w:jc w:val="left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Lines="50" w:afterLines="50" w:line="360" w:lineRule="auto"/>
      <w:jc w:val="left"/>
      <w:outlineLvl w:val="1"/>
    </w:pPr>
    <w:rPr>
      <w:rFonts w:ascii="Times New Roman" w:hAnsi="Times New Roman"/>
      <w:b/>
      <w:bCs/>
      <w:sz w:val="30"/>
      <w:szCs w:val="32"/>
    </w:rPr>
  </w:style>
  <w:style w:type="paragraph" w:styleId="Heading3">
    <w:name w:val="heading 3"/>
    <w:basedOn w:val="Normal"/>
    <w:next w:val="Normal"/>
    <w:link w:val="30"/>
    <w:unhideWhenUsed/>
    <w:qFormat/>
    <w:lock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uiPriority w:val="99"/>
    <w:qFormat/>
    <w:pPr>
      <w:ind w:left="1260"/>
      <w:jc w:val="left"/>
    </w:pPr>
    <w:rPr>
      <w:sz w:val="18"/>
      <w:szCs w:val="18"/>
    </w:rPr>
  </w:style>
  <w:style w:type="paragraph" w:styleId="DocumentMap">
    <w:name w:val="Document Map"/>
    <w:basedOn w:val="Normal"/>
    <w:link w:val="a6"/>
    <w:uiPriority w:val="99"/>
    <w:unhideWhenUsed/>
    <w:qFormat/>
    <w:rPr>
      <w:rFonts w:ascii="宋体"/>
      <w:sz w:val="18"/>
      <w:szCs w:val="18"/>
    </w:rPr>
  </w:style>
  <w:style w:type="paragraph" w:styleId="CommentText">
    <w:name w:val="annotation text"/>
    <w:basedOn w:val="Normal"/>
    <w:link w:val="a3"/>
    <w:uiPriority w:val="99"/>
    <w:semiHidden/>
    <w:qFormat/>
    <w:pPr>
      <w:jc w:val="left"/>
    </w:pPr>
  </w:style>
  <w:style w:type="paragraph" w:styleId="TOC5">
    <w:name w:val="toc 5"/>
    <w:basedOn w:val="Normal"/>
    <w:next w:val="Normal"/>
    <w:uiPriority w:val="99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Normal"/>
    <w:next w:val="Normal"/>
    <w:uiPriority w:val="99"/>
    <w:qFormat/>
    <w:pPr>
      <w:ind w:left="1470"/>
      <w:jc w:val="left"/>
    </w:pPr>
    <w:rPr>
      <w:sz w:val="18"/>
      <w:szCs w:val="18"/>
    </w:r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BalloonText">
    <w:name w:val="Balloon Text"/>
    <w:basedOn w:val="Normal"/>
    <w:link w:val="a5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a2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99"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99"/>
    <w:qFormat/>
    <w:pPr>
      <w:ind w:left="1050"/>
      <w:jc w:val="left"/>
    </w:pPr>
    <w:rPr>
      <w:sz w:val="18"/>
      <w:szCs w:val="18"/>
    </w:rPr>
  </w:style>
  <w:style w:type="paragraph" w:styleId="BodyTextIndent3">
    <w:name w:val="Body Text Indent 3"/>
    <w:basedOn w:val="Normal"/>
    <w:link w:val="3"/>
    <w:qFormat/>
    <w:pPr>
      <w:ind w:firstLine="420"/>
    </w:pPr>
    <w:rPr>
      <w:sz w:val="28"/>
      <w:szCs w:val="20"/>
    </w:rPr>
  </w:style>
  <w:style w:type="paragraph" w:styleId="TOC2">
    <w:name w:val="toc 2"/>
    <w:basedOn w:val="Normal"/>
    <w:next w:val="Normal"/>
    <w:autoRedefine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Normal"/>
    <w:next w:val="Normal"/>
    <w:uiPriority w:val="99"/>
    <w:qFormat/>
    <w:pPr>
      <w:ind w:left="1680"/>
      <w:jc w:val="left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a4"/>
    <w:autoRedefine/>
    <w:uiPriority w:val="99"/>
    <w:semiHidden/>
    <w:qFormat/>
    <w:rPr>
      <w:b/>
      <w:bCs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qFormat/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CommentReference">
    <w:name w:val="annotation reference"/>
    <w:autoRedefine/>
    <w:uiPriority w:val="99"/>
    <w:semiHidden/>
    <w:qFormat/>
    <w:rPr>
      <w:rFonts w:cs="Times New Roman"/>
      <w:sz w:val="21"/>
      <w:szCs w:val="21"/>
    </w:rPr>
  </w:style>
  <w:style w:type="paragraph" w:customStyle="1" w:styleId="1">
    <w:name w:val="列出段落1"/>
    <w:basedOn w:val="Normal"/>
    <w:link w:val="Char"/>
    <w:autoRedefine/>
    <w:uiPriority w:val="34"/>
    <w:qFormat/>
    <w:pPr>
      <w:ind w:firstLine="420" w:firstLineChars="200"/>
    </w:pPr>
  </w:style>
  <w:style w:type="paragraph" w:customStyle="1" w:styleId="reader-word-layer">
    <w:name w:val="reader-word-layer"/>
    <w:basedOn w:val="Normal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">
    <w:name w:val="一级标题"/>
    <w:basedOn w:val="Normal"/>
    <w:next w:val="Normal"/>
    <w:qFormat/>
    <w:pPr>
      <w:numPr>
        <w:ilvl w:val="0"/>
        <w:numId w:val="1"/>
      </w:numPr>
      <w:spacing w:beforeLines="50" w:afterLines="50" w:line="360" w:lineRule="auto"/>
      <w:jc w:val="left"/>
      <w:outlineLvl w:val="0"/>
    </w:pPr>
    <w:rPr>
      <w:rFonts w:ascii="Times New Roman" w:hAnsi="Times New Roman"/>
      <w:b/>
      <w:kern w:val="44"/>
      <w:sz w:val="32"/>
    </w:rPr>
  </w:style>
  <w:style w:type="paragraph" w:customStyle="1" w:styleId="a0">
    <w:name w:val="二级标题"/>
    <w:basedOn w:val="Normal"/>
    <w:next w:val="Normal"/>
    <w:qFormat/>
    <w:pPr>
      <w:numPr>
        <w:ilvl w:val="0"/>
        <w:numId w:val="2"/>
      </w:numPr>
      <w:spacing w:beforeLines="50" w:afterLines="50" w:line="360" w:lineRule="auto"/>
      <w:jc w:val="left"/>
      <w:outlineLvl w:val="1"/>
    </w:pPr>
    <w:rPr>
      <w:rFonts w:ascii="Times New Roman" w:hAnsi="Times New Roman"/>
      <w:b/>
      <w:sz w:val="32"/>
      <w:szCs w:val="30"/>
    </w:rPr>
  </w:style>
  <w:style w:type="paragraph" w:customStyle="1" w:styleId="10">
    <w:name w:val="无间隔1"/>
    <w:link w:val="Char0"/>
    <w:autoRedefine/>
    <w:uiPriority w:val="1"/>
    <w:qFormat/>
    <w:rPr>
      <w:rFonts w:ascii="Calibri" w:eastAsia="宋体" w:hAnsi="Calibri" w:cs="黑体"/>
      <w:sz w:val="22"/>
      <w:szCs w:val="22"/>
      <w:lang w:val="en-US" w:eastAsia="zh-CN" w:bidi="ar-SA"/>
    </w:rPr>
  </w:style>
  <w:style w:type="character" w:customStyle="1" w:styleId="11">
    <w:name w:val="标题 1 字符"/>
    <w:link w:val="Heading1"/>
    <w:qFormat/>
    <w:locked/>
    <w:rPr>
      <w:rFonts w:ascii="Times New Roman" w:hAnsi="Times New Roman"/>
      <w:b/>
      <w:bCs/>
      <w:kern w:val="44"/>
      <w:sz w:val="32"/>
      <w:szCs w:val="44"/>
    </w:rPr>
  </w:style>
  <w:style w:type="character" w:customStyle="1" w:styleId="2">
    <w:name w:val="标题 2 字符"/>
    <w:link w:val="Heading2"/>
    <w:autoRedefine/>
    <w:qFormat/>
    <w:locked/>
    <w:rPr>
      <w:rFonts w:ascii="Times New Roman" w:hAnsi="Times New Roman"/>
      <w:b/>
      <w:bCs/>
      <w:sz w:val="30"/>
      <w:szCs w:val="32"/>
    </w:rPr>
  </w:style>
  <w:style w:type="character" w:customStyle="1" w:styleId="a1">
    <w:name w:val="页眉 字符"/>
    <w:link w:val="Header"/>
    <w:qFormat/>
    <w:locked/>
    <w:rPr>
      <w:rFonts w:cs="Times New Roman"/>
      <w:sz w:val="18"/>
      <w:szCs w:val="18"/>
    </w:rPr>
  </w:style>
  <w:style w:type="character" w:customStyle="1" w:styleId="a2">
    <w:name w:val="页脚 字符"/>
    <w:link w:val="Footer"/>
    <w:qFormat/>
    <w:locked/>
    <w:rPr>
      <w:kern w:val="2"/>
      <w:sz w:val="18"/>
      <w:szCs w:val="18"/>
    </w:rPr>
  </w:style>
  <w:style w:type="character" w:customStyle="1" w:styleId="a3">
    <w:name w:val="批注文字 字符"/>
    <w:link w:val="CommentText"/>
    <w:autoRedefine/>
    <w:uiPriority w:val="99"/>
    <w:semiHidden/>
    <w:qFormat/>
    <w:locked/>
    <w:rPr>
      <w:rFonts w:cs="Times New Roman"/>
    </w:rPr>
  </w:style>
  <w:style w:type="character" w:customStyle="1" w:styleId="a4">
    <w:name w:val="批注主题 字符"/>
    <w:link w:val="CommentSubject"/>
    <w:autoRedefine/>
    <w:uiPriority w:val="99"/>
    <w:semiHidden/>
    <w:qFormat/>
    <w:locked/>
    <w:rPr>
      <w:rFonts w:cs="Times New Roman"/>
      <w:b/>
      <w:bCs/>
    </w:rPr>
  </w:style>
  <w:style w:type="character" w:customStyle="1" w:styleId="a5">
    <w:name w:val="批注框文本 字符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">
    <w:name w:val="列出段落 Char"/>
    <w:link w:val="1"/>
    <w:autoRedefine/>
    <w:uiPriority w:val="34"/>
    <w:qFormat/>
  </w:style>
  <w:style w:type="character" w:customStyle="1" w:styleId="a6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3">
    <w:name w:val="正文文本缩进 3 字符"/>
    <w:link w:val="BodyTextIndent3"/>
    <w:qFormat/>
    <w:rPr>
      <w:kern w:val="2"/>
      <w:sz w:val="28"/>
    </w:rPr>
  </w:style>
  <w:style w:type="character" w:customStyle="1" w:styleId="3Char1">
    <w:name w:val="正文文本缩进 3 Char1"/>
    <w:uiPriority w:val="99"/>
    <w:semiHidden/>
    <w:qFormat/>
    <w:rPr>
      <w:kern w:val="2"/>
      <w:sz w:val="16"/>
      <w:szCs w:val="16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30">
    <w:name w:val="标题 3 字符"/>
    <w:link w:val="Heading3"/>
    <w:semiHidden/>
    <w:qFormat/>
    <w:rPr>
      <w:b/>
      <w:bCs/>
      <w:kern w:val="2"/>
      <w:sz w:val="32"/>
      <w:szCs w:val="32"/>
    </w:rPr>
  </w:style>
  <w:style w:type="character" w:customStyle="1" w:styleId="Char0">
    <w:name w:val="无间隔 Char"/>
    <w:link w:val="10"/>
    <w:uiPriority w:val="1"/>
    <w:qFormat/>
    <w:rPr>
      <w:rFonts w:ascii="Calibri" w:eastAsia="宋体" w:hAnsi="Calibri" w:cs="黑体"/>
      <w:sz w:val="22"/>
      <w:szCs w:val="22"/>
    </w:rPr>
  </w:style>
  <w:style w:type="paragraph" w:customStyle="1" w:styleId="B1">
    <w:name w:val="首页B1"/>
    <w:basedOn w:val="Normal"/>
    <w:qFormat/>
    <w:pPr>
      <w:numPr>
        <w:ilvl w:val="0"/>
        <w:numId w:val="3"/>
      </w:numPr>
      <w:spacing w:before="120" w:after="120" w:line="288" w:lineRule="auto"/>
    </w:pPr>
    <w:rPr>
      <w:rFonts w:ascii="Times New Roman" w:hAnsi="Times New Roman"/>
      <w:b/>
      <w:sz w:val="28"/>
      <w:szCs w:val="24"/>
    </w:rPr>
  </w:style>
  <w:style w:type="paragraph" w:styleId="NoSpacing">
    <w:name w:val="No Spacing"/>
    <w:qFormat/>
    <w:pPr>
      <w:spacing w:line="360" w:lineRule="auto"/>
      <w:ind w:left="352"/>
      <w:jc w:val="both"/>
    </w:pPr>
    <w:rPr>
      <w:rFonts w:ascii="Calibri" w:eastAsia="宋体" w:hAnsi="Calibri" w:cs="Times New Roman"/>
      <w:sz w:val="22"/>
      <w:szCs w:val="22"/>
      <w:lang w:val="en-US" w:eastAsia="zh-CN" w:bidi="ar-SA"/>
    </w:rPr>
  </w:style>
  <w:style w:type="paragraph" w:customStyle="1" w:styleId="a7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8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E12FFB-1D67-41CC-8022-8826FB7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502</Words>
  <Characters>748</Characters>
  <Application>Microsoft Office Word</Application>
  <DocSecurity>0</DocSecurity>
  <Lines>6</Lines>
  <Paragraphs>1</Paragraphs>
  <ScaleCrop>false</ScaleCrop>
  <Company>PubInfo</Company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Dominique Long</dc:creator>
  <cp:lastModifiedBy>高</cp:lastModifiedBy>
  <cp:revision>127</cp:revision>
  <cp:lastPrinted>2014-08-19T11:49:00Z</cp:lastPrinted>
  <dcterms:created xsi:type="dcterms:W3CDTF">2015-08-17T09:27:00Z</dcterms:created>
  <dcterms:modified xsi:type="dcterms:W3CDTF">2025-11-27T17:07:03Z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4AC145E6E6D44795A1840553EE20EC3E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