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522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695"/>
        <w:gridCol w:w="1811"/>
        <w:gridCol w:w="1772"/>
        <w:gridCol w:w="224"/>
        <w:gridCol w:w="2404"/>
      </w:tblGrid>
      <w:tr>
        <w:tblPrEx>
          <w:tblW w:w="8522" w:type="dxa"/>
          <w:tblInd w:w="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11" w:type="dxa"/>
            <w:gridSpan w:val="2"/>
            <w:vMerge w:val="restart"/>
            <w:vAlign w:val="center"/>
          </w:tcPr>
          <w:p>
            <w:pPr>
              <w:spacing w:before="40" w:after="40"/>
              <w:jc w:val="center"/>
              <w:rPr>
                <w:rFonts w:ascii="仿宋" w:eastAsia="仿宋" w:hAnsi="仿宋" w:cs="仿宋"/>
                <w:sz w:val="24"/>
              </w:rPr>
            </w:pPr>
            <w:bookmarkStart w:id="0" w:name="_GoBack"/>
            <w:bookmarkEnd w:id="0"/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受审部门</w:t>
            </w:r>
          </w:p>
        </w:tc>
        <w:tc>
          <w:tcPr>
            <w:tcW w:w="1811" w:type="dxa"/>
            <w:vMerge w:val="restart"/>
            <w:vAlign w:val="center"/>
          </w:tcPr>
          <w:p>
            <w:pPr>
              <w:spacing w:before="40" w:after="4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人力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部</w:t>
            </w:r>
          </w:p>
        </w:tc>
        <w:tc>
          <w:tcPr>
            <w:tcW w:w="1996" w:type="dxa"/>
            <w:gridSpan w:val="2"/>
          </w:tcPr>
          <w:p>
            <w:pPr>
              <w:spacing w:before="40" w:after="40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审核日期</w:t>
            </w:r>
          </w:p>
        </w:tc>
        <w:tc>
          <w:tcPr>
            <w:tcW w:w="2404" w:type="dxa"/>
          </w:tcPr>
          <w:p>
            <w:pPr>
              <w:spacing w:before="40" w:after="40"/>
              <w:jc w:val="center"/>
              <w:rPr>
                <w:rFonts w:ascii="仿宋" w:eastAsia="仿宋" w:hAnsi="仿宋" w:cs="仿宋" w:hint="default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lang w:eastAsia="zh-CN"/>
              </w:rPr>
              <w:t>202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5</w:t>
            </w:r>
            <w:r>
              <w:rPr>
                <w:rFonts w:ascii="仿宋" w:eastAsia="仿宋" w:hAnsi="仿宋" w:cs="仿宋" w:hint="eastAsia"/>
                <w:sz w:val="24"/>
                <w:lang w:eastAsia="zh-CN"/>
              </w:rPr>
              <w:t>.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11.15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6"/>
        </w:trPr>
        <w:tc>
          <w:tcPr>
            <w:tcW w:w="2311" w:type="dxa"/>
            <w:gridSpan w:val="2"/>
            <w:vMerge/>
          </w:tcPr>
          <w:p>
            <w:pPr>
              <w:spacing w:before="40" w:after="40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1" w:type="dxa"/>
            <w:vMerge/>
          </w:tcPr>
          <w:p>
            <w:pPr>
              <w:spacing w:before="40" w:after="40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6" w:type="dxa"/>
            <w:gridSpan w:val="2"/>
          </w:tcPr>
          <w:p>
            <w:pPr>
              <w:spacing w:before="40" w:after="40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审核员</w:t>
            </w:r>
          </w:p>
        </w:tc>
        <w:tc>
          <w:tcPr>
            <w:tcW w:w="2404" w:type="dxa"/>
          </w:tcPr>
          <w:p>
            <w:pPr>
              <w:spacing w:before="40" w:after="40"/>
              <w:jc w:val="center"/>
              <w:rPr>
                <w:rFonts w:ascii="仿宋" w:eastAsia="仿宋" w:hAnsi="仿宋" w:cs="仿宋" w:hint="default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游天舒</w:t>
            </w: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阎树花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>
            <w:pPr>
              <w:spacing w:before="40" w:after="40"/>
              <w:jc w:val="left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不符合事实描述</w:t>
            </w:r>
          </w:p>
          <w:p>
            <w:pPr>
              <w:spacing w:before="40" w:after="40"/>
              <w:ind w:firstLine="420" w:firstLineChars="20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  <w:lang w:eastAsia="zh-CN"/>
              </w:rPr>
              <w:t>审核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人力</w:t>
            </w:r>
            <w:r>
              <w:rPr>
                <w:rFonts w:ascii="仿宋" w:eastAsia="仿宋" w:hAnsi="仿宋" w:cs="仿宋" w:hint="eastAsia"/>
                <w:sz w:val="24"/>
                <w:lang w:eastAsia="zh-CN"/>
              </w:rPr>
              <w:t>部</w:t>
            </w:r>
            <w:r>
              <w:rPr>
                <w:rFonts w:ascii="仿宋" w:eastAsia="仿宋" w:hAnsi="仿宋" w:cs="仿宋" w:hint="eastAsia"/>
                <w:sz w:val="24"/>
              </w:rPr>
              <w:t>时发现：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缺少运维工具使用培训效果评价表</w:t>
            </w:r>
            <w:r>
              <w:rPr>
                <w:rFonts w:ascii="仿宋" w:eastAsia="仿宋" w:hAnsi="仿宋" w:cs="仿宋" w:hint="eastAsia"/>
                <w:sz w:val="24"/>
              </w:rPr>
              <w:t>。不符合GB/T28827.1-2012标准中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6.2</w:t>
            </w:r>
            <w:r>
              <w:rPr>
                <w:rFonts w:ascii="仿宋" w:eastAsia="仿宋" w:hAnsi="仿宋" w:cs="仿宋" w:hint="eastAsia"/>
                <w:sz w:val="24"/>
              </w:rPr>
              <w:t>中的要求。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>
            <w:pPr>
              <w:spacing w:before="40" w:after="40"/>
              <w:rPr>
                <w:rFonts w:ascii="仿宋" w:eastAsia="仿宋" w:hAnsi="仿宋" w:cs="仿宋"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不符合的处置方案：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（预计完成日期：20</w:t>
            </w:r>
            <w:r>
              <w:rPr>
                <w:rFonts w:ascii="仿宋" w:eastAsia="仿宋" w:hAnsi="仿宋" w:cs="仿宋" w:hint="eastAsia"/>
                <w:iCs/>
                <w:sz w:val="24"/>
                <w:lang w:eastAsia="zh-CN"/>
              </w:rPr>
              <w:t>25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年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11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月</w:t>
            </w:r>
            <w:r>
              <w:rPr>
                <w:rFonts w:ascii="仿宋" w:eastAsia="仿宋" w:hAnsi="仿宋" w:cs="仿宋"/>
                <w:iCs/>
                <w:sz w:val="24"/>
              </w:rPr>
              <w:t>1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5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日）</w:t>
            </w:r>
          </w:p>
          <w:p>
            <w:pPr>
              <w:spacing w:before="40" w:after="40"/>
              <w:rPr>
                <w:rFonts w:ascii="仿宋" w:eastAsia="仿宋" w:hAnsi="仿宋" w:cs="仿宋"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iCs/>
                <w:sz w:val="24"/>
              </w:rPr>
              <w:t>负责人：王海燕</w:t>
            </w:r>
          </w:p>
          <w:p>
            <w:pPr>
              <w:spacing w:before="40" w:after="40"/>
              <w:rPr>
                <w:rFonts w:ascii="仿宋" w:eastAsia="仿宋" w:hAnsi="仿宋" w:cs="仿宋"/>
                <w:color w:val="FF6600"/>
                <w:sz w:val="24"/>
              </w:rPr>
            </w:pPr>
            <w:r>
              <w:rPr>
                <w:rFonts w:ascii="仿宋" w:eastAsia="仿宋" w:hAnsi="仿宋" w:cs="仿宋" w:hint="eastAsia"/>
                <w:color w:val="000000" w:themeColor="text1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  <w:lang w:val="en-US" w:eastAsia="zh-CN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</w:rPr>
              <w:t>组织相关人员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  <w:lang w:val="en-US" w:eastAsia="zh-CN"/>
              </w:rPr>
              <w:t>根据运维工具使用培训的实际情况对效果评价表</w:t>
            </w:r>
            <w:r>
              <w:rPr>
                <w:rFonts w:ascii="仿宋" w:eastAsia="仿宋" w:hAnsi="仿宋" w:cs="仿宋" w:hint="eastAsia"/>
                <w:color w:val="000000" w:themeColor="text1"/>
                <w:sz w:val="24"/>
              </w:rPr>
              <w:t>进行补充完善。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>
            <w:pPr>
              <w:spacing w:before="40" w:after="40"/>
              <w:rPr>
                <w:rFonts w:ascii="仿宋" w:eastAsia="仿宋" w:hAnsi="仿宋" w:cs="仿宋"/>
                <w:i/>
                <w:color w:val="FF660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不符合原因分析</w:t>
            </w:r>
          </w:p>
          <w:p>
            <w:pPr>
              <w:pStyle w:val="ListParagraph"/>
              <w:numPr>
                <w:ilvl w:val="0"/>
                <w:numId w:val="0"/>
              </w:numPr>
              <w:spacing w:before="40" w:after="40"/>
              <w:ind w:firstLine="420" w:leftChars="0" w:firstLineChars="200"/>
              <w:rPr>
                <w:rFonts w:ascii="仿宋" w:eastAsia="仿宋" w:hAnsi="仿宋" w:cs="仿宋" w:hint="default"/>
                <w:color w:val="000000" w:themeColor="text1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color w:val="000000" w:themeColor="text1"/>
                <w:sz w:val="24"/>
                <w:lang w:val="en-US" w:eastAsia="zh-CN"/>
              </w:rPr>
              <w:t>培训完成后，人力部成员虽已安排接收培训的人员完成培训效果评价表，但由于人力部日常工作繁忙，各类文档繁多，导致该效果评价表未被及时整理收纳成册。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7"/>
        </w:trPr>
        <w:tc>
          <w:tcPr>
            <w:tcW w:w="8522" w:type="dxa"/>
            <w:gridSpan w:val="6"/>
          </w:tcPr>
          <w:p>
            <w:pPr>
              <w:spacing w:before="40" w:after="4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对应原因拟采取的防止再发生的纠正措施</w:t>
            </w:r>
            <w:r>
              <w:rPr>
                <w:rFonts w:ascii="仿宋" w:eastAsia="仿宋" w:hAnsi="仿宋" w:cs="仿宋" w:hint="eastAsia"/>
                <w:sz w:val="24"/>
              </w:rPr>
              <w:t>：（预计完成日期：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20</w:t>
            </w:r>
            <w:r>
              <w:rPr>
                <w:rFonts w:ascii="仿宋" w:eastAsia="仿宋" w:hAnsi="仿宋" w:cs="仿宋" w:hint="eastAsia"/>
                <w:iCs/>
                <w:sz w:val="24"/>
                <w:lang w:eastAsia="zh-CN"/>
              </w:rPr>
              <w:t>25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年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11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月</w:t>
            </w:r>
            <w:r>
              <w:rPr>
                <w:rFonts w:ascii="仿宋" w:eastAsia="仿宋" w:hAnsi="仿宋" w:cs="仿宋"/>
                <w:iCs/>
                <w:sz w:val="24"/>
              </w:rPr>
              <w:t>1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5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日</w:t>
            </w:r>
            <w:r>
              <w:rPr>
                <w:rFonts w:ascii="仿宋" w:eastAsia="仿宋" w:hAnsi="仿宋" w:cs="仿宋" w:hint="eastAsia"/>
                <w:sz w:val="24"/>
              </w:rPr>
              <w:t>；负责人：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王海燕</w:t>
            </w:r>
            <w:r>
              <w:rPr>
                <w:rFonts w:ascii="仿宋" w:eastAsia="仿宋" w:hAnsi="仿宋" w:cs="仿宋" w:hint="eastAsia"/>
                <w:sz w:val="24"/>
              </w:rPr>
              <w:t>）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ascii="仿宋" w:eastAsia="仿宋" w:hAnsi="仿宋" w:cs="仿宋" w:hint="eastAsia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对人力部相关人员进行相关制度培训，明确效果评价表，以及其他记录完整保存的重要性；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ascii="仿宋" w:eastAsia="仿宋" w:hAnsi="仿宋" w:cs="仿宋" w:hint="eastAsia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对人力部人员进行扩招，用以减轻工作压力；</w:t>
            </w:r>
          </w:p>
          <w:p>
            <w:pPr>
              <w:numPr>
                <w:ilvl w:val="0"/>
                <w:numId w:val="1"/>
              </w:numPr>
              <w:spacing w:line="276" w:lineRule="auto"/>
              <w:rPr>
                <w:rFonts w:ascii="仿宋" w:eastAsia="仿宋" w:hAnsi="仿宋" w:cs="仿宋" w:hint="default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设立专项检查组，定期对培训相关文档进行检查和存档。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"/>
        </w:trPr>
        <w:tc>
          <w:tcPr>
            <w:tcW w:w="8522" w:type="dxa"/>
            <w:gridSpan w:val="6"/>
          </w:tcPr>
          <w:p>
            <w:pPr>
              <w:spacing w:before="40" w:after="40" w:line="36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受审核方（签字）：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王海燕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              20</w:t>
            </w:r>
            <w:r>
              <w:rPr>
                <w:rFonts w:ascii="仿宋" w:eastAsia="仿宋" w:hAnsi="仿宋" w:cs="仿宋" w:hint="eastAsia"/>
                <w:sz w:val="24"/>
                <w:lang w:eastAsia="zh-CN"/>
              </w:rPr>
              <w:t>25</w:t>
            </w:r>
            <w:r>
              <w:rPr>
                <w:rFonts w:ascii="仿宋" w:eastAsia="仿宋" w:hAnsi="仿宋" w:cs="仿宋" w:hint="eastAsia"/>
                <w:sz w:val="24"/>
              </w:rPr>
              <w:t xml:space="preserve">年 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11</w:t>
            </w:r>
            <w:r>
              <w:rPr>
                <w:rFonts w:ascii="仿宋" w:eastAsia="仿宋" w:hAnsi="仿宋" w:cs="仿宋" w:hint="eastAsia"/>
                <w:sz w:val="24"/>
              </w:rPr>
              <w:t xml:space="preserve"> 月</w:t>
            </w:r>
            <w:r>
              <w:rPr>
                <w:rFonts w:ascii="仿宋" w:eastAsia="仿宋" w:hAnsi="仿宋" w:cs="仿宋"/>
                <w:sz w:val="24"/>
              </w:rPr>
              <w:t>1</w:t>
            </w:r>
            <w:r>
              <w:rPr>
                <w:rFonts w:ascii="仿宋" w:eastAsia="仿宋" w:hAnsi="仿宋" w:cs="仿宋" w:hint="eastAsia"/>
                <w:sz w:val="24"/>
                <w:lang w:val="en-US" w:eastAsia="zh-CN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 xml:space="preserve"> 日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16" w:type="dxa"/>
            <w:vMerge w:val="restart"/>
          </w:tcPr>
          <w:p>
            <w:pPr>
              <w:spacing w:before="40" w:after="40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跟踪</w:t>
            </w:r>
          </w:p>
          <w:p>
            <w:pPr>
              <w:spacing w:before="40" w:after="40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验证</w:t>
            </w:r>
          </w:p>
          <w:p>
            <w:pPr>
              <w:spacing w:before="40" w:after="4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结论</w:t>
            </w:r>
          </w:p>
        </w:tc>
        <w:tc>
          <w:tcPr>
            <w:tcW w:w="5278" w:type="dxa"/>
            <w:gridSpan w:val="3"/>
          </w:tcPr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原因分析是否准确           </w:t>
            </w:r>
            <w:r>
              <w:rPr>
                <w:rFonts w:ascii="Wingdings 2" w:eastAsia="仿宋" w:hAnsi="Wingdings 2" w:cs="仿宋" w:hint="eastAsia"/>
                <w:sz w:val="24"/>
              </w:rPr>
              <w:t>R</w:t>
            </w:r>
            <w:r>
              <w:rPr>
                <w:rFonts w:ascii="仿宋" w:eastAsia="仿宋" w:hAnsi="仿宋" w:cs="仿宋" w:hint="eastAsia"/>
                <w:sz w:val="24"/>
              </w:rPr>
              <w:t>是      □否</w:t>
            </w:r>
          </w:p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</w:p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28" w:type="dxa"/>
            <w:gridSpan w:val="2"/>
            <w:vMerge w:val="restart"/>
          </w:tcPr>
          <w:p>
            <w:pPr>
              <w:spacing w:before="40" w:after="40" w:line="360" w:lineRule="exact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审核员签字</w:t>
            </w:r>
          </w:p>
          <w:p>
            <w:pPr>
              <w:spacing w:line="360" w:lineRule="exact"/>
              <w:ind w:firstLine="1155" w:firstLineChars="550"/>
              <w:rPr>
                <w:rFonts w:ascii="仿宋" w:eastAsia="仿宋" w:hAnsi="仿宋" w:cs="仿宋"/>
                <w:sz w:val="24"/>
              </w:rPr>
            </w:pPr>
          </w:p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</w:p>
          <w:p>
            <w:pPr>
              <w:spacing w:line="360" w:lineRule="exact"/>
              <w:rPr>
                <w:rFonts w:ascii="仿宋" w:eastAsia="仿宋" w:hAnsi="仿宋" w:cs="仿宋" w:hint="default"/>
                <w:sz w:val="24"/>
                <w:lang w:val="en-US"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val="en-US" w:eastAsia="zh-CN"/>
              </w:rPr>
              <w:t>游天舒、阎树花</w:t>
            </w:r>
          </w:p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iCs/>
                <w:sz w:val="24"/>
              </w:rPr>
              <w:t>20</w:t>
            </w:r>
            <w:r>
              <w:rPr>
                <w:rFonts w:ascii="仿宋" w:eastAsia="仿宋" w:hAnsi="仿宋" w:cs="仿宋" w:hint="eastAsia"/>
                <w:iCs/>
                <w:sz w:val="24"/>
                <w:lang w:eastAsia="zh-CN"/>
              </w:rPr>
              <w:t>25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年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11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月</w:t>
            </w:r>
            <w:r>
              <w:rPr>
                <w:rFonts w:ascii="仿宋" w:eastAsia="仿宋" w:hAnsi="仿宋" w:cs="仿宋"/>
                <w:iCs/>
                <w:sz w:val="24"/>
              </w:rPr>
              <w:t>1</w:t>
            </w:r>
            <w:r>
              <w:rPr>
                <w:rFonts w:ascii="仿宋" w:eastAsia="仿宋" w:hAnsi="仿宋" w:cs="仿宋" w:hint="eastAsia"/>
                <w:iCs/>
                <w:sz w:val="24"/>
                <w:lang w:val="en-US" w:eastAsia="zh-CN"/>
              </w:rPr>
              <w:t>5</w:t>
            </w:r>
            <w:r>
              <w:rPr>
                <w:rFonts w:ascii="仿宋" w:eastAsia="仿宋" w:hAnsi="仿宋" w:cs="仿宋" w:hint="eastAsia"/>
                <w:iCs/>
                <w:sz w:val="24"/>
              </w:rPr>
              <w:t>日</w:t>
            </w: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"/>
        </w:trPr>
        <w:tc>
          <w:tcPr>
            <w:tcW w:w="616" w:type="dxa"/>
            <w:vMerge/>
          </w:tcPr>
          <w:p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278" w:type="dxa"/>
            <w:gridSpan w:val="3"/>
          </w:tcPr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处置是否有效               </w:t>
            </w:r>
            <w:r>
              <w:rPr>
                <w:rFonts w:ascii="Wingdings 2" w:eastAsia="仿宋" w:hAnsi="Wingdings 2" w:cs="仿宋" w:hint="eastAsia"/>
                <w:sz w:val="24"/>
              </w:rPr>
              <w:t>R</w:t>
            </w:r>
            <w:r>
              <w:rPr>
                <w:rFonts w:ascii="仿宋" w:eastAsia="仿宋" w:hAnsi="仿宋" w:cs="仿宋" w:hint="eastAsia"/>
                <w:sz w:val="24"/>
              </w:rPr>
              <w:t xml:space="preserve">是      □否  </w:t>
            </w:r>
          </w:p>
          <w:p>
            <w:pPr>
              <w:spacing w:line="360" w:lineRule="exact"/>
              <w:rPr>
                <w:rFonts w:ascii="仿宋" w:eastAsia="仿宋" w:hAnsi="仿宋" w:cs="仿宋"/>
                <w:color w:val="000000" w:themeColor="text1"/>
                <w:sz w:val="24"/>
              </w:rPr>
            </w:pPr>
          </w:p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</w:p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28" w:type="dxa"/>
            <w:gridSpan w:val="2"/>
            <w:vMerge/>
          </w:tcPr>
          <w:p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0"/>
        </w:trPr>
        <w:tc>
          <w:tcPr>
            <w:tcW w:w="616" w:type="dxa"/>
            <w:vMerge/>
          </w:tcPr>
          <w:p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278" w:type="dxa"/>
            <w:gridSpan w:val="3"/>
            <w:vMerge w:val="restart"/>
          </w:tcPr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纠正措施是否有效   </w:t>
            </w:r>
            <w:r>
              <w:rPr>
                <w:rFonts w:ascii="仿宋" w:eastAsia="仿宋" w:hAnsi="仿宋" w:cs="仿宋"/>
                <w:sz w:val="24"/>
              </w:rPr>
              <w:t xml:space="preserve">      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>
              <w:rPr>
                <w:rFonts w:ascii="Wingdings 2" w:eastAsia="仿宋" w:hAnsi="Wingdings 2" w:cs="仿宋" w:hint="eastAsia"/>
                <w:sz w:val="24"/>
              </w:rPr>
              <w:t>R</w:t>
            </w:r>
            <w:r>
              <w:rPr>
                <w:rFonts w:ascii="仿宋" w:eastAsia="仿宋" w:hAnsi="仿宋" w:cs="仿宋" w:hint="eastAsia"/>
                <w:sz w:val="24"/>
              </w:rPr>
              <w:t xml:space="preserve">是    □否        </w:t>
            </w:r>
          </w:p>
        </w:tc>
        <w:tc>
          <w:tcPr>
            <w:tcW w:w="2628" w:type="dxa"/>
            <w:gridSpan w:val="2"/>
            <w:vMerge/>
          </w:tcPr>
          <w:p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>
        <w:tblPrEx>
          <w:tblW w:w="8522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exact" w:val="14"/>
        </w:trPr>
        <w:tc>
          <w:tcPr>
            <w:tcW w:w="616" w:type="dxa"/>
            <w:vMerge/>
          </w:tcPr>
          <w:p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5278" w:type="dxa"/>
            <w:gridSpan w:val="3"/>
            <w:vMerge/>
          </w:tcPr>
          <w:p>
            <w:pPr>
              <w:spacing w:line="360" w:lineRule="exact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28" w:type="dxa"/>
            <w:gridSpan w:val="2"/>
            <w:vMerge/>
          </w:tcPr>
          <w:p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</w:tbl>
    <w:p>
      <w:pPr>
        <w:rPr>
          <w:rFonts w:ascii="仿宋" w:eastAsia="仿宋" w:hAnsi="仿宋" w:cs="仿宋"/>
        </w:rPr>
      </w:pPr>
    </w:p>
    <w:sectPr>
      <w:headerReference w:type="default" r:id="rId4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1" w:color="auto"/>
      </w:pBdr>
      <w:rPr>
        <w:sz w:val="24"/>
      </w:rPr>
    </w:pPr>
    <w:r>
      <w:rPr>
        <w:rFonts w:hint="eastAsia"/>
      </w:rPr>
      <w:t xml:space="preserve">                                   </w:t>
    </w:r>
    <w:r>
      <w:t xml:space="preserve">           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</w:t>
    </w:r>
    <w:r>
      <w:rPr>
        <w:rFonts w:hint="eastAsia"/>
        <w:sz w:val="18"/>
        <w:szCs w:val="18"/>
      </w:rPr>
      <w:t>内部审核不符合项报告</w:t>
    </w:r>
    <w:r>
      <w:rPr>
        <w:rFonts w:hint="eastAsia"/>
      </w:rPr>
      <w:t xml:space="preserve"> </w:t>
    </w:r>
  </w:p>
  <w:p>
    <w:pPr>
      <w:pStyle w:val="Header"/>
      <w:rPr>
        <w:rFonts w:ascii="黑体" w:eastAsia="黑体" w:hAnsi="Cambria"/>
        <w:b/>
        <w:kern w:val="0"/>
        <w:sz w:val="44"/>
        <w:szCs w:val="44"/>
        <w:lang w:val="zh-CN"/>
      </w:rPr>
    </w:pPr>
    <w:r>
      <w:rPr>
        <w:rFonts w:ascii="黑体" w:eastAsia="黑体" w:hAnsi="Cambria" w:hint="eastAsia"/>
        <w:b/>
        <w:kern w:val="0"/>
        <w:sz w:val="44"/>
        <w:szCs w:val="44"/>
        <w:lang w:val="zh-CN"/>
      </w:rPr>
      <w:t>内审不符合项报告</w:t>
    </w:r>
  </w:p>
  <w:p>
    <w:pPr>
      <w:pStyle w:val="Header"/>
    </w:pPr>
    <w:r>
      <w:rPr>
        <w:rFonts w:ascii="黑体" w:hAnsi="宋体" w:hint="eastAsia"/>
        <w:b/>
        <w:caps/>
        <w:sz w:val="28"/>
        <w:szCs w:val="28"/>
      </w:rPr>
      <w:t>文件编号：</w:t>
    </w:r>
    <w:r>
      <w:rPr>
        <w:rFonts w:ascii="黑体" w:hAnsi="宋体" w:hint="eastAsia"/>
        <w:b/>
        <w:bCs/>
        <w:caps/>
        <w:sz w:val="28"/>
        <w:szCs w:val="28"/>
      </w:rPr>
      <w:t>GSGB-ITSS-0</w:t>
    </w:r>
    <w:r>
      <w:rPr>
        <w:rFonts w:ascii="黑体" w:hAnsi="宋体"/>
        <w:b/>
        <w:bCs/>
        <w:caps/>
        <w:sz w:val="28"/>
        <w:szCs w:val="28"/>
      </w:rPr>
      <w:t>7</w:t>
    </w:r>
    <w:r>
      <w:rPr>
        <w:rFonts w:ascii="黑体" w:hAnsi="宋体" w:hint="eastAsia"/>
        <w:b/>
        <w:bCs/>
        <w:caps/>
        <w:sz w:val="28"/>
        <w:szCs w:val="28"/>
      </w:rPr>
      <w:t>-0</w:t>
    </w:r>
    <w:r>
      <w:rPr>
        <w:rFonts w:ascii="黑体" w:hAnsi="宋体"/>
        <w:b/>
        <w:bCs/>
        <w:caps/>
        <w:sz w:val="28"/>
        <w:szCs w:val="28"/>
      </w:rPr>
      <w:t>4</w:t>
    </w:r>
  </w:p>
  <w:p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19F0606"/>
    <w:multiLevelType w:val="singleLevel"/>
    <w:tmpl w:val="519F0606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413</Words>
  <Characters>459</Characters>
  <Application>Microsoft Office Word</Application>
  <DocSecurity>0</DocSecurity>
  <Lines>3</Lines>
  <Paragraphs>1</Paragraphs>
  <ScaleCrop>false</ScaleCrop>
  <Company>*</Company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73</cp:revision>
  <dcterms:created xsi:type="dcterms:W3CDTF">2017-11-05T10:52:00Z</dcterms:created>
  <dcterms:modified xsi:type="dcterms:W3CDTF">2025-11-27T17:10:24Z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8DF0E68A06D34F0B9C6E9A2A239364AD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