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-1263650</wp:posOffset>
            </wp:positionH>
            <wp:positionV relativeFrom="paragraph">
              <wp:posOffset>-1162685</wp:posOffset>
            </wp:positionV>
            <wp:extent cx="8055610" cy="11728450"/>
            <wp:effectExtent l="9525" t="9525" r="12065" b="1587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3442" cy="11740074"/>
                    </a:xfrm>
                    <a:prstGeom prst="rect">
                      <a:avLst/>
                    </a:prstGeom>
                    <a:solidFill>
                      <a:schemeClr val="tx2">
                        <a:lumMod val="40000"/>
                        <a:lumOff val="60000"/>
                        <a:alpha val="44000"/>
                      </a:schemeClr>
                    </a:solidFill>
                    <a:ln>
                      <a:solidFill>
                        <a:schemeClr val="accent1">
                          <a:alpha val="49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rFonts w:hint="eastAsia"/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eastAsia="宋体" w:hint="eastAsia"/>
          <w:b/>
          <w:sz w:val="48"/>
          <w:szCs w:val="48"/>
          <w:lang w:val="en-US" w:eastAsia="zh-CN"/>
        </w:rPr>
      </w:pPr>
      <w:r>
        <w:rPr>
          <w:rFonts w:eastAsia="宋体" w:hint="eastAsia"/>
          <w:b/>
          <w:sz w:val="48"/>
          <w:szCs w:val="48"/>
          <w:lang w:val="en-US" w:eastAsia="zh-CN"/>
        </w:rPr>
        <w:t>内审检查表</w:t>
      </w: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7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7</w:t>
      </w: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60" w:firstLineChars="6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金文莉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60" w:firstLineChars="6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60" w:firstLineChars="6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240" w:beforeLines="100" w:after="240" w:afterLines="100"/>
        <w:jc w:val="both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1542"/>
        <w:gridCol w:w="1542"/>
        <w:gridCol w:w="1542"/>
        <w:gridCol w:w="1671"/>
        <w:gridCol w:w="1671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 w:hint="eastAsia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金文莉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2025.10.15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pStyle w:val="B1"/>
        <w:numPr>
          <w:ilvl w:val="0"/>
          <w:numId w:val="0"/>
        </w:numPr>
        <w:tabs>
          <w:tab w:val="clear" w:pos="360"/>
        </w:tabs>
        <w:spacing w:line="360" w:lineRule="auto"/>
        <w:rPr>
          <w:sz w:val="24"/>
        </w:rPr>
        <w:sectPr>
          <w:headerReference w:type="default" r:id="rId5"/>
          <w:footerReference w:type="default" r:id="rId6"/>
          <w:pgSz w:w="11907" w:h="16840"/>
          <w:pgMar w:top="1134" w:right="1304" w:bottom="1134" w:left="1304" w:header="851" w:footer="992" w:gutter="0"/>
          <w:pgBorders w:offsetFrom="page">
            <w:top w:val="nil"/>
            <w:left w:val="nil"/>
            <w:bottom w:val="nil"/>
            <w:right w:val="nil"/>
          </w:pgBorders>
          <w:pgNumType w:start="1"/>
          <w:cols w:num="1" w:space="720"/>
          <w:docGrid w:linePitch="312" w:charSpace="1118"/>
        </w:sectPr>
      </w:pPr>
    </w:p>
    <w:tbl>
      <w:tblPr>
        <w:tblStyle w:val="TableNormal0"/>
        <w:tblpPr w:leftFromText="180" w:rightFromText="180" w:vertAnchor="text" w:horzAnchor="page" w:tblpX="1201" w:tblpY="182"/>
        <w:tblOverlap w:val="never"/>
        <w:tblW w:w="94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3415"/>
        <w:gridCol w:w="2470"/>
        <w:gridCol w:w="1408"/>
        <w:gridCol w:w="1532"/>
      </w:tblGrid>
      <w:tr>
        <w:tblPrEx>
          <w:tblW w:w="947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/>
          <w:jc w:val="center"/>
        </w:trPr>
        <w:tc>
          <w:tcPr>
            <w:tcW w:w="653" w:type="dxa"/>
            <w:vAlign w:val="bottom"/>
          </w:tcPr>
          <w:p>
            <w:pPr>
              <w:spacing w:before="86" w:line="230" w:lineRule="auto"/>
              <w:ind w:left="21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第5章</w:t>
            </w:r>
          </w:p>
        </w:tc>
        <w:tc>
          <w:tcPr>
            <w:tcW w:w="3415" w:type="dxa"/>
            <w:vAlign w:val="bottom"/>
          </w:tcPr>
          <w:p>
            <w:pPr>
              <w:spacing w:before="111" w:line="183" w:lineRule="auto"/>
              <w:ind w:left="18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受审责任部门：质量部；</w:t>
            </w:r>
          </w:p>
        </w:tc>
        <w:tc>
          <w:tcPr>
            <w:tcW w:w="2470" w:type="dxa"/>
            <w:vAlign w:val="bottom"/>
          </w:tcPr>
          <w:p>
            <w:pPr>
              <w:spacing w:before="86" w:line="230" w:lineRule="auto"/>
              <w:ind w:left="25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审核时间：2024.04.12</w:t>
            </w:r>
          </w:p>
        </w:tc>
        <w:tc>
          <w:tcPr>
            <w:tcW w:w="1408" w:type="dxa"/>
            <w:vAlign w:val="bottom"/>
          </w:tcPr>
          <w:p>
            <w:pPr>
              <w:spacing w:before="111" w:line="183" w:lineRule="auto"/>
              <w:ind w:left="23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访谈人：金文莉</w:t>
            </w:r>
          </w:p>
        </w:tc>
        <w:tc>
          <w:tcPr>
            <w:tcW w:w="1532" w:type="dxa"/>
            <w:vAlign w:val="bottom"/>
          </w:tcPr>
          <w:p>
            <w:pPr>
              <w:spacing w:before="111" w:line="183" w:lineRule="auto"/>
              <w:ind w:left="32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2"/>
                <w:szCs w:val="12"/>
              </w:rPr>
              <w:t>内审员：王海燕、游天舒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  <w:jc w:val="center"/>
        </w:trPr>
        <w:tc>
          <w:tcPr>
            <w:tcW w:w="653" w:type="dxa"/>
            <w:vAlign w:val="bottom"/>
          </w:tcPr>
          <w:p>
            <w:pPr>
              <w:spacing w:before="13" w:line="135" w:lineRule="exact"/>
              <w:ind w:left="119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2"/>
                <w:szCs w:val="12"/>
              </w:rPr>
              <w:t>章条号</w:t>
            </w:r>
          </w:p>
        </w:tc>
        <w:tc>
          <w:tcPr>
            <w:tcW w:w="3415" w:type="dxa"/>
            <w:vAlign w:val="bottom"/>
          </w:tcPr>
          <w:p>
            <w:pPr>
              <w:spacing w:before="14" w:line="134" w:lineRule="exact"/>
              <w:ind w:left="1315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标准要求</w:t>
            </w:r>
          </w:p>
        </w:tc>
        <w:tc>
          <w:tcPr>
            <w:tcW w:w="2470" w:type="dxa"/>
            <w:shd w:val="clear" w:color="auto" w:fill="C0C0C0"/>
            <w:vAlign w:val="bottom"/>
          </w:tcPr>
          <w:p>
            <w:pPr>
              <w:spacing w:before="14" w:line="134" w:lineRule="exact"/>
              <w:ind w:left="767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检查项和内容</w:t>
            </w:r>
          </w:p>
        </w:tc>
        <w:tc>
          <w:tcPr>
            <w:tcW w:w="1408" w:type="dxa"/>
            <w:shd w:val="clear" w:color="auto" w:fill="C0C0C0"/>
            <w:vAlign w:val="bottom"/>
          </w:tcPr>
          <w:p>
            <w:pPr>
              <w:spacing w:before="14" w:line="134" w:lineRule="exact"/>
              <w:ind w:left="407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检查部门</w:t>
            </w:r>
          </w:p>
        </w:tc>
        <w:tc>
          <w:tcPr>
            <w:tcW w:w="1532" w:type="dxa"/>
            <w:shd w:val="clear" w:color="auto" w:fill="C0C0C0"/>
            <w:vAlign w:val="bottom"/>
          </w:tcPr>
          <w:p>
            <w:pPr>
              <w:spacing w:before="14" w:line="134" w:lineRule="exact"/>
              <w:ind w:left="341"/>
              <w:jc w:val="both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12"/>
                <w:szCs w:val="12"/>
              </w:rPr>
              <w:t>检查情况记录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3"/>
          <w:jc w:val="center"/>
        </w:trPr>
        <w:tc>
          <w:tcPr>
            <w:tcW w:w="653" w:type="dxa"/>
            <w:vMerge w:val="restart"/>
            <w:tcBorders>
              <w:bottom w:val="nil"/>
            </w:tcBorders>
            <w:vAlign w:val="bottom"/>
          </w:tcPr>
          <w:p>
            <w:pPr>
              <w:pStyle w:val="TableText"/>
              <w:spacing w:line="260" w:lineRule="auto"/>
              <w:jc w:val="both"/>
            </w:pPr>
          </w:p>
          <w:p>
            <w:pPr>
              <w:pStyle w:val="TableText"/>
              <w:spacing w:line="260" w:lineRule="auto"/>
              <w:jc w:val="both"/>
            </w:pPr>
          </w:p>
          <w:p>
            <w:pPr>
              <w:pStyle w:val="TableText"/>
              <w:spacing w:line="260" w:lineRule="auto"/>
              <w:jc w:val="both"/>
            </w:pPr>
          </w:p>
          <w:p>
            <w:pPr>
              <w:pStyle w:val="TableText"/>
              <w:spacing w:line="261" w:lineRule="auto"/>
              <w:jc w:val="both"/>
            </w:pPr>
          </w:p>
          <w:p>
            <w:pPr>
              <w:pStyle w:val="TableText"/>
              <w:spacing w:line="261" w:lineRule="auto"/>
              <w:jc w:val="both"/>
            </w:pPr>
          </w:p>
          <w:p>
            <w:pPr>
              <w:spacing w:before="43" w:line="241" w:lineRule="auto"/>
              <w:ind w:left="10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>5.2 策划</w:t>
            </w:r>
          </w:p>
        </w:tc>
        <w:tc>
          <w:tcPr>
            <w:tcW w:w="3415" w:type="dxa"/>
            <w:vAlign w:val="bottom"/>
          </w:tcPr>
          <w:p>
            <w:pPr>
              <w:spacing w:before="62" w:line="221" w:lineRule="auto"/>
              <w:ind w:left="16" w:right="8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a) 制定服务目录的管理流程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，包括服务目录管理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的相关角色和职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，明确服务目录管理流程与其他流程的关系</w:t>
            </w:r>
            <w:r>
              <w:rPr>
                <w:rFonts w:ascii="微软雅黑" w:eastAsia="微软雅黑" w:hAnsi="微软雅黑" w:cs="微软雅黑"/>
                <w:spacing w:val="-1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，如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>SLA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等；</w:t>
            </w:r>
            <w:r>
              <w:rPr>
                <w:rFonts w:ascii="微软雅黑" w:eastAsia="微软雅黑" w:hAnsi="微软雅黑" w:cs="微软雅黑"/>
                <w:spacing w:val="18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b) 服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务目录应包括服务列表</w:t>
            </w:r>
            <w:r>
              <w:rPr>
                <w:rFonts w:ascii="微软雅黑" w:eastAsia="微软雅黑" w:hAnsi="微软雅黑" w:cs="微软雅黑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，列表层次结构需符合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>GB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/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T 29264-2012的要求；</w:t>
            </w:r>
            <w:r>
              <w:rPr>
                <w:rFonts w:ascii="微软雅黑" w:eastAsia="微软雅黑" w:hAnsi="微软雅黑" w:cs="微软雅黑"/>
                <w:spacing w:val="3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c) 服务目录应包括服务产品的详细描述内容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，如服务名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称、服务简介、服务目标</w:t>
            </w:r>
            <w:r>
              <w:rPr>
                <w:rFonts w:ascii="微软雅黑" w:eastAsia="微软雅黑" w:hAnsi="微软雅黑" w:cs="微软雅黑"/>
                <w:spacing w:val="-9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，以及服务对象、服务内容、服务频度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、服务时间、交付方式、交付成果等；</w:t>
            </w:r>
            <w:r>
              <w:rPr>
                <w:rFonts w:ascii="微软雅黑" w:eastAsia="微软雅黑" w:hAnsi="微软雅黑" w:cs="微软雅黑"/>
                <w:spacing w:val="25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d) 建立起服务目录与运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维服务业务的关联关系。</w:t>
            </w:r>
          </w:p>
        </w:tc>
        <w:tc>
          <w:tcPr>
            <w:tcW w:w="2470" w:type="dxa"/>
            <w:vAlign w:val="bottom"/>
          </w:tcPr>
          <w:p>
            <w:pPr>
              <w:pStyle w:val="TableText"/>
              <w:spacing w:line="272" w:lineRule="auto"/>
              <w:jc w:val="both"/>
            </w:pPr>
          </w:p>
          <w:p>
            <w:pPr>
              <w:spacing w:before="43" w:line="226" w:lineRule="auto"/>
              <w:ind w:left="20" w:right="28" w:firstLine="3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：公司运维服务团队服务目录、服务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列表、服务详述及与服务目录相对应的运维合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>同。</w:t>
            </w:r>
          </w:p>
        </w:tc>
        <w:tc>
          <w:tcPr>
            <w:tcW w:w="1408" w:type="dxa"/>
            <w:vAlign w:val="bottom"/>
          </w:tcPr>
          <w:p>
            <w:pPr>
              <w:pStyle w:val="TableText"/>
              <w:spacing w:line="253" w:lineRule="auto"/>
              <w:jc w:val="both"/>
            </w:pPr>
          </w:p>
          <w:p>
            <w:pPr>
              <w:pStyle w:val="TableText"/>
              <w:spacing w:line="253" w:lineRule="auto"/>
              <w:jc w:val="both"/>
            </w:pPr>
          </w:p>
          <w:p>
            <w:pPr>
              <w:spacing w:before="43" w:line="194" w:lineRule="auto"/>
              <w:ind w:left="2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管理层、质量部、运维部</w:t>
            </w:r>
          </w:p>
        </w:tc>
        <w:tc>
          <w:tcPr>
            <w:tcW w:w="1532" w:type="dxa"/>
            <w:vAlign w:val="bottom"/>
          </w:tcPr>
          <w:p>
            <w:pPr>
              <w:pStyle w:val="TableText"/>
              <w:spacing w:line="253" w:lineRule="auto"/>
              <w:jc w:val="both"/>
            </w:pPr>
          </w:p>
          <w:p>
            <w:pPr>
              <w:pStyle w:val="TableText"/>
              <w:spacing w:line="253" w:lineRule="auto"/>
              <w:jc w:val="both"/>
            </w:pPr>
          </w:p>
          <w:p>
            <w:pPr>
              <w:spacing w:before="43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80" w:line="234" w:lineRule="auto"/>
              <w:ind w:left="16" w:right="10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a) 运维服务团队相对独立</w:t>
            </w:r>
            <w:r>
              <w:rPr>
                <w:rFonts w:ascii="微软雅黑" w:eastAsia="微软雅黑" w:hAnsi="微软雅黑" w:cs="微软雅黑"/>
                <w:spacing w:val="-1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，并建立运维管理制度；</w:t>
            </w:r>
            <w:r>
              <w:rPr>
                <w:rFonts w:ascii="微软雅黑" w:eastAsia="微软雅黑" w:hAnsi="微软雅黑" w:cs="微软雅黑"/>
                <w:spacing w:val="26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b) 服务目录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有实施保障措施。</w:t>
            </w:r>
          </w:p>
        </w:tc>
        <w:tc>
          <w:tcPr>
            <w:tcW w:w="2470" w:type="dxa"/>
            <w:vAlign w:val="bottom"/>
          </w:tcPr>
          <w:p>
            <w:pPr>
              <w:spacing w:before="177" w:line="195" w:lineRule="auto"/>
              <w:ind w:left="56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：公司组织结构图及部门职责说明</w:t>
            </w:r>
          </w:p>
        </w:tc>
        <w:tc>
          <w:tcPr>
            <w:tcW w:w="1408" w:type="dxa"/>
            <w:vAlign w:val="bottom"/>
          </w:tcPr>
          <w:p>
            <w:pPr>
              <w:spacing w:before="177" w:line="194" w:lineRule="auto"/>
              <w:ind w:left="2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管理层、质量部、运维部</w:t>
            </w:r>
          </w:p>
        </w:tc>
        <w:tc>
          <w:tcPr>
            <w:tcW w:w="1532" w:type="dxa"/>
            <w:vAlign w:val="bottom"/>
          </w:tcPr>
          <w:p>
            <w:pPr>
              <w:spacing w:before="177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23" w:line="222" w:lineRule="auto"/>
              <w:ind w:left="16" w:right="42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a) 组织应对组织级运维服务能力管理进行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策划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，围绕人员、资源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、技术和过程四要素进行考虑</w:t>
            </w:r>
            <w:r>
              <w:rPr>
                <w:rFonts w:ascii="微软雅黑" w:eastAsia="微软雅黑" w:hAnsi="微软雅黑" w:cs="微软雅黑"/>
                <w:spacing w:val="-4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，形成组织级运维服务能力管理计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划；</w:t>
            </w:r>
            <w:r>
              <w:rPr>
                <w:rFonts w:ascii="微软雅黑" w:eastAsia="微软雅黑" w:hAnsi="微软雅黑" w:cs="微软雅黑"/>
                <w:spacing w:val="19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b) 组织应建立与能力策划相适应的能力指标体系；</w:t>
            </w:r>
            <w:r>
              <w:rPr>
                <w:rFonts w:ascii="微软雅黑" w:eastAsia="微软雅黑" w:hAnsi="微软雅黑" w:cs="微软雅黑"/>
                <w:spacing w:val="15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c) 建立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能力管理计划和能力指标体系的考核方法及考核准则。</w:t>
            </w:r>
          </w:p>
        </w:tc>
        <w:tc>
          <w:tcPr>
            <w:tcW w:w="2470" w:type="dxa"/>
            <w:vAlign w:val="bottom"/>
          </w:tcPr>
          <w:p>
            <w:pPr>
              <w:spacing w:before="122" w:line="215" w:lineRule="auto"/>
              <w:ind w:left="20" w:right="28" w:firstLine="36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：公司运维服务能力管理计划和运维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服务团队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>KPI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指标体系；各个体系的建立完善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程度</w:t>
            </w:r>
          </w:p>
        </w:tc>
        <w:tc>
          <w:tcPr>
            <w:tcW w:w="1408" w:type="dxa"/>
            <w:vAlign w:val="bottom"/>
          </w:tcPr>
          <w:p>
            <w:pPr>
              <w:spacing w:before="279" w:line="194" w:lineRule="auto"/>
              <w:ind w:left="2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管理层、质量部、</w:t>
            </w:r>
            <w:r>
              <w:rPr>
                <w:rFonts w:ascii="微软雅黑" w:eastAsia="微软雅黑" w:hAnsi="微软雅黑" w:cs="微软雅黑" w:hint="eastAsia"/>
                <w:spacing w:val="7"/>
                <w:sz w:val="10"/>
                <w:szCs w:val="10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部</w:t>
            </w:r>
          </w:p>
        </w:tc>
        <w:tc>
          <w:tcPr>
            <w:tcW w:w="1532" w:type="dxa"/>
            <w:vAlign w:val="bottom"/>
          </w:tcPr>
          <w:p>
            <w:pPr>
              <w:spacing w:before="279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/>
          <w:jc w:val="center"/>
        </w:trPr>
        <w:tc>
          <w:tcPr>
            <w:tcW w:w="653" w:type="dxa"/>
            <w:vMerge/>
            <w:tcBorders>
              <w:top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8" w:line="214" w:lineRule="auto"/>
              <w:ind w:left="16" w:right="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a) 建立内部审核评估机制；</w:t>
            </w:r>
            <w:r>
              <w:rPr>
                <w:rFonts w:ascii="微软雅黑" w:eastAsia="微软雅黑" w:hAnsi="微软雅黑" w:cs="微软雅黑"/>
                <w:spacing w:val="25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b) 策划内部审核评估</w:t>
            </w:r>
            <w:r>
              <w:rPr>
                <w:rFonts w:ascii="微软雅黑" w:eastAsia="微软雅黑" w:hAnsi="微软雅黑" w:cs="微软雅黑"/>
                <w:spacing w:val="-1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，明确审核评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估团队及审核周期；</w:t>
            </w:r>
            <w:r>
              <w:rPr>
                <w:rFonts w:ascii="微软雅黑" w:eastAsia="微软雅黑" w:hAnsi="微软雅黑" w:cs="微软雅黑"/>
                <w:spacing w:val="15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c)</w:t>
            </w:r>
            <w:r>
              <w:rPr>
                <w:rFonts w:ascii="微软雅黑" w:eastAsia="微软雅黑" w:hAnsi="微软雅黑" w:cs="微软雅黑"/>
                <w:spacing w:val="13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内部审核评估计划应覆盖运维业务相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关部门及项目层。</w:t>
            </w:r>
          </w:p>
        </w:tc>
        <w:tc>
          <w:tcPr>
            <w:tcW w:w="2470" w:type="dxa"/>
            <w:vAlign w:val="bottom"/>
          </w:tcPr>
          <w:p>
            <w:pPr>
              <w:spacing w:before="106" w:line="228" w:lineRule="auto"/>
              <w:ind w:left="21" w:right="6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-4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：运维服务质量管理制度和内部审核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管理制度、内审计划、内审报告</w:t>
            </w:r>
          </w:p>
        </w:tc>
        <w:tc>
          <w:tcPr>
            <w:tcW w:w="1408" w:type="dxa"/>
            <w:vAlign w:val="bottom"/>
          </w:tcPr>
          <w:p>
            <w:pPr>
              <w:spacing w:before="184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184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/>
          <w:jc w:val="center"/>
        </w:trPr>
        <w:tc>
          <w:tcPr>
            <w:tcW w:w="653" w:type="dxa"/>
            <w:vMerge w:val="restart"/>
            <w:tcBorders>
              <w:bottom w:val="nil"/>
            </w:tcBorders>
            <w:vAlign w:val="bottom"/>
          </w:tcPr>
          <w:p>
            <w:pPr>
              <w:pStyle w:val="TableText"/>
              <w:spacing w:line="297" w:lineRule="auto"/>
              <w:jc w:val="both"/>
            </w:pPr>
          </w:p>
          <w:p>
            <w:pPr>
              <w:pStyle w:val="TableText"/>
              <w:spacing w:line="297" w:lineRule="auto"/>
              <w:jc w:val="both"/>
            </w:pPr>
          </w:p>
          <w:p>
            <w:pPr>
              <w:pStyle w:val="TableText"/>
              <w:spacing w:line="297" w:lineRule="auto"/>
              <w:jc w:val="both"/>
            </w:pPr>
          </w:p>
          <w:p>
            <w:pPr>
              <w:spacing w:before="43"/>
              <w:ind w:left="10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>5.3 实施</w:t>
            </w:r>
          </w:p>
        </w:tc>
        <w:tc>
          <w:tcPr>
            <w:tcW w:w="3415" w:type="dxa"/>
            <w:vAlign w:val="bottom"/>
          </w:tcPr>
          <w:p>
            <w:pPr>
              <w:spacing w:before="2" w:line="200" w:lineRule="auto"/>
              <w:ind w:left="16" w:right="8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a) 实施计划/方案应覆盖四要素</w:t>
            </w:r>
            <w:r>
              <w:rPr>
                <w:rFonts w:ascii="微软雅黑" w:eastAsia="微软雅黑" w:hAnsi="微软雅黑" w:cs="微软雅黑"/>
                <w:spacing w:val="-9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，包括具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体的任务、责任人、</w:t>
            </w:r>
            <w:r>
              <w:rPr>
                <w:rFonts w:ascii="微软雅黑" w:eastAsia="微软雅黑" w:hAnsi="微软雅黑" w:cs="微软雅黑"/>
                <w:spacing w:val="-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日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程安排以及预期的目标或结果；</w:t>
            </w:r>
            <w:r>
              <w:rPr>
                <w:rFonts w:ascii="微软雅黑" w:eastAsia="微软雅黑" w:hAnsi="微软雅黑" w:cs="微软雅黑"/>
                <w:spacing w:val="26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b) 管理实施记录以验证实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施过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程与实施计划的一致性。</w:t>
            </w:r>
          </w:p>
        </w:tc>
        <w:tc>
          <w:tcPr>
            <w:tcW w:w="2470" w:type="dxa"/>
            <w:vAlign w:val="bottom"/>
          </w:tcPr>
          <w:p>
            <w:pPr>
              <w:spacing w:before="88" w:line="228" w:lineRule="auto"/>
              <w:ind w:left="21" w:right="5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：资源年度实施计划、过程年度实施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计划、人员年度实施计划、技术年度实施计划</w:t>
            </w:r>
          </w:p>
        </w:tc>
        <w:tc>
          <w:tcPr>
            <w:tcW w:w="1408" w:type="dxa"/>
            <w:vAlign w:val="bottom"/>
          </w:tcPr>
          <w:p>
            <w:pPr>
              <w:spacing w:before="167" w:line="194" w:lineRule="auto"/>
              <w:ind w:left="2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运维部、</w:t>
            </w:r>
            <w:r>
              <w:rPr>
                <w:rFonts w:ascii="微软雅黑" w:eastAsia="微软雅黑" w:hAnsi="微软雅黑" w:cs="微软雅黑" w:hint="eastAsia"/>
                <w:spacing w:val="7"/>
                <w:sz w:val="10"/>
                <w:szCs w:val="10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部、质量部</w:t>
            </w:r>
          </w:p>
        </w:tc>
        <w:tc>
          <w:tcPr>
            <w:tcW w:w="1532" w:type="dxa"/>
            <w:vAlign w:val="bottom"/>
          </w:tcPr>
          <w:p>
            <w:pPr>
              <w:spacing w:before="167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145" w:line="227" w:lineRule="auto"/>
              <w:ind w:left="17" w:right="34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a) 识别与需方沟通的干系人；</w:t>
            </w:r>
            <w:r>
              <w:rPr>
                <w:rFonts w:ascii="微软雅黑" w:eastAsia="微软雅黑" w:hAnsi="微软雅黑" w:cs="微软雅黑"/>
                <w:spacing w:val="25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b) 建立与需方有效的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沟通渠道，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如定期访谈、邮件等；</w:t>
            </w:r>
            <w:r>
              <w:rPr>
                <w:rFonts w:ascii="微软雅黑" w:eastAsia="微软雅黑" w:hAnsi="微软雅黑" w:cs="微软雅黑"/>
                <w:spacing w:val="30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c) 建立组织级与需方的沟通制度。</w:t>
            </w:r>
          </w:p>
        </w:tc>
        <w:tc>
          <w:tcPr>
            <w:tcW w:w="2470" w:type="dxa"/>
            <w:vAlign w:val="bottom"/>
          </w:tcPr>
          <w:p>
            <w:pPr>
              <w:spacing w:before="165" w:line="228" w:lineRule="auto"/>
              <w:ind w:left="20" w:right="59" w:firstLine="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：沟通管理制度、沟通记录；检查管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理制度及记录文件是否存在不合理及遗漏项。</w:t>
            </w:r>
          </w:p>
        </w:tc>
        <w:tc>
          <w:tcPr>
            <w:tcW w:w="1408" w:type="dxa"/>
            <w:vAlign w:val="bottom"/>
          </w:tcPr>
          <w:p>
            <w:pPr>
              <w:spacing w:before="242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242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160" w:line="228" w:lineRule="auto"/>
              <w:ind w:left="17" w:right="59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按照服务能力管理实施计划进行实施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，做好过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程监督考核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，重点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关注运维服务能力管理计划落实的相关记录。</w:t>
            </w:r>
          </w:p>
        </w:tc>
        <w:tc>
          <w:tcPr>
            <w:tcW w:w="2470" w:type="dxa"/>
            <w:vAlign w:val="bottom"/>
          </w:tcPr>
          <w:p>
            <w:pPr>
              <w:spacing w:before="160" w:line="230" w:lineRule="auto"/>
              <w:ind w:left="21" w:right="5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：运维服务能力管理计划落实的相关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记录</w:t>
            </w:r>
          </w:p>
        </w:tc>
        <w:tc>
          <w:tcPr>
            <w:tcW w:w="1408" w:type="dxa"/>
            <w:vAlign w:val="bottom"/>
          </w:tcPr>
          <w:p>
            <w:pPr>
              <w:spacing w:before="161" w:line="228" w:lineRule="auto"/>
              <w:ind w:left="27" w:right="62" w:hanging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运维部、研发部、质量部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、</w:t>
            </w:r>
            <w:r>
              <w:rPr>
                <w:rFonts w:ascii="微软雅黑" w:eastAsia="微软雅黑" w:hAnsi="微软雅黑" w:cs="微软雅黑" w:hint="eastAsia"/>
                <w:spacing w:val="6"/>
                <w:sz w:val="10"/>
                <w:szCs w:val="10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部</w:t>
            </w:r>
          </w:p>
        </w:tc>
        <w:tc>
          <w:tcPr>
            <w:tcW w:w="1532" w:type="dxa"/>
            <w:vAlign w:val="bottom"/>
          </w:tcPr>
          <w:p>
            <w:pPr>
              <w:spacing w:before="238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/>
          <w:jc w:val="center"/>
        </w:trPr>
        <w:tc>
          <w:tcPr>
            <w:tcW w:w="653" w:type="dxa"/>
            <w:vMerge/>
            <w:tcBorders>
              <w:top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40" w:line="231" w:lineRule="auto"/>
              <w:ind w:left="21" w:right="10" w:hanging="1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a) 能力管理过程中的交付物满足能力质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量要求；</w:t>
            </w:r>
            <w:r>
              <w:rPr>
                <w:rFonts w:ascii="微软雅黑" w:eastAsia="微软雅黑" w:hAnsi="微软雅黑" w:cs="微软雅黑"/>
                <w:spacing w:val="25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b) 服务过程中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的交付物满足服务质量要求。</w:t>
            </w:r>
          </w:p>
        </w:tc>
        <w:tc>
          <w:tcPr>
            <w:tcW w:w="2470" w:type="dxa"/>
            <w:vAlign w:val="bottom"/>
          </w:tcPr>
          <w:p>
            <w:pPr>
              <w:spacing w:before="60" w:line="217" w:lineRule="auto"/>
              <w:ind w:left="21" w:right="83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5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-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5"/>
                <w:sz w:val="10"/>
                <w:szCs w:val="10"/>
              </w:rPr>
              <w:t>：客户满意度报告、服务质量报告；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并适当抽查实际抽查客户进行电话回访</w:t>
            </w:r>
          </w:p>
        </w:tc>
        <w:tc>
          <w:tcPr>
            <w:tcW w:w="1408" w:type="dxa"/>
            <w:vAlign w:val="bottom"/>
          </w:tcPr>
          <w:p>
            <w:pPr>
              <w:spacing w:before="138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138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/>
          <w:jc w:val="center"/>
        </w:trPr>
        <w:tc>
          <w:tcPr>
            <w:tcW w:w="653" w:type="dxa"/>
            <w:vMerge w:val="restart"/>
            <w:tcBorders>
              <w:bottom w:val="nil"/>
            </w:tcBorders>
            <w:vAlign w:val="bottom"/>
          </w:tcPr>
          <w:p>
            <w:pPr>
              <w:pStyle w:val="TableText"/>
              <w:spacing w:line="336" w:lineRule="auto"/>
              <w:jc w:val="both"/>
            </w:pPr>
          </w:p>
          <w:p>
            <w:pPr>
              <w:pStyle w:val="TableText"/>
              <w:spacing w:line="337" w:lineRule="auto"/>
              <w:jc w:val="both"/>
            </w:pPr>
          </w:p>
          <w:p>
            <w:pPr>
              <w:spacing w:before="43" w:line="241" w:lineRule="auto"/>
              <w:ind w:left="10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>5.4 检查</w:t>
            </w:r>
          </w:p>
        </w:tc>
        <w:tc>
          <w:tcPr>
            <w:tcW w:w="3415" w:type="dxa"/>
            <w:vAlign w:val="bottom"/>
          </w:tcPr>
          <w:p>
            <w:pPr>
              <w:spacing w:before="36" w:line="224" w:lineRule="auto"/>
              <w:ind w:left="17" w:right="8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a) 组织定期评审</w:t>
            </w:r>
            <w:r>
              <w:rPr>
                <w:rFonts w:ascii="微软雅黑" w:eastAsia="微软雅黑" w:hAnsi="微软雅黑" w:cs="微软雅黑"/>
                <w:spacing w:val="-9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，并保存评审记录</w:t>
            </w:r>
            <w:r>
              <w:rPr>
                <w:rFonts w:ascii="微软雅黑" w:eastAsia="微软雅黑" w:hAnsi="微软雅黑" w:cs="微软雅黑"/>
                <w:spacing w:val="-10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，如评审检查表、服务过程及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管理体系评审记录、内审记录等；</w:t>
            </w:r>
            <w:r>
              <w:rPr>
                <w:rFonts w:ascii="微软雅黑" w:eastAsia="微软雅黑" w:hAnsi="微软雅黑" w:cs="微软雅黑"/>
                <w:spacing w:val="26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b) 依据评审结果形成评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审报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告；</w:t>
            </w:r>
            <w:r>
              <w:rPr>
                <w:rFonts w:ascii="微软雅黑" w:eastAsia="微软雅黑" w:hAnsi="微软雅黑" w:cs="微软雅黑"/>
                <w:spacing w:val="14"/>
                <w:w w:val="10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c) 评审应覆盖全部运维服务业务。</w:t>
            </w:r>
          </w:p>
        </w:tc>
        <w:tc>
          <w:tcPr>
            <w:tcW w:w="2470" w:type="dxa"/>
            <w:vAlign w:val="bottom"/>
          </w:tcPr>
          <w:p>
            <w:pPr>
              <w:spacing w:before="211" w:line="195" w:lineRule="auto"/>
              <w:ind w:left="2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-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：管理评审制度、管理评审报告</w:t>
            </w:r>
          </w:p>
        </w:tc>
        <w:tc>
          <w:tcPr>
            <w:tcW w:w="1408" w:type="dxa"/>
            <w:vAlign w:val="bottom"/>
          </w:tcPr>
          <w:p>
            <w:pPr>
              <w:spacing w:before="212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212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63" w:line="224" w:lineRule="auto"/>
              <w:ind w:left="16" w:right="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a) 调查需方满意度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，检查运维服务能力管理计划的实施效果；</w:t>
            </w:r>
            <w:r>
              <w:rPr>
                <w:rFonts w:ascii="微软雅黑" w:eastAsia="微软雅黑" w:hAnsi="微软雅黑" w:cs="微软雅黑"/>
                <w:spacing w:val="2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5"/>
                <w:sz w:val="10"/>
                <w:szCs w:val="10"/>
              </w:rPr>
              <w:t>b)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制定客户满意度管理制度；</w:t>
            </w:r>
            <w:r>
              <w:rPr>
                <w:rFonts w:ascii="微软雅黑" w:eastAsia="微软雅黑" w:hAnsi="微软雅黑" w:cs="微软雅黑"/>
                <w:spacing w:val="19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c) 跟踪监督运维服务能力管理计划及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实施计划执行情况</w:t>
            </w:r>
            <w:r>
              <w:rPr>
                <w:rFonts w:ascii="微软雅黑" w:eastAsia="微软雅黑" w:hAnsi="微软雅黑" w:cs="微软雅黑"/>
                <w:spacing w:val="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，并保存跟踪监督记录及效果反馈；</w:t>
            </w:r>
            <w:r>
              <w:rPr>
                <w:rFonts w:ascii="微软雅黑" w:eastAsia="微软雅黑" w:hAnsi="微软雅黑" w:cs="微软雅黑"/>
                <w:spacing w:val="24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d) 满意度调查结果形成相关报告</w:t>
            </w:r>
            <w:r>
              <w:rPr>
                <w:rFonts w:ascii="微软雅黑" w:eastAsia="微软雅黑" w:hAnsi="微软雅黑" w:cs="微软雅黑"/>
                <w:spacing w:val="-1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，内容应包括满意度指标、计算方法、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分析结果等。</w:t>
            </w:r>
          </w:p>
        </w:tc>
        <w:tc>
          <w:tcPr>
            <w:tcW w:w="2470" w:type="dxa"/>
            <w:vAlign w:val="bottom"/>
          </w:tcPr>
          <w:p>
            <w:pPr>
              <w:pStyle w:val="TableText"/>
              <w:spacing w:line="273" w:lineRule="auto"/>
              <w:jc w:val="both"/>
            </w:pPr>
          </w:p>
          <w:p>
            <w:pPr>
              <w:spacing w:before="43" w:line="229" w:lineRule="auto"/>
              <w:ind w:left="21" w:right="5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：客户满意度调查制度、客户满意度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报告</w:t>
            </w:r>
          </w:p>
        </w:tc>
        <w:tc>
          <w:tcPr>
            <w:tcW w:w="1408" w:type="dxa"/>
            <w:vAlign w:val="bottom"/>
          </w:tcPr>
          <w:p>
            <w:pPr>
              <w:pStyle w:val="TableText"/>
              <w:spacing w:line="350" w:lineRule="auto"/>
              <w:jc w:val="both"/>
            </w:pPr>
          </w:p>
          <w:p>
            <w:pPr>
              <w:spacing w:before="43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pStyle w:val="TableText"/>
              <w:spacing w:line="350" w:lineRule="auto"/>
              <w:jc w:val="both"/>
            </w:pPr>
          </w:p>
          <w:p>
            <w:pPr>
              <w:spacing w:before="43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  <w:jc w:val="center"/>
        </w:trPr>
        <w:tc>
          <w:tcPr>
            <w:tcW w:w="653" w:type="dxa"/>
            <w:vMerge/>
            <w:tcBorders>
              <w:top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19" w:line="112" w:lineRule="exact"/>
              <w:ind w:left="17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检查能力指标体系中相关指标的落实情况</w:t>
            </w:r>
            <w:r>
              <w:rPr>
                <w:rFonts w:ascii="微软雅黑" w:eastAsia="微软雅黑" w:hAnsi="微软雅黑" w:cs="微软雅黑"/>
                <w:spacing w:val="-1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，并保存记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录。</w:t>
            </w:r>
          </w:p>
        </w:tc>
        <w:tc>
          <w:tcPr>
            <w:tcW w:w="2470" w:type="dxa"/>
            <w:vAlign w:val="bottom"/>
          </w:tcPr>
          <w:p>
            <w:pPr>
              <w:spacing w:line="183" w:lineRule="auto"/>
              <w:ind w:left="2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-7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：年度计划执行记录、</w:t>
            </w:r>
            <w:r>
              <w:rPr>
                <w:rFonts w:ascii="微软雅黑" w:eastAsia="微软雅黑" w:hAnsi="微软雅黑" w:cs="微软雅黑"/>
                <w:sz w:val="10"/>
                <w:szCs w:val="10"/>
              </w:rPr>
              <w:t>KPI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达成记录</w:t>
            </w:r>
          </w:p>
        </w:tc>
        <w:tc>
          <w:tcPr>
            <w:tcW w:w="1408" w:type="dxa"/>
            <w:vAlign w:val="bottom"/>
          </w:tcPr>
          <w:p>
            <w:pPr>
              <w:spacing w:before="19" w:line="112" w:lineRule="exact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20" w:line="111" w:lineRule="exact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/>
          <w:jc w:val="center"/>
        </w:trPr>
        <w:tc>
          <w:tcPr>
            <w:tcW w:w="653" w:type="dxa"/>
            <w:vMerge w:val="restart"/>
            <w:tcBorders>
              <w:bottom w:val="nil"/>
            </w:tcBorders>
            <w:vAlign w:val="bottom"/>
          </w:tcPr>
          <w:p>
            <w:pPr>
              <w:pStyle w:val="TableText"/>
              <w:spacing w:line="307" w:lineRule="auto"/>
              <w:jc w:val="both"/>
            </w:pPr>
          </w:p>
          <w:p>
            <w:pPr>
              <w:pStyle w:val="TableText"/>
              <w:spacing w:line="307" w:lineRule="auto"/>
              <w:jc w:val="both"/>
            </w:pPr>
          </w:p>
          <w:p>
            <w:pPr>
              <w:pStyle w:val="TableText"/>
              <w:spacing w:line="307" w:lineRule="auto"/>
              <w:jc w:val="both"/>
            </w:pPr>
          </w:p>
          <w:p>
            <w:pPr>
              <w:spacing w:before="42" w:line="241" w:lineRule="auto"/>
              <w:ind w:left="10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2"/>
                <w:sz w:val="10"/>
                <w:szCs w:val="10"/>
              </w:rPr>
              <w:t>5.5</w:t>
            </w:r>
            <w:r>
              <w:rPr>
                <w:rFonts w:ascii="微软雅黑" w:eastAsia="微软雅黑" w:hAnsi="微软雅黑" w:cs="微软雅黑"/>
                <w:spacing w:val="9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0"/>
                <w:szCs w:val="10"/>
              </w:rPr>
              <w:t>改进</w:t>
            </w:r>
          </w:p>
        </w:tc>
        <w:tc>
          <w:tcPr>
            <w:tcW w:w="3415" w:type="dxa"/>
            <w:vAlign w:val="bottom"/>
          </w:tcPr>
          <w:p>
            <w:pPr>
              <w:spacing w:before="76" w:line="226" w:lineRule="auto"/>
              <w:ind w:left="16" w:right="8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a) 建立运维服务能力管理改进机制；</w:t>
            </w:r>
            <w:r>
              <w:rPr>
                <w:rFonts w:ascii="微软雅黑" w:eastAsia="微软雅黑" w:hAnsi="微软雅黑" w:cs="微软雅黑"/>
                <w:spacing w:val="26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b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) 运维服务能力管理改进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机制至少包括改进流程、改进策略</w:t>
            </w:r>
            <w:r>
              <w:rPr>
                <w:rFonts w:ascii="微软雅黑" w:eastAsia="微软雅黑" w:hAnsi="微软雅黑" w:cs="微软雅黑"/>
                <w:spacing w:val="-9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，以及对发现的问题和不符合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项处理的相关制度；</w:t>
            </w:r>
            <w:r>
              <w:rPr>
                <w:rFonts w:ascii="微软雅黑" w:eastAsia="微软雅黑" w:hAnsi="微软雅黑" w:cs="微软雅黑"/>
                <w:spacing w:val="19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c) 运维服务能力管理计划的跟踪监督应与内审和管理评审相结合。</w:t>
            </w:r>
          </w:p>
        </w:tc>
        <w:tc>
          <w:tcPr>
            <w:tcW w:w="2470" w:type="dxa"/>
            <w:vAlign w:val="bottom"/>
          </w:tcPr>
          <w:p>
            <w:pPr>
              <w:pStyle w:val="TableText"/>
              <w:spacing w:line="286" w:lineRule="auto"/>
              <w:jc w:val="both"/>
            </w:pPr>
          </w:p>
          <w:p>
            <w:pPr>
              <w:spacing w:before="43" w:line="195" w:lineRule="auto"/>
              <w:ind w:left="2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-7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：服务能力管理改进机制</w:t>
            </w:r>
          </w:p>
        </w:tc>
        <w:tc>
          <w:tcPr>
            <w:tcW w:w="1408" w:type="dxa"/>
            <w:vAlign w:val="bottom"/>
          </w:tcPr>
          <w:p>
            <w:pPr>
              <w:pStyle w:val="TableText"/>
              <w:spacing w:line="287" w:lineRule="auto"/>
              <w:jc w:val="both"/>
            </w:pPr>
          </w:p>
          <w:p>
            <w:pPr>
              <w:spacing w:before="43" w:line="194" w:lineRule="auto"/>
              <w:ind w:left="2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运维部</w:t>
            </w:r>
          </w:p>
        </w:tc>
        <w:tc>
          <w:tcPr>
            <w:tcW w:w="1532" w:type="dxa"/>
            <w:vAlign w:val="bottom"/>
          </w:tcPr>
          <w:p>
            <w:pPr>
              <w:pStyle w:val="TableText"/>
              <w:spacing w:line="287" w:lineRule="auto"/>
              <w:jc w:val="both"/>
            </w:pPr>
          </w:p>
          <w:p>
            <w:pPr>
              <w:spacing w:before="43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  <w:jc w:val="center"/>
        </w:trPr>
        <w:tc>
          <w:tcPr>
            <w:tcW w:w="653" w:type="dxa"/>
            <w:vMerge/>
            <w:tcBorders>
              <w:top w:val="nil"/>
              <w:bottom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65" w:line="224" w:lineRule="auto"/>
              <w:ind w:left="16" w:right="8" w:firstLine="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a) 对不符合策划要求的行为进行总结分析；</w:t>
            </w:r>
            <w:r>
              <w:rPr>
                <w:rFonts w:ascii="微软雅黑" w:eastAsia="微软雅黑" w:hAnsi="微软雅黑" w:cs="微软雅黑"/>
                <w:spacing w:val="23"/>
                <w:w w:val="10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b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) 对运维服务能力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管理实施计划的执行有偏差的部分进行总结分析；</w:t>
            </w:r>
            <w:r>
              <w:rPr>
                <w:rFonts w:ascii="微软雅黑" w:eastAsia="微软雅黑" w:hAnsi="微软雅黑" w:cs="微软雅黑"/>
                <w:spacing w:val="19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c) 对不符合项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进行总结分析；</w:t>
            </w:r>
            <w:r>
              <w:rPr>
                <w:rFonts w:ascii="微软雅黑" w:eastAsia="微软雅黑" w:hAnsi="微软雅黑" w:cs="微软雅黑"/>
                <w:spacing w:val="2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d) 有预防与纠正措施的记录。</w:t>
            </w:r>
          </w:p>
        </w:tc>
        <w:tc>
          <w:tcPr>
            <w:tcW w:w="2470" w:type="dxa"/>
            <w:vAlign w:val="bottom"/>
          </w:tcPr>
          <w:p>
            <w:pPr>
              <w:spacing w:before="165" w:line="228" w:lineRule="auto"/>
              <w:ind w:left="20" w:right="59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3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：不符合项总结分析、纠正与预防措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施记录</w:t>
            </w:r>
          </w:p>
        </w:tc>
        <w:tc>
          <w:tcPr>
            <w:tcW w:w="1408" w:type="dxa"/>
            <w:vAlign w:val="bottom"/>
          </w:tcPr>
          <w:p>
            <w:pPr>
              <w:spacing w:before="242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spacing w:before="242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  <w:tr>
        <w:tblPrEx>
          <w:tblW w:w="94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/>
          <w:jc w:val="center"/>
        </w:trPr>
        <w:tc>
          <w:tcPr>
            <w:tcW w:w="653" w:type="dxa"/>
            <w:vMerge/>
            <w:tcBorders>
              <w:top w:val="nil"/>
            </w:tcBorders>
            <w:vAlign w:val="bottom"/>
          </w:tcPr>
          <w:p>
            <w:pPr>
              <w:pStyle w:val="TableText"/>
              <w:jc w:val="both"/>
            </w:pPr>
          </w:p>
        </w:tc>
        <w:tc>
          <w:tcPr>
            <w:tcW w:w="3415" w:type="dxa"/>
            <w:vAlign w:val="bottom"/>
          </w:tcPr>
          <w:p>
            <w:pPr>
              <w:spacing w:before="52" w:line="226" w:lineRule="auto"/>
              <w:ind w:left="16" w:right="8" w:firstLine="4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a) 根据分析结果确定改进措施</w:t>
            </w:r>
            <w:r>
              <w:rPr>
                <w:rFonts w:ascii="微软雅黑" w:eastAsia="微软雅黑" w:hAnsi="微软雅黑" w:cs="微软雅黑"/>
                <w:spacing w:val="-10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，制定服务能力改进计划；</w:t>
            </w:r>
            <w:r>
              <w:rPr>
                <w:rFonts w:ascii="微软雅黑" w:eastAsia="微软雅黑" w:hAnsi="微软雅黑" w:cs="微软雅黑"/>
                <w:spacing w:val="26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sz w:val="10"/>
                <w:szCs w:val="10"/>
              </w:rPr>
              <w:t>b) 服</w:t>
            </w:r>
            <w:r>
              <w:rPr>
                <w:rFonts w:ascii="微软雅黑" w:eastAsia="微软雅黑" w:hAnsi="微软雅黑" w:cs="微软雅黑"/>
                <w:spacing w:val="10"/>
                <w:sz w:val="10"/>
                <w:szCs w:val="10"/>
              </w:rPr>
              <w:t>务能力改进计划至少有能力改进项、改进目标</w:t>
            </w:r>
            <w:r>
              <w:rPr>
                <w:rFonts w:ascii="微软雅黑" w:eastAsia="微软雅黑" w:hAnsi="微软雅黑" w:cs="微软雅黑"/>
                <w:spacing w:val="9"/>
                <w:sz w:val="10"/>
                <w:szCs w:val="10"/>
              </w:rPr>
              <w:t>、改进进度、责任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人等；</w:t>
            </w:r>
            <w:r>
              <w:rPr>
                <w:rFonts w:ascii="微软雅黑" w:eastAsia="微软雅黑" w:hAnsi="微软雅黑" w:cs="微软雅黑"/>
                <w:spacing w:val="15"/>
                <w:w w:val="101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c) 保存运维服务能力管理改进过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程相关记录</w:t>
            </w:r>
            <w:r>
              <w:rPr>
                <w:rFonts w:ascii="微软雅黑" w:eastAsia="微软雅黑" w:hAnsi="微软雅黑" w:cs="微软雅黑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"/>
                <w:sz w:val="10"/>
                <w:szCs w:val="10"/>
              </w:rPr>
              <w:t>，如改进实施</w:t>
            </w: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方案、改进进展报告等。</w:t>
            </w:r>
          </w:p>
        </w:tc>
        <w:tc>
          <w:tcPr>
            <w:tcW w:w="2470" w:type="dxa"/>
            <w:vAlign w:val="bottom"/>
          </w:tcPr>
          <w:p>
            <w:pPr>
              <w:pStyle w:val="TableText"/>
              <w:spacing w:line="262" w:lineRule="auto"/>
              <w:jc w:val="both"/>
            </w:pPr>
          </w:p>
          <w:p>
            <w:pPr>
              <w:spacing w:before="43" w:line="195" w:lineRule="auto"/>
              <w:ind w:left="25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5"/>
                <w:sz w:val="10"/>
                <w:szCs w:val="10"/>
              </w:rPr>
              <w:t>审查文档</w:t>
            </w:r>
            <w:r>
              <w:rPr>
                <w:rFonts w:ascii="微软雅黑" w:eastAsia="微软雅黑" w:hAnsi="微软雅黑" w:cs="微软雅黑"/>
                <w:spacing w:val="2"/>
                <w:sz w:val="10"/>
                <w:szCs w:val="1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5"/>
                <w:sz w:val="10"/>
                <w:szCs w:val="10"/>
              </w:rPr>
              <w:t>：服务能力改进计划</w:t>
            </w:r>
          </w:p>
        </w:tc>
        <w:tc>
          <w:tcPr>
            <w:tcW w:w="1408" w:type="dxa"/>
            <w:vAlign w:val="bottom"/>
          </w:tcPr>
          <w:p>
            <w:pPr>
              <w:pStyle w:val="TableText"/>
              <w:spacing w:line="263" w:lineRule="auto"/>
              <w:jc w:val="both"/>
            </w:pPr>
          </w:p>
          <w:p>
            <w:pPr>
              <w:spacing w:before="43" w:line="194" w:lineRule="auto"/>
              <w:ind w:left="22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质量部</w:t>
            </w:r>
          </w:p>
        </w:tc>
        <w:tc>
          <w:tcPr>
            <w:tcW w:w="1532" w:type="dxa"/>
            <w:vAlign w:val="bottom"/>
          </w:tcPr>
          <w:p>
            <w:pPr>
              <w:pStyle w:val="TableText"/>
              <w:spacing w:line="263" w:lineRule="auto"/>
              <w:jc w:val="both"/>
            </w:pPr>
          </w:p>
          <w:p>
            <w:pPr>
              <w:spacing w:before="43" w:line="194" w:lineRule="auto"/>
              <w:ind w:left="593"/>
              <w:jc w:val="both"/>
              <w:rPr>
                <w:rFonts w:ascii="微软雅黑" w:eastAsia="微软雅黑" w:hAnsi="微软雅黑" w:cs="微软雅黑"/>
                <w:sz w:val="10"/>
                <w:szCs w:val="10"/>
              </w:rPr>
            </w:pPr>
            <w:r>
              <w:rPr>
                <w:rFonts w:ascii="微软雅黑" w:eastAsia="微软雅黑" w:hAnsi="微软雅黑" w:cs="微软雅黑"/>
                <w:spacing w:val="7"/>
                <w:sz w:val="10"/>
                <w:szCs w:val="10"/>
              </w:rPr>
              <w:t>符合</w:t>
            </w:r>
          </w:p>
        </w:tc>
      </w:tr>
    </w:tbl>
    <w:p>
      <w:pPr>
        <w:spacing w:line="226" w:lineRule="exact"/>
        <w:sectPr>
          <w:headerReference w:type="default" r:id="rId7"/>
          <w:pgSz w:w="11905" w:h="16837"/>
          <w:pgMar w:top="1440" w:right="1080" w:bottom="1440" w:left="1080" w:header="0" w:footer="0" w:gutter="0"/>
          <w:cols w:num="1" w:space="720"/>
        </w:sectPr>
      </w:pPr>
    </w:p>
    <w:tbl>
      <w:tblPr>
        <w:tblStyle w:val="TableNormal0"/>
        <w:tblW w:w="135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1"/>
        <w:gridCol w:w="5885"/>
        <w:gridCol w:w="2968"/>
        <w:gridCol w:w="1474"/>
        <w:gridCol w:w="2266"/>
      </w:tblGrid>
      <w:tr>
        <w:tblPrEx>
          <w:tblW w:w="13554" w:type="dxa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/>
          <w:jc w:val="center"/>
        </w:trPr>
        <w:tc>
          <w:tcPr>
            <w:tcW w:w="961" w:type="dxa"/>
            <w:shd w:val="clear" w:color="auto" w:fill="C0C0C0"/>
          </w:tcPr>
          <w:p>
            <w:pPr>
              <w:spacing w:before="298" w:line="184" w:lineRule="auto"/>
              <w:ind w:left="16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21"/>
                <w:szCs w:val="21"/>
              </w:rPr>
              <w:t>章条号</w:t>
            </w:r>
          </w:p>
        </w:tc>
        <w:tc>
          <w:tcPr>
            <w:tcW w:w="5885" w:type="dxa"/>
            <w:shd w:val="clear" w:color="auto" w:fill="C0C0C0"/>
          </w:tcPr>
          <w:p>
            <w:pPr>
              <w:spacing w:before="298" w:line="184" w:lineRule="auto"/>
              <w:ind w:left="252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1"/>
                <w:szCs w:val="21"/>
              </w:rPr>
              <w:t>标准要求</w:t>
            </w:r>
          </w:p>
        </w:tc>
        <w:tc>
          <w:tcPr>
            <w:tcW w:w="2968" w:type="dxa"/>
            <w:shd w:val="clear" w:color="auto" w:fill="C0C0C0"/>
          </w:tcPr>
          <w:p>
            <w:pPr>
              <w:spacing w:before="304" w:line="189" w:lineRule="auto"/>
              <w:ind w:left="893"/>
              <w:rPr>
                <w:rFonts w:ascii="微软雅黑" w:eastAsia="微软雅黑" w:hAnsi="微软雅黑" w:cs="微软雅黑"/>
                <w:sz w:val="19"/>
                <w:szCs w:val="19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8000"/>
                <w:spacing w:val="8"/>
                <w:sz w:val="19"/>
                <w:szCs w:val="19"/>
              </w:rPr>
              <w:t>检查项和内容</w:t>
            </w:r>
          </w:p>
        </w:tc>
        <w:tc>
          <w:tcPr>
            <w:tcW w:w="1474" w:type="dxa"/>
            <w:shd w:val="clear" w:color="auto" w:fill="C0C0C0"/>
          </w:tcPr>
          <w:p>
            <w:pPr>
              <w:spacing w:before="303" w:line="190" w:lineRule="auto"/>
              <w:ind w:left="347"/>
              <w:rPr>
                <w:rFonts w:ascii="微软雅黑" w:eastAsia="微软雅黑" w:hAnsi="微软雅黑" w:cs="微软雅黑"/>
                <w:sz w:val="19"/>
                <w:szCs w:val="19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8000"/>
                <w:spacing w:val="8"/>
                <w:sz w:val="19"/>
                <w:szCs w:val="19"/>
              </w:rPr>
              <w:t>检查部门</w:t>
            </w:r>
          </w:p>
        </w:tc>
        <w:tc>
          <w:tcPr>
            <w:tcW w:w="2266" w:type="dxa"/>
            <w:shd w:val="clear" w:color="auto" w:fill="C0C0C0"/>
          </w:tcPr>
          <w:p>
            <w:pPr>
              <w:spacing w:before="303" w:line="190" w:lineRule="auto"/>
              <w:ind w:left="440"/>
              <w:rPr>
                <w:rFonts w:ascii="微软雅黑" w:eastAsia="微软雅黑" w:hAnsi="微软雅黑" w:cs="微软雅黑"/>
                <w:sz w:val="19"/>
                <w:szCs w:val="19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8"/>
                <w:sz w:val="19"/>
                <w:szCs w:val="19"/>
              </w:rPr>
              <w:t>检查记录和结果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/>
          <w:jc w:val="center"/>
        </w:trPr>
        <w:tc>
          <w:tcPr>
            <w:tcW w:w="9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78" w:line="205" w:lineRule="auto"/>
              <w:ind w:left="388" w:right="44" w:hanging="32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6.2 人员管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理</w:t>
            </w: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after="0" w:line="240" w:lineRule="auto"/>
              <w:ind w:left="32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a) 制定人员储备管理文件及相关计划、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b) 制定工作交接规范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，并保存人员变更记录；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33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c) 人员储备机制及人员储备计划需满足当前运维业务要求；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33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d) 具备足够的人员</w:t>
            </w:r>
            <w:r>
              <w:rPr>
                <w:rFonts w:ascii="微软雅黑" w:eastAsia="微软雅黑" w:hAnsi="微软雅黑" w:cs="微软雅黑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，并满足当前运维业务需求。</w:t>
            </w:r>
          </w:p>
        </w:tc>
        <w:tc>
          <w:tcPr>
            <w:tcW w:w="2968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33" w:right="41" w:firstLine="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审查文档：人员储备制度、人员年度储备计划</w:t>
            </w:r>
          </w:p>
        </w:tc>
        <w:tc>
          <w:tcPr>
            <w:tcW w:w="1474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after="0" w:line="240" w:lineRule="auto"/>
              <w:ind w:left="9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8"/>
          <w:jc w:val="center"/>
        </w:trPr>
        <w:tc>
          <w:tcPr>
            <w:tcW w:w="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a) 制定培训管理制度、保存培训记录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，如培训需求、培训计划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、培训课程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体系及教材/课件、培训实施记录、培训效果评价；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b) 培训体系或机制与运维业务相匹配；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25" w:right="61" w:firstLine="7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c) 识别各岗位、各级别培训要求</w:t>
            </w:r>
            <w:r>
              <w:rPr>
                <w:rFonts w:ascii="微软雅黑" w:eastAsia="微软雅黑" w:hAnsi="微软雅黑" w:cs="微软雅黑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，制定培训计划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，培训内容包括管理、技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术、操作及综合知识等；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33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d) 建立培训绩效评价机制。</w:t>
            </w:r>
          </w:p>
        </w:tc>
        <w:tc>
          <w:tcPr>
            <w:tcW w:w="2968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34" w:right="41" w:firstLine="7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审查文档：人员培训管理制度、人员培训计划、培训记录</w:t>
            </w:r>
          </w:p>
        </w:tc>
        <w:tc>
          <w:tcPr>
            <w:tcW w:w="1474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FF0000"/>
                <w:spacing w:val="-1"/>
                <w:sz w:val="18"/>
                <w:szCs w:val="18"/>
              </w:rPr>
              <w:t>未发现《运维工具使用培训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69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FF0000"/>
                <w:spacing w:val="-4"/>
                <w:sz w:val="18"/>
                <w:szCs w:val="18"/>
              </w:rPr>
              <w:t>》效果评价表</w:t>
            </w:r>
            <w:r>
              <w:rPr>
                <w:rFonts w:ascii="微软雅黑" w:eastAsia="微软雅黑" w:hAnsi="微软雅黑" w:cs="微软雅黑"/>
                <w:color w:val="FF000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pacing w:val="-4"/>
                <w:sz w:val="18"/>
                <w:szCs w:val="18"/>
              </w:rPr>
              <w:t>，属一般不符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" w:after="0" w:line="240" w:lineRule="auto"/>
              <w:ind w:left="1047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  <w:t>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/>
          <w:jc w:val="center"/>
        </w:trPr>
        <w:tc>
          <w:tcPr>
            <w:tcW w:w="9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after="0" w:line="240" w:lineRule="auto"/>
              <w:ind w:left="32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a) 制定绩效管理办法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，建立考核体系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，考核体系应与运维业务相匹配；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b) 根据不同岗位制定具体的、差异化的考核指标。</w:t>
            </w:r>
          </w:p>
        </w:tc>
        <w:tc>
          <w:tcPr>
            <w:tcW w:w="29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after="0" w:line="240" w:lineRule="auto"/>
              <w:ind w:left="34" w:right="41" w:firstLine="7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审查文档：绩效考核制度、绩效考核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指标</w:t>
            </w:r>
          </w:p>
        </w:tc>
        <w:tc>
          <w:tcPr>
            <w:tcW w:w="1474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0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0" w:after="0" w:line="240" w:lineRule="auto"/>
              <w:ind w:left="9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/>
          <w:jc w:val="center"/>
        </w:trPr>
        <w:tc>
          <w:tcPr>
            <w:tcW w:w="961" w:type="dxa"/>
          </w:tcPr>
          <w:p>
            <w:pPr>
              <w:spacing w:before="240" w:line="220" w:lineRule="auto"/>
              <w:ind w:left="389" w:right="44" w:hanging="324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>6.3</w:t>
            </w:r>
            <w:r>
              <w:rPr>
                <w:rFonts w:ascii="微软雅黑" w:eastAsia="微软雅黑" w:hAnsi="微软雅黑" w:cs="微软雅黑"/>
                <w:spacing w:val="1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>岗位结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构</w:t>
            </w: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7" w:after="0" w:line="240" w:lineRule="auto"/>
              <w:ind w:left="32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a) 具备完整的岗位职责说明；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b)</w:t>
            </w:r>
            <w:r>
              <w:rPr>
                <w:rFonts w:ascii="微软雅黑" w:eastAsia="微软雅黑" w:hAnsi="微软雅黑" w:cs="微软雅黑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岗位设置和要求与业务和服务目录相匹配；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33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c)</w:t>
            </w:r>
            <w:r>
              <w:rPr>
                <w:rFonts w:ascii="微软雅黑" w:eastAsia="微软雅黑" w:hAnsi="微软雅黑" w:cs="微软雅黑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岗位职责得到有效的执行。</w:t>
            </w:r>
          </w:p>
        </w:tc>
        <w:tc>
          <w:tcPr>
            <w:tcW w:w="29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after="0" w:line="240" w:lineRule="auto"/>
              <w:ind w:left="33" w:right="41" w:firstLine="8"/>
              <w:jc w:val="both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>审查文档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>：岗位职责说明书、岗位备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份制度的使用记录、针对于操作岗的操作手册</w:t>
            </w:r>
          </w:p>
        </w:tc>
        <w:tc>
          <w:tcPr>
            <w:tcW w:w="1474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9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/>
          <w:jc w:val="center"/>
        </w:trPr>
        <w:tc>
          <w:tcPr>
            <w:tcW w:w="961" w:type="dxa"/>
          </w:tcPr>
          <w:p>
            <w:pPr>
              <w:pStyle w:val="TableText"/>
              <w:spacing w:line="294" w:lineRule="auto"/>
            </w:pPr>
          </w:p>
          <w:p>
            <w:pPr>
              <w:spacing w:before="77" w:line="227" w:lineRule="auto"/>
              <w:ind w:left="15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6.4 知识</w:t>
            </w: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after="0" w:line="240" w:lineRule="auto"/>
              <w:ind w:left="27" w:right="15" w:firstLine="5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a) 建立运维相关的知识体系或培训课程体系</w:t>
            </w:r>
            <w:r>
              <w:rPr>
                <w:rFonts w:ascii="微软雅黑" w:eastAsia="微软雅黑" w:hAnsi="微软雅黑" w:cs="微软雅黑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，包括运维基础、针对运维对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象的专业知识与行业知识；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b) 知识体系应对不同类别和级别的岗位提出相应的知识要求。</w:t>
            </w:r>
          </w:p>
        </w:tc>
        <w:tc>
          <w:tcPr>
            <w:tcW w:w="29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6" w:after="0" w:line="240" w:lineRule="auto"/>
              <w:ind w:left="33" w:right="41" w:firstLine="7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审查文档：人员的学历证明、培训计划、培训记录</w:t>
            </w:r>
          </w:p>
        </w:tc>
        <w:tc>
          <w:tcPr>
            <w:tcW w:w="1474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9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/>
          <w:jc w:val="center"/>
        </w:trPr>
        <w:tc>
          <w:tcPr>
            <w:tcW w:w="961" w:type="dxa"/>
          </w:tcPr>
          <w:p>
            <w:pPr>
              <w:pStyle w:val="TableText"/>
              <w:spacing w:line="297" w:lineRule="auto"/>
            </w:pPr>
          </w:p>
          <w:p>
            <w:pPr>
              <w:spacing w:before="77" w:line="225" w:lineRule="auto"/>
              <w:ind w:left="15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6.5 技能</w:t>
            </w: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" w:after="0" w:line="240" w:lineRule="auto"/>
              <w:ind w:left="32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a) 制定运维人员技能级别规范</w:t>
            </w:r>
            <w:r>
              <w:rPr>
                <w:rFonts w:ascii="微软雅黑" w:eastAsia="微软雅黑" w:hAnsi="微软雅黑" w:cs="微软雅黑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，保存从业资格证书；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40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b) 人员技能与服务目录匹配；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after="0" w:line="240" w:lineRule="auto"/>
              <w:ind w:left="27" w:right="13" w:firstLine="6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4"/>
                <w:sz w:val="18"/>
                <w:szCs w:val="18"/>
              </w:rPr>
              <w:t>c) 建立人员技能评价体系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4"/>
                <w:sz w:val="18"/>
                <w:szCs w:val="18"/>
              </w:rPr>
              <w:t>，人员技能与岗位要求匹配</w:t>
            </w:r>
            <w:r>
              <w:rPr>
                <w:rFonts w:ascii="微软雅黑" w:eastAsia="微软雅黑" w:hAnsi="微软雅黑" w:cs="微软雅黑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4"/>
                <w:sz w:val="18"/>
                <w:szCs w:val="18"/>
              </w:rPr>
              <w:t>，保存技能评价记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录；</w:t>
            </w:r>
          </w:p>
        </w:tc>
        <w:tc>
          <w:tcPr>
            <w:tcW w:w="2968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after="0" w:line="240" w:lineRule="auto"/>
              <w:ind w:left="41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审查文档：工程师专业资格证书</w:t>
            </w:r>
          </w:p>
        </w:tc>
        <w:tc>
          <w:tcPr>
            <w:tcW w:w="1474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after="0" w:line="240" w:lineRule="auto"/>
              <w:ind w:left="474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after="0" w:line="240" w:lineRule="auto"/>
              <w:ind w:left="958"/>
              <w:textAlignment w:val="baseline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>
        <w:tblPrEx>
          <w:tblW w:w="1355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/>
          <w:jc w:val="center"/>
        </w:trPr>
        <w:tc>
          <w:tcPr>
            <w:tcW w:w="961" w:type="dxa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29" w:lineRule="auto"/>
              <w:ind w:left="15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>6.6 经验</w:t>
            </w:r>
          </w:p>
        </w:tc>
        <w:tc>
          <w:tcPr>
            <w:tcW w:w="588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a) 建立人员履历、培训及其管理的相关制度；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b) 人员经验与业务需求匹配 ，如项目人员分配 ，岗位职责等。</w:t>
            </w:r>
          </w:p>
        </w:tc>
        <w:tc>
          <w:tcPr>
            <w:tcW w:w="29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审查文档：工程师履历</w:t>
            </w:r>
          </w:p>
        </w:tc>
        <w:tc>
          <w:tcPr>
            <w:tcW w:w="1474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  <w:lang w:eastAsia="zh-CN"/>
              </w:rPr>
              <w:t>人力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部</w:t>
            </w:r>
          </w:p>
        </w:tc>
        <w:tc>
          <w:tcPr>
            <w:tcW w:w="2266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after="0" w:line="240" w:lineRule="auto"/>
              <w:ind w:left="26" w:right="54" w:firstLine="6"/>
              <w:textAlignment w:val="baseline"/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>符合</w:t>
            </w:r>
          </w:p>
        </w:tc>
      </w:tr>
    </w:tbl>
    <w:p>
      <w:pPr>
        <w:pStyle w:val="BodyText"/>
      </w:pPr>
    </w:p>
    <w:p>
      <w:pPr>
        <w:sectPr>
          <w:pgSz w:w="16837" w:h="11905"/>
          <w:pgMar w:top="720" w:right="720" w:bottom="720" w:left="720" w:header="0" w:footer="0" w:gutter="0"/>
          <w:cols w:num="1" w:space="720"/>
        </w:sectPr>
      </w:pPr>
    </w:p>
    <w:p>
      <w:pPr>
        <w:pStyle w:val="BodyText"/>
      </w:pPr>
      <w:bookmarkStart w:id="0" w:name="_GoBack"/>
      <w:r>
        <w:drawing>
          <wp:inline distT="0" distB="0" distL="114300" distR="114300">
            <wp:extent cx="6209030" cy="6650990"/>
            <wp:effectExtent l="0" t="0" r="1270" b="16510"/>
            <wp:docPr id="9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6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p>
      <w:pPr>
        <w:sectPr>
          <w:pgSz w:w="16837" w:h="11905"/>
          <w:pgMar w:top="720" w:right="720" w:bottom="720" w:left="720" w:header="0" w:footer="0" w:gutter="0"/>
          <w:cols w:num="1" w:space="720"/>
        </w:sectPr>
      </w:pPr>
      <w:r>
        <w:drawing>
          <wp:inline distT="0" distB="0" distL="114300" distR="114300">
            <wp:extent cx="9768205" cy="4973320"/>
            <wp:effectExtent l="0" t="0" r="4445" b="17780"/>
            <wp:docPr id="9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68205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0"/>
        <w:tblW w:w="898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3569"/>
        <w:gridCol w:w="1743"/>
        <w:gridCol w:w="1002"/>
        <w:gridCol w:w="1514"/>
      </w:tblGrid>
      <w:tr>
        <w:tblPrEx>
          <w:tblW w:w="898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/>
        </w:trPr>
        <w:tc>
          <w:tcPr>
            <w:tcW w:w="1161" w:type="dxa"/>
            <w:shd w:val="clear" w:color="auto" w:fill="C0C0C0"/>
          </w:tcPr>
          <w:p>
            <w:pPr>
              <w:spacing w:before="25" w:line="159" w:lineRule="auto"/>
              <w:ind w:left="362"/>
              <w:rPr>
                <w:rFonts w:ascii="微软雅黑" w:eastAsia="微软雅黑" w:hAnsi="微软雅黑" w:cs="微软雅黑"/>
                <w:sz w:val="14"/>
                <w:szCs w:val="14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1"/>
                <w:sz w:val="14"/>
                <w:szCs w:val="14"/>
              </w:rPr>
              <w:t>章条号</w:t>
            </w:r>
          </w:p>
        </w:tc>
        <w:tc>
          <w:tcPr>
            <w:tcW w:w="3569" w:type="dxa"/>
            <w:shd w:val="clear" w:color="auto" w:fill="C0C0C0"/>
          </w:tcPr>
          <w:p>
            <w:pPr>
              <w:spacing w:before="25" w:line="159" w:lineRule="auto"/>
              <w:ind w:left="1494"/>
              <w:rPr>
                <w:rFonts w:ascii="微软雅黑" w:eastAsia="微软雅黑" w:hAnsi="微软雅黑" w:cs="微软雅黑"/>
                <w:sz w:val="14"/>
                <w:szCs w:val="14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2"/>
                <w:sz w:val="14"/>
                <w:szCs w:val="14"/>
              </w:rPr>
              <w:t>标准要求</w:t>
            </w:r>
          </w:p>
        </w:tc>
        <w:tc>
          <w:tcPr>
            <w:tcW w:w="1743" w:type="dxa"/>
            <w:shd w:val="clear" w:color="auto" w:fill="C0C0C0"/>
          </w:tcPr>
          <w:p>
            <w:pPr>
              <w:spacing w:before="29" w:line="167" w:lineRule="auto"/>
              <w:ind w:left="25"/>
              <w:rPr>
                <w:rFonts w:ascii="微软雅黑" w:eastAsia="微软雅黑" w:hAnsi="微软雅黑" w:cs="微软雅黑"/>
                <w:sz w:val="13"/>
                <w:szCs w:val="13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8000"/>
                <w:spacing w:val="4"/>
                <w:sz w:val="13"/>
                <w:szCs w:val="13"/>
              </w:rPr>
              <w:t>检查项和内容</w:t>
            </w:r>
          </w:p>
        </w:tc>
        <w:tc>
          <w:tcPr>
            <w:tcW w:w="1002" w:type="dxa"/>
            <w:shd w:val="clear" w:color="auto" w:fill="C0C0C0"/>
          </w:tcPr>
          <w:p>
            <w:pPr>
              <w:spacing w:before="29" w:line="167" w:lineRule="auto"/>
              <w:ind w:left="231"/>
              <w:rPr>
                <w:rFonts w:ascii="微软雅黑" w:eastAsia="微软雅黑" w:hAnsi="微软雅黑" w:cs="微软雅黑"/>
                <w:sz w:val="13"/>
                <w:szCs w:val="13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8000"/>
                <w:spacing w:val="4"/>
                <w:sz w:val="13"/>
                <w:szCs w:val="13"/>
              </w:rPr>
              <w:t>检查部门</w:t>
            </w:r>
          </w:p>
        </w:tc>
        <w:tc>
          <w:tcPr>
            <w:tcW w:w="1514" w:type="dxa"/>
            <w:shd w:val="clear" w:color="auto" w:fill="C0C0C0"/>
          </w:tcPr>
          <w:p>
            <w:pPr>
              <w:spacing w:before="29" w:line="167" w:lineRule="auto"/>
              <w:ind w:left="280"/>
              <w:rPr>
                <w:rFonts w:ascii="微软雅黑" w:eastAsia="微软雅黑" w:hAnsi="微软雅黑" w:cs="微软雅黑"/>
                <w:sz w:val="13"/>
                <w:szCs w:val="13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4"/>
                <w:sz w:val="13"/>
                <w:szCs w:val="13"/>
              </w:rPr>
              <w:t>检查记录和结果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/>
        </w:trPr>
        <w:tc>
          <w:tcPr>
            <w:tcW w:w="1161" w:type="dxa"/>
          </w:tcPr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51" w:line="229" w:lineRule="auto"/>
              <w:ind w:left="106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9.2 服务级别管理</w:t>
            </w:r>
          </w:p>
        </w:tc>
        <w:tc>
          <w:tcPr>
            <w:tcW w:w="3569" w:type="dxa"/>
          </w:tcPr>
          <w:p>
            <w:pPr>
              <w:spacing w:before="103" w:line="197" w:lineRule="auto"/>
              <w:ind w:left="20" w:right="36" w:hanging="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确保供方定义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、签订和管理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SLA</w:t>
            </w:r>
            <w:r>
              <w:rPr>
                <w:rFonts w:ascii="微软雅黑" w:eastAsia="微软雅黑" w:hAnsi="微软雅黑" w:cs="微软雅黑"/>
                <w:spacing w:val="-1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，满足需方对服务质量的要求</w:t>
            </w:r>
            <w:r>
              <w:rPr>
                <w:rFonts w:ascii="微软雅黑" w:eastAsia="微软雅黑" w:hAnsi="微软雅黑" w:cs="微软雅黑"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，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并重点关注以下方面：</w:t>
            </w:r>
          </w:p>
          <w:p>
            <w:pPr>
              <w:spacing w:before="2" w:line="209" w:lineRule="auto"/>
              <w:ind w:left="20" w:right="22" w:firstLine="4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a) 建立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SLA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考核自评估机制 ，具有服务级别协议的执行绩效跟踪记录 ，如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SLA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完成情况</w:t>
            </w:r>
            <w:r>
              <w:rPr>
                <w:rFonts w:ascii="微软雅黑" w:eastAsia="微软雅黑" w:hAnsi="微软雅黑" w:cs="微软雅黑"/>
                <w:spacing w:val="-1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、达成率</w:t>
            </w:r>
            <w:r>
              <w:rPr>
                <w:rFonts w:ascii="微软雅黑" w:eastAsia="微软雅黑" w:hAnsi="微软雅黑" w:cs="微软雅黑"/>
                <w:spacing w:val="-1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、用户反馈等</w:t>
            </w:r>
            <w:r>
              <w:rPr>
                <w:rFonts w:ascii="微软雅黑" w:eastAsia="微软雅黑" w:hAnsi="微软雅黑" w:cs="微软雅黑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，在评估后制定改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进内容及改进措施；</w:t>
            </w:r>
          </w:p>
          <w:p>
            <w:pPr>
              <w:spacing w:before="1" w:line="225" w:lineRule="auto"/>
              <w:ind w:left="27" w:right="21" w:firstLine="2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b) 服务级别协议中应包含量化指标</w:t>
            </w:r>
            <w:r>
              <w:rPr>
                <w:rFonts w:ascii="微软雅黑" w:eastAsia="微软雅黑" w:hAnsi="微软雅黑" w:cs="微软雅黑"/>
                <w:spacing w:val="1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，如响应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时间</w:t>
            </w:r>
            <w:r>
              <w:rPr>
                <w:rFonts w:ascii="微软雅黑" w:eastAsia="微软雅黑" w:hAnsi="微软雅黑" w:cs="微软雅黑"/>
                <w:spacing w:val="-1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、解决问题的时</w:t>
            </w:r>
            <w:r>
              <w:rPr>
                <w:rFonts w:ascii="微软雅黑" w:eastAsia="微软雅黑" w:hAnsi="微软雅黑" w:cs="微软雅黑"/>
                <w:spacing w:val="-2"/>
                <w:sz w:val="12"/>
                <w:szCs w:val="12"/>
              </w:rPr>
              <w:t>间等。</w:t>
            </w:r>
          </w:p>
        </w:tc>
        <w:tc>
          <w:tcPr>
            <w:tcW w:w="1743" w:type="dxa"/>
          </w:tcPr>
          <w:p>
            <w:pPr>
              <w:pStyle w:val="TableText"/>
              <w:spacing w:line="409" w:lineRule="auto"/>
            </w:pPr>
          </w:p>
          <w:p>
            <w:pPr>
              <w:spacing w:before="51" w:line="210" w:lineRule="auto"/>
              <w:ind w:left="30" w:right="11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审查文档 ：服务级别管理规定</w:t>
            </w:r>
            <w:r>
              <w:rPr>
                <w:rFonts w:ascii="微软雅黑" w:eastAsia="微软雅黑" w:hAnsi="微软雅黑" w:cs="微软雅黑"/>
                <w:spacing w:val="9"/>
                <w:w w:val="10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、服务目录</w:t>
            </w:r>
          </w:p>
          <w:p>
            <w:pPr>
              <w:spacing w:line="186" w:lineRule="auto"/>
              <w:ind w:left="26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服务级别协议</w:t>
            </w:r>
          </w:p>
        </w:tc>
        <w:tc>
          <w:tcPr>
            <w:tcW w:w="1002" w:type="dxa"/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52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52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/>
        </w:trPr>
        <w:tc>
          <w:tcPr>
            <w:tcW w:w="1161" w:type="dxa"/>
          </w:tcPr>
          <w:p>
            <w:pPr>
              <w:pStyle w:val="TableText"/>
              <w:spacing w:line="297" w:lineRule="auto"/>
            </w:pPr>
          </w:p>
          <w:p>
            <w:pPr>
              <w:pStyle w:val="TableText"/>
              <w:spacing w:line="298" w:lineRule="auto"/>
            </w:pPr>
          </w:p>
          <w:p>
            <w:pPr>
              <w:pStyle w:val="TableText"/>
              <w:spacing w:line="298" w:lineRule="auto"/>
            </w:pPr>
          </w:p>
          <w:p>
            <w:pPr>
              <w:spacing w:before="52" w:line="229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9.3 服务报告</w:t>
            </w:r>
          </w:p>
        </w:tc>
        <w:tc>
          <w:tcPr>
            <w:tcW w:w="3569" w:type="dxa"/>
          </w:tcPr>
          <w:p>
            <w:pPr>
              <w:spacing w:before="142" w:line="210" w:lineRule="auto"/>
              <w:ind w:left="20" w:right="11" w:firstLine="3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a) 制定服务报告的管理规范 ，并对服务报告内容</w:t>
            </w:r>
            <w:r>
              <w:rPr>
                <w:rFonts w:ascii="微软雅黑" w:eastAsia="微软雅黑" w:hAnsi="微软雅黑" w:cs="微软雅黑"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、产生频次</w:t>
            </w:r>
            <w:r>
              <w:rPr>
                <w:rFonts w:ascii="微软雅黑" w:eastAsia="微软雅黑" w:hAnsi="微软雅黑" w:cs="微软雅黑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、审核要求、传播和保存等做出说明；</w:t>
            </w:r>
          </w:p>
          <w:p>
            <w:pPr>
              <w:spacing w:before="2" w:line="209" w:lineRule="auto"/>
              <w:ind w:left="21" w:right="11" w:firstLine="8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b) 服务报告内容应完备 ，至少包括运维服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务相关的基本要素 ，如</w:t>
            </w:r>
            <w:r>
              <w:rPr>
                <w:rFonts w:ascii="微软雅黑" w:eastAsia="微软雅黑" w:hAnsi="微软雅黑" w:cs="微软雅黑"/>
                <w:spacing w:val="4"/>
                <w:sz w:val="12"/>
                <w:szCs w:val="12"/>
              </w:rPr>
              <w:t>与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SLA</w:t>
            </w:r>
            <w:r>
              <w:rPr>
                <w:rFonts w:ascii="微软雅黑" w:eastAsia="微软雅黑" w:hAnsi="微软雅黑" w:cs="微软雅黑"/>
                <w:spacing w:val="4"/>
                <w:sz w:val="12"/>
                <w:szCs w:val="12"/>
              </w:rPr>
              <w:t>相对的服务绩效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4"/>
                <w:sz w:val="12"/>
                <w:szCs w:val="12"/>
              </w:rPr>
              <w:t>、满意度分析</w:t>
            </w:r>
            <w:r>
              <w:rPr>
                <w:rFonts w:ascii="微软雅黑" w:eastAsia="微软雅黑" w:hAnsi="微软雅黑" w:cs="微软雅黑"/>
                <w:spacing w:val="-15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4"/>
                <w:sz w:val="12"/>
                <w:szCs w:val="12"/>
              </w:rPr>
              <w:t>、工作量</w:t>
            </w:r>
            <w:r>
              <w:rPr>
                <w:rFonts w:ascii="微软雅黑" w:eastAsia="微软雅黑" w:hAnsi="微软雅黑" w:cs="微软雅黑"/>
                <w:spacing w:val="-2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4"/>
                <w:sz w:val="12"/>
                <w:szCs w:val="12"/>
              </w:rPr>
              <w:t>、重大事件后的性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能分析</w:t>
            </w:r>
            <w:r>
              <w:rPr>
                <w:rFonts w:ascii="微软雅黑" w:eastAsia="微软雅黑" w:hAnsi="微软雅黑" w:cs="微软雅黑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、趋势分析</w:t>
            </w:r>
            <w:r>
              <w:rPr>
                <w:rFonts w:ascii="微软雅黑" w:eastAsia="微软雅黑" w:hAnsi="微软雅黑" w:cs="微软雅黑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、未达标的内容和事件 ，并针对不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同运维服务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内容提供服务报告模板；</w:t>
            </w:r>
          </w:p>
          <w:p>
            <w:pPr>
              <w:spacing w:line="209" w:lineRule="auto"/>
              <w:ind w:left="2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c) 及时跟进和解决服务报告中提出的问题 ；</w:t>
            </w:r>
          </w:p>
          <w:p>
            <w:pPr>
              <w:spacing w:before="1" w:line="209" w:lineRule="auto"/>
              <w:ind w:left="21" w:right="20" w:firstLine="3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d) 服务报告计划需满足</w:t>
            </w: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SLA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的约定或供方的制度</w:t>
            </w:r>
            <w:r>
              <w:rPr>
                <w:rFonts w:ascii="微软雅黑" w:eastAsia="微软雅黑" w:hAnsi="微软雅黑" w:cs="微软雅黑"/>
                <w:spacing w:val="-1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。服务报告计划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可多种形式；</w:t>
            </w:r>
          </w:p>
          <w:p>
            <w:pPr>
              <w:spacing w:line="224" w:lineRule="auto"/>
              <w:ind w:left="2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e) 服务报告应进行有效的分类</w:t>
            </w:r>
            <w:r>
              <w:rPr>
                <w:rFonts w:ascii="微软雅黑" w:eastAsia="微软雅黑" w:hAnsi="微软雅黑" w:cs="微软雅黑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。</w:t>
            </w:r>
          </w:p>
        </w:tc>
        <w:tc>
          <w:tcPr>
            <w:tcW w:w="1743" w:type="dxa"/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spacing w:before="51" w:line="187" w:lineRule="auto"/>
              <w:ind w:left="3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2"/>
                <w:sz w:val="12"/>
                <w:szCs w:val="12"/>
              </w:rPr>
              <w:t>审查文档 ：服务报告</w:t>
            </w:r>
          </w:p>
        </w:tc>
        <w:tc>
          <w:tcPr>
            <w:tcW w:w="1002" w:type="dxa"/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51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51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5"/>
        </w:trPr>
        <w:tc>
          <w:tcPr>
            <w:tcW w:w="1161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1" w:line="230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9.4 事件管理</w:t>
            </w:r>
          </w:p>
        </w:tc>
        <w:tc>
          <w:tcPr>
            <w:tcW w:w="3569" w:type="dxa"/>
          </w:tcPr>
          <w:p>
            <w:pPr>
              <w:spacing w:before="52" w:line="210" w:lineRule="auto"/>
              <w:ind w:right="1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a) 具备事件管理工具 ，制定事件记录模板 ，保存事件记录</w:t>
            </w:r>
            <w:r>
              <w:rPr>
                <w:rFonts w:ascii="微软雅黑" w:eastAsia="微软雅黑" w:hAnsi="微软雅黑" w:cs="微软雅黑"/>
                <w:spacing w:val="-3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、事件回访记录和事件管理报告；</w:t>
            </w:r>
          </w:p>
          <w:p>
            <w:pPr>
              <w:spacing w:line="209" w:lineRule="auto"/>
              <w:ind w:left="29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b) 建立事件或故障分类分级机制 ，并保持与组织业务相适应。</w:t>
            </w:r>
          </w:p>
          <w:p>
            <w:pPr>
              <w:spacing w:line="209" w:lineRule="auto"/>
              <w:ind w:left="2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c) 建立事件升级机制；</w:t>
            </w:r>
          </w:p>
          <w:p>
            <w:pPr>
              <w:spacing w:line="224" w:lineRule="auto"/>
              <w:ind w:left="2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d) 建立事件评估机制 ，包括事件解决率</w:t>
            </w:r>
            <w:r>
              <w:rPr>
                <w:rFonts w:ascii="微软雅黑" w:eastAsia="微软雅黑" w:hAnsi="微软雅黑" w:cs="微软雅黑"/>
                <w:spacing w:val="-1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、事件平均解决时间等</w:t>
            </w:r>
          </w:p>
        </w:tc>
        <w:tc>
          <w:tcPr>
            <w:tcW w:w="1743" w:type="dxa"/>
          </w:tcPr>
          <w:p>
            <w:pPr>
              <w:spacing w:before="179" w:line="210" w:lineRule="auto"/>
              <w:ind w:left="24" w:right="35" w:firstLine="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审查文档 ：事件管理流程制度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、事件记录  运维管理系统事件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处理流程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，事件解决完成后都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进行了关闭</w:t>
            </w:r>
            <w:r>
              <w:rPr>
                <w:rFonts w:ascii="微软雅黑" w:eastAsia="微软雅黑" w:hAnsi="微软雅黑" w:cs="微软雅黑"/>
                <w:spacing w:val="-1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，可进行事件解决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率、事件平均解决时间的统</w:t>
            </w:r>
          </w:p>
          <w:p>
            <w:pPr>
              <w:spacing w:before="1" w:line="220" w:lineRule="auto"/>
              <w:ind w:left="25" w:right="11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计</w:t>
            </w:r>
            <w:r>
              <w:rPr>
                <w:rFonts w:ascii="微软雅黑" w:eastAsia="微软雅黑" w:hAnsi="微软雅黑" w:cs="微软雅黑"/>
                <w:spacing w:val="-17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，事件度管理流程中缺少重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大故障报告模板</w:t>
            </w:r>
          </w:p>
        </w:tc>
        <w:tc>
          <w:tcPr>
            <w:tcW w:w="1002" w:type="dxa"/>
          </w:tcPr>
          <w:p>
            <w:pPr>
              <w:pStyle w:val="TableText"/>
              <w:spacing w:line="332" w:lineRule="auto"/>
            </w:pPr>
          </w:p>
          <w:p>
            <w:pPr>
              <w:pStyle w:val="TableText"/>
              <w:spacing w:line="333" w:lineRule="auto"/>
            </w:pPr>
          </w:p>
          <w:p>
            <w:pPr>
              <w:spacing w:before="51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332" w:lineRule="auto"/>
            </w:pPr>
          </w:p>
          <w:p>
            <w:pPr>
              <w:pStyle w:val="TableText"/>
              <w:spacing w:line="333" w:lineRule="auto"/>
            </w:pPr>
          </w:p>
          <w:p>
            <w:pPr>
              <w:spacing w:before="51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7"/>
        </w:trPr>
        <w:tc>
          <w:tcPr>
            <w:tcW w:w="1161" w:type="dxa"/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52" w:line="229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9.5</w:t>
            </w:r>
            <w:r>
              <w:rPr>
                <w:rFonts w:ascii="微软雅黑" w:eastAsia="微软雅黑" w:hAnsi="微软雅黑" w:cs="微软雅黑"/>
                <w:spacing w:val="15"/>
                <w:w w:val="10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问题管理</w:t>
            </w:r>
          </w:p>
        </w:tc>
        <w:tc>
          <w:tcPr>
            <w:tcW w:w="3569" w:type="dxa"/>
          </w:tcPr>
          <w:p>
            <w:pPr>
              <w:spacing w:before="109" w:line="210" w:lineRule="auto"/>
              <w:ind w:left="20" w:right="15" w:firstLine="4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a) 建立与问题管理过程一致的活动 ，包括问题建立 、分类、调查和诊断、关闭等；</w:t>
            </w:r>
          </w:p>
          <w:p>
            <w:pPr>
              <w:spacing w:line="209" w:lineRule="auto"/>
              <w:ind w:left="21" w:right="20" w:firstLine="8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b) 建立有效的问题解决评估机制 ，包括问题解决率</w:t>
            </w:r>
            <w:r>
              <w:rPr>
                <w:rFonts w:ascii="微软雅黑" w:eastAsia="微软雅黑" w:hAnsi="微软雅黑" w:cs="微软雅黑"/>
                <w:spacing w:val="-1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、问题平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均解决时间等；</w:t>
            </w:r>
          </w:p>
          <w:p>
            <w:pPr>
              <w:spacing w:before="1" w:line="212" w:lineRule="auto"/>
              <w:ind w:left="20" w:right="21" w:firstLine="4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7"/>
                <w:sz w:val="12"/>
                <w:szCs w:val="12"/>
              </w:rPr>
              <w:t>c) 有支撑问题管理活动和结果的问题记录文档</w:t>
            </w:r>
            <w:r>
              <w:rPr>
                <w:rFonts w:ascii="微软雅黑" w:eastAsia="微软雅黑" w:hAnsi="微软雅黑" w:cs="微软雅黑"/>
                <w:spacing w:val="16"/>
                <w:w w:val="102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sz w:val="12"/>
                <w:szCs w:val="12"/>
              </w:rPr>
              <w:t>、问题管理报告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等</w:t>
            </w:r>
            <w:r>
              <w:rPr>
                <w:rFonts w:ascii="微软雅黑" w:eastAsia="微软雅黑" w:hAnsi="微软雅黑" w:cs="微软雅黑"/>
                <w:spacing w:val="-15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，并与知识库关联。</w:t>
            </w:r>
          </w:p>
        </w:tc>
        <w:tc>
          <w:tcPr>
            <w:tcW w:w="1743" w:type="dxa"/>
          </w:tcPr>
          <w:p>
            <w:pPr>
              <w:pStyle w:val="TableText"/>
              <w:spacing w:line="437" w:lineRule="auto"/>
            </w:pPr>
          </w:p>
          <w:p>
            <w:pPr>
              <w:spacing w:before="51" w:line="221" w:lineRule="auto"/>
              <w:ind w:left="30" w:right="11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审查文档 ：问题管理流程制度</w:t>
            </w:r>
            <w:r>
              <w:rPr>
                <w:rFonts w:ascii="微软雅黑" w:eastAsia="微软雅黑" w:hAnsi="微软雅黑" w:cs="微软雅黑"/>
                <w:spacing w:val="9"/>
                <w:w w:val="10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、问题记录</w:t>
            </w:r>
          </w:p>
        </w:tc>
        <w:tc>
          <w:tcPr>
            <w:tcW w:w="1002" w:type="dxa"/>
          </w:tcPr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52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52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/>
        </w:trPr>
        <w:tc>
          <w:tcPr>
            <w:tcW w:w="1161" w:type="dxa"/>
          </w:tcPr>
          <w:p>
            <w:pPr>
              <w:spacing w:before="260" w:line="230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9.6 配置管理</w:t>
            </w:r>
          </w:p>
        </w:tc>
        <w:tc>
          <w:tcPr>
            <w:tcW w:w="3569" w:type="dxa"/>
          </w:tcPr>
          <w:p>
            <w:pPr>
              <w:spacing w:before="25" w:line="184" w:lineRule="auto"/>
              <w:ind w:left="19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供方应根据配置管理的过程要求</w:t>
            </w:r>
            <w:r>
              <w:rPr>
                <w:rFonts w:ascii="微软雅黑" w:eastAsia="微软雅黑" w:hAnsi="微软雅黑" w:cs="微软雅黑"/>
                <w:spacing w:val="-1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：</w:t>
            </w:r>
          </w:p>
          <w:p>
            <w:pPr>
              <w:spacing w:line="209" w:lineRule="auto"/>
              <w:ind w:left="24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a) 建立与业务相适应的配置管理数据库</w:t>
            </w:r>
            <w:r>
              <w:rPr>
                <w:rFonts w:ascii="微软雅黑" w:eastAsia="微软雅黑" w:hAnsi="微软雅黑" w:cs="微软雅黑"/>
                <w:spacing w:val="7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；</w:t>
            </w:r>
          </w:p>
          <w:p>
            <w:pPr>
              <w:spacing w:line="224" w:lineRule="auto"/>
              <w:ind w:left="29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b) 建立配置管理规范</w:t>
            </w:r>
            <w:r>
              <w:rPr>
                <w:rFonts w:ascii="微软雅黑" w:eastAsia="微软雅黑" w:hAnsi="微软雅黑" w:cs="微软雅黑"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、配置管理数据库管理规范</w:t>
            </w:r>
            <w:r>
              <w:rPr>
                <w:rFonts w:ascii="微软雅黑" w:eastAsia="微软雅黑" w:hAnsi="微软雅黑" w:cs="微软雅黑"/>
                <w:spacing w:val="-8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、配置管理记录</w:t>
            </w:r>
          </w:p>
          <w:p>
            <w:pPr>
              <w:spacing w:before="97" w:line="17" w:lineRule="exact"/>
              <w:ind w:left="27"/>
              <w:rPr>
                <w:rFonts w:ascii="微软雅黑" w:eastAsia="微软雅黑" w:hAnsi="微软雅黑" w:cs="微软雅黑"/>
                <w:sz w:val="6"/>
                <w:szCs w:val="6"/>
              </w:rPr>
            </w:pPr>
            <w:r>
              <w:rPr>
                <w:rFonts w:ascii="微软雅黑" w:eastAsia="微软雅黑" w:hAnsi="微软雅黑" w:cs="微软雅黑"/>
                <w:sz w:val="6"/>
                <w:szCs w:val="6"/>
              </w:rPr>
              <w:t>。</w:t>
            </w:r>
          </w:p>
        </w:tc>
        <w:tc>
          <w:tcPr>
            <w:tcW w:w="1743" w:type="dxa"/>
          </w:tcPr>
          <w:p>
            <w:pPr>
              <w:spacing w:before="190" w:line="221" w:lineRule="auto"/>
              <w:ind w:left="25" w:right="96" w:firstLine="4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审查文档 ：配置管理制度</w:t>
            </w:r>
            <w:r>
              <w:rPr>
                <w:rFonts w:ascii="微软雅黑" w:eastAsia="微软雅黑" w:hAnsi="微软雅黑" w:cs="微软雅黑"/>
                <w:spacing w:val="-12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2"/>
                <w:szCs w:val="12"/>
              </w:rPr>
              <w:t>、配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置管理数据库</w:t>
            </w:r>
          </w:p>
        </w:tc>
        <w:tc>
          <w:tcPr>
            <w:tcW w:w="1002" w:type="dxa"/>
          </w:tcPr>
          <w:p>
            <w:pPr>
              <w:spacing w:before="282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spacing w:before="282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/>
        </w:trPr>
        <w:tc>
          <w:tcPr>
            <w:tcW w:w="1161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51" w:line="230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9.7 变更管理</w:t>
            </w:r>
          </w:p>
        </w:tc>
        <w:tc>
          <w:tcPr>
            <w:tcW w:w="3569" w:type="dxa"/>
          </w:tcPr>
          <w:p>
            <w:pPr>
              <w:spacing w:before="187" w:line="197" w:lineRule="auto"/>
              <w:ind w:left="20" w:right="17" w:hanging="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供方通过管理</w:t>
            </w:r>
            <w:r>
              <w:rPr>
                <w:rFonts w:ascii="微软雅黑" w:eastAsia="微软雅黑" w:hAnsi="微软雅黑" w:cs="微软雅黑"/>
                <w:spacing w:val="-15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、控制变更的过程 ，确保变更有序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实施</w:t>
            </w:r>
            <w:r>
              <w:rPr>
                <w:rFonts w:ascii="微软雅黑" w:eastAsia="微软雅黑" w:hAnsi="微软雅黑" w:cs="微软雅黑"/>
                <w:spacing w:val="-1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。供方应根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据变更管理的过程要求 ，实现以下方面：</w:t>
            </w:r>
          </w:p>
          <w:p>
            <w:pPr>
              <w:spacing w:line="209" w:lineRule="auto"/>
              <w:ind w:left="21" w:right="27" w:firstLine="3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a) 定义变更类型</w:t>
            </w:r>
            <w:r>
              <w:rPr>
                <w:rFonts w:ascii="微软雅黑" w:eastAsia="微软雅黑" w:hAnsi="微软雅黑" w:cs="微软雅黑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，建立变更范围管理机制 ，明确变更审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批负责人或变更审批委员会；</w:t>
            </w:r>
          </w:p>
          <w:p>
            <w:pPr>
              <w:spacing w:before="1" w:line="225" w:lineRule="auto"/>
              <w:ind w:left="20" w:right="11" w:firstLine="8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b) 制定变更管理规范 ，保存变更管理记录 ，包括变更申请单</w:t>
            </w:r>
            <w:r>
              <w:rPr>
                <w:rFonts w:ascii="微软雅黑" w:eastAsia="微软雅黑" w:hAnsi="微软雅黑" w:cs="微软雅黑"/>
                <w:spacing w:val="-14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、审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批记录、变更管理报告等；</w:t>
            </w:r>
          </w:p>
        </w:tc>
        <w:tc>
          <w:tcPr>
            <w:tcW w:w="1743" w:type="dxa"/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52" w:line="221" w:lineRule="auto"/>
              <w:ind w:left="30" w:right="11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审查文档：变更管理流程制度</w:t>
            </w:r>
            <w:r>
              <w:rPr>
                <w:rFonts w:ascii="微软雅黑" w:eastAsia="微软雅黑" w:hAnsi="微软雅黑" w:cs="微软雅黑"/>
                <w:spacing w:val="5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2"/>
                <w:szCs w:val="12"/>
              </w:rPr>
              <w:t>、变更记录</w:t>
            </w:r>
          </w:p>
        </w:tc>
        <w:tc>
          <w:tcPr>
            <w:tcW w:w="1002" w:type="dxa"/>
          </w:tcPr>
          <w:p>
            <w:pPr>
              <w:pStyle w:val="TableText"/>
              <w:spacing w:line="291" w:lineRule="auto"/>
            </w:pPr>
          </w:p>
          <w:p>
            <w:pPr>
              <w:pStyle w:val="TableText"/>
              <w:spacing w:line="292" w:lineRule="auto"/>
            </w:pPr>
          </w:p>
          <w:p>
            <w:pPr>
              <w:spacing w:before="52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292" w:lineRule="auto"/>
            </w:pPr>
          </w:p>
          <w:p>
            <w:pPr>
              <w:pStyle w:val="TableText"/>
              <w:spacing w:line="292" w:lineRule="auto"/>
            </w:pPr>
          </w:p>
          <w:p>
            <w:pPr>
              <w:spacing w:before="51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/>
        </w:trPr>
        <w:tc>
          <w:tcPr>
            <w:tcW w:w="1161" w:type="dxa"/>
          </w:tcPr>
          <w:p>
            <w:pPr>
              <w:pStyle w:val="TableText"/>
              <w:spacing w:line="283" w:lineRule="auto"/>
            </w:pPr>
          </w:p>
          <w:p>
            <w:pPr>
              <w:spacing w:before="52" w:line="230" w:lineRule="auto"/>
              <w:ind w:left="23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9.8 发布管理</w:t>
            </w:r>
          </w:p>
        </w:tc>
        <w:tc>
          <w:tcPr>
            <w:tcW w:w="3569" w:type="dxa"/>
          </w:tcPr>
          <w:p>
            <w:pPr>
              <w:spacing w:before="271" w:line="220" w:lineRule="auto"/>
              <w:ind w:left="20" w:right="14" w:firstLine="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制定发布管理规范 ，保存发布过程记录 ，包括</w:t>
            </w:r>
            <w:r>
              <w:rPr>
                <w:rFonts w:ascii="微软雅黑" w:eastAsia="微软雅黑" w:hAnsi="微软雅黑" w:cs="微软雅黑"/>
                <w:spacing w:val="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：发布计划</w:t>
            </w:r>
            <w:r>
              <w:rPr>
                <w:rFonts w:ascii="微软雅黑" w:eastAsia="微软雅黑" w:hAnsi="微软雅黑" w:cs="微软雅黑"/>
                <w:spacing w:val="-17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、测试方案、回退方案</w:t>
            </w:r>
            <w:r>
              <w:rPr>
                <w:rFonts w:ascii="微软雅黑" w:eastAsia="微软雅黑" w:hAnsi="微软雅黑" w:cs="微软雅黑"/>
                <w:spacing w:val="-4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、发布记录</w:t>
            </w:r>
            <w:r>
              <w:rPr>
                <w:rFonts w:ascii="微软雅黑" w:eastAsia="微软雅黑" w:hAnsi="微软雅黑" w:cs="微软雅黑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、发布评估报告等。</w:t>
            </w:r>
          </w:p>
        </w:tc>
        <w:tc>
          <w:tcPr>
            <w:tcW w:w="1743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51" w:line="187" w:lineRule="auto"/>
              <w:ind w:left="3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审查文档：发布管理流程制度</w:t>
            </w:r>
          </w:p>
        </w:tc>
        <w:tc>
          <w:tcPr>
            <w:tcW w:w="1002" w:type="dxa"/>
          </w:tcPr>
          <w:p>
            <w:pPr>
              <w:pStyle w:val="TableText"/>
              <w:spacing w:line="306" w:lineRule="auto"/>
            </w:pPr>
          </w:p>
          <w:p>
            <w:pPr>
              <w:spacing w:before="51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306" w:lineRule="auto"/>
            </w:pPr>
          </w:p>
          <w:p>
            <w:pPr>
              <w:spacing w:before="51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  <w:tr>
        <w:tblPrEx>
          <w:tblW w:w="898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/>
        </w:trPr>
        <w:tc>
          <w:tcPr>
            <w:tcW w:w="1161" w:type="dxa"/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spacing w:before="51" w:line="230" w:lineRule="auto"/>
              <w:ind w:left="106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9.9 信息安全管理</w:t>
            </w:r>
          </w:p>
        </w:tc>
        <w:tc>
          <w:tcPr>
            <w:tcW w:w="3569" w:type="dxa"/>
          </w:tcPr>
          <w:p>
            <w:pPr>
              <w:spacing w:before="184" w:line="197" w:lineRule="auto"/>
              <w:ind w:left="20" w:right="17" w:hanging="1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供方应建立运行维护服务过程中的信息安全管理过程</w:t>
            </w:r>
            <w:r>
              <w:rPr>
                <w:rFonts w:ascii="微软雅黑" w:eastAsia="微软雅黑" w:hAnsi="微软雅黑" w:cs="微软雅黑"/>
                <w:spacing w:val="4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，并重点关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注以下方面：</w:t>
            </w:r>
          </w:p>
          <w:p>
            <w:pPr>
              <w:spacing w:before="1" w:line="209" w:lineRule="auto"/>
              <w:ind w:left="20" w:right="17" w:firstLine="3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a) 建立信息安全管理过程 ，包括安全方针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、策略等</w:t>
            </w:r>
            <w:r>
              <w:rPr>
                <w:rFonts w:ascii="微软雅黑" w:eastAsia="微软雅黑" w:hAnsi="微软雅黑" w:cs="微软雅黑"/>
                <w:spacing w:val="-10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，并对信息安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全风险进行识别</w:t>
            </w:r>
            <w:r>
              <w:rPr>
                <w:rFonts w:ascii="微软雅黑" w:eastAsia="微软雅黑" w:hAnsi="微软雅黑" w:cs="微软雅黑"/>
                <w:spacing w:val="-12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、评估、处置和改进</w:t>
            </w:r>
            <w:r>
              <w:rPr>
                <w:rFonts w:ascii="微软雅黑" w:eastAsia="微软雅黑" w:hAnsi="微软雅黑" w:cs="微软雅黑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"/>
                <w:sz w:val="12"/>
                <w:szCs w:val="12"/>
              </w:rPr>
              <w:t>，形成相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关记录</w:t>
            </w:r>
            <w:r>
              <w:rPr>
                <w:rFonts w:ascii="微软雅黑" w:eastAsia="微软雅黑" w:hAnsi="微软雅黑" w:cs="微软雅黑"/>
                <w:spacing w:val="-6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，如信息安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全控制措施及风险评估记录</w:t>
            </w:r>
            <w:r>
              <w:rPr>
                <w:rFonts w:ascii="微软雅黑" w:eastAsia="微软雅黑" w:hAnsi="微软雅黑" w:cs="微软雅黑"/>
                <w:spacing w:val="8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、实施记录等；</w:t>
            </w:r>
          </w:p>
          <w:p>
            <w:pPr>
              <w:spacing w:line="224" w:lineRule="auto"/>
              <w:ind w:left="29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b) 建立与组织业务相适应的信息安全事</w:t>
            </w: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件处理流程 。</w:t>
            </w:r>
          </w:p>
        </w:tc>
        <w:tc>
          <w:tcPr>
            <w:tcW w:w="1743" w:type="dxa"/>
          </w:tcPr>
          <w:p>
            <w:pPr>
              <w:pStyle w:val="TableText"/>
              <w:spacing w:line="290" w:lineRule="auto"/>
            </w:pPr>
          </w:p>
          <w:p>
            <w:pPr>
              <w:pStyle w:val="TableText"/>
              <w:spacing w:line="290" w:lineRule="auto"/>
            </w:pPr>
          </w:p>
          <w:p>
            <w:pPr>
              <w:spacing w:before="51" w:line="187" w:lineRule="auto"/>
              <w:ind w:left="3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2"/>
                <w:sz w:val="12"/>
                <w:szCs w:val="12"/>
              </w:rPr>
              <w:t>审查文档：信息安全管理流程</w:t>
            </w:r>
          </w:p>
        </w:tc>
        <w:tc>
          <w:tcPr>
            <w:tcW w:w="1002" w:type="dxa"/>
          </w:tcPr>
          <w:p>
            <w:pPr>
              <w:pStyle w:val="TableText"/>
              <w:spacing w:line="290" w:lineRule="auto"/>
            </w:pPr>
          </w:p>
          <w:p>
            <w:pPr>
              <w:pStyle w:val="TableText"/>
              <w:spacing w:line="291" w:lineRule="auto"/>
            </w:pPr>
          </w:p>
          <w:p>
            <w:pPr>
              <w:spacing w:before="51" w:line="186" w:lineRule="auto"/>
              <w:ind w:left="320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运维部</w:t>
            </w:r>
          </w:p>
        </w:tc>
        <w:tc>
          <w:tcPr>
            <w:tcW w:w="1514" w:type="dxa"/>
          </w:tcPr>
          <w:p>
            <w:pPr>
              <w:pStyle w:val="TableText"/>
              <w:spacing w:line="290" w:lineRule="auto"/>
            </w:pPr>
          </w:p>
          <w:p>
            <w:pPr>
              <w:pStyle w:val="TableText"/>
              <w:spacing w:line="291" w:lineRule="auto"/>
            </w:pPr>
          </w:p>
          <w:p>
            <w:pPr>
              <w:spacing w:before="51" w:line="186" w:lineRule="auto"/>
              <w:ind w:left="635"/>
              <w:rPr>
                <w:rFonts w:ascii="微软雅黑" w:eastAsia="微软雅黑" w:hAnsi="微软雅黑" w:cs="微软雅黑"/>
                <w:sz w:val="12"/>
                <w:szCs w:val="12"/>
              </w:rPr>
            </w:pPr>
            <w:r>
              <w:rPr>
                <w:rFonts w:ascii="微软雅黑" w:eastAsia="微软雅黑" w:hAnsi="微软雅黑" w:cs="微软雅黑"/>
                <w:spacing w:val="1"/>
                <w:sz w:val="12"/>
                <w:szCs w:val="12"/>
              </w:rPr>
              <w:t>符合</w:t>
            </w:r>
          </w:p>
        </w:tc>
      </w:tr>
    </w:tbl>
    <w:p>
      <w:pPr>
        <w:pStyle w:val="BodyText"/>
      </w:pPr>
    </w:p>
    <w:p>
      <w:pPr>
        <w:pStyle w:val="BodyText"/>
      </w:pPr>
    </w:p>
    <w:sectPr>
      <w:pgSz w:w="11905" w:h="16837"/>
      <w:pgMar w:top="720" w:right="720" w:bottom="720" w:left="72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1" w:color="auto"/>
      </w:pBdr>
      <w:tabs>
        <w:tab w:val="center" w:pos="4649"/>
      </w:tabs>
      <w:ind w:right="420"/>
      <w:rPr>
        <w:rFonts w:eastAsia="华文细黑" w:asciiTheme="majorEastAsia" w:hAnsiTheme="majorEastAsia" w:cstheme="majorEastAsia"/>
        <w:bCs/>
        <w:sz w:val="18"/>
        <w:szCs w:val="18"/>
      </w:rPr>
    </w:pPr>
    <w:r>
      <w:rPr>
        <w:rFonts w:ascii="华文细黑" w:eastAsia="华文细黑" w:hAnsi="华文细黑" w:hint="eastAsia"/>
        <w:szCs w:val="21"/>
      </w:rPr>
      <w:t xml:space="preserve">                                             </w:t>
    </w:r>
    <w:r>
      <w:rPr>
        <w:rFonts w:ascii="华文细黑" w:eastAsia="华文细黑" w:hAnsi="华文细黑"/>
        <w:szCs w:val="21"/>
      </w:rPr>
      <w:t xml:space="preserve">            </w:t>
    </w:r>
    <w:r>
      <w:rPr>
        <w:rFonts w:ascii="华文细黑" w:eastAsia="华文细黑" w:hAnsi="华文细黑" w:hint="eastAsia"/>
        <w:szCs w:val="21"/>
      </w:rPr>
      <w:t xml:space="preserve">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4D417B1"/>
    <w:multiLevelType w:val="multilevel"/>
    <w:tmpl w:val="54D417B1"/>
    <w:lvl w:ilvl="0">
      <w:start w:val="1"/>
      <w:numFmt w:val="decimal"/>
      <w:pStyle w:val="B1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displayHorizontalDrawingGridEvery w:val="0"/>
  <w:displayVerticalDrawingGridEvery w:val="2"/>
  <w:characterSpacingControl w:val="doNotCompress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a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0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B1">
    <w:name w:val="首页B1"/>
    <w:basedOn w:val="Normal"/>
    <w:qFormat/>
    <w:pPr>
      <w:numPr>
        <w:ilvl w:val="0"/>
        <w:numId w:val="1"/>
      </w:numPr>
      <w:spacing w:before="120" w:after="120" w:line="288" w:lineRule="auto"/>
    </w:pPr>
    <w:rPr>
      <w:rFonts w:ascii="Times New Roman" w:hAnsi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Pages>8</Pages>
  <Words>3707</Words>
  <Characters>3877</Characters>
  <Application>Microsoft Office Word</Application>
  <DocSecurity>0</DocSecurity>
  <Lines>1</Lines>
  <Paragraphs>1</Paragraphs>
  <ScaleCrop>false</ScaleCrop>
  <Company/>
  <LinksUpToDate>false</LinksUpToDate>
  <CharactersWithSpaces>4131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bailu</dc:creator>
  <cp:lastModifiedBy>高</cp:lastModifiedBy>
  <cp:revision>1</cp:revision>
  <dcterms:created xsi:type="dcterms:W3CDTF">2024-06-17T21:32:00Z</dcterms:created>
  <dcterms:modified xsi:type="dcterms:W3CDTF">2025-11-27T17:34:24Z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2025-11-26T23:12:36Z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31CA402A5D4245AEA2BB6D05D959B6D4_12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eyJoZGlkIjoiYjNkMjBiZWMwOTdhZGQ2MWQ5ZDY4YmViMWU1MzUxNjMiLCJ1c2VySWQiOiIxNTUxODc1Nzk4In0=</vt:lpwstr>
  </property>
</Properties>
</file>