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ind w:firstLine="420"/>
        <w:jc w:val="center"/>
        <w:rPr>
          <w:b/>
          <w:sz w:val="48"/>
          <w:szCs w:val="48"/>
        </w:rPr>
      </w:pPr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-1263650</wp:posOffset>
            </wp:positionH>
            <wp:positionV relativeFrom="paragraph">
              <wp:posOffset>-1162685</wp:posOffset>
            </wp:positionV>
            <wp:extent cx="8055610" cy="11728450"/>
            <wp:effectExtent l="9525" t="9525" r="12065" b="1206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63442" cy="11740074"/>
                    </a:xfrm>
                    <a:prstGeom prst="rect">
                      <a:avLst/>
                    </a:prstGeom>
                    <a:solidFill>
                      <a:schemeClr val="tx2">
                        <a:lumMod val="40000"/>
                        <a:lumOff val="60000"/>
                        <a:alpha val="44000"/>
                      </a:schemeClr>
                    </a:solidFill>
                    <a:ln>
                      <a:solidFill>
                        <a:schemeClr val="accent1">
                          <a:alpha val="49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tabs>
          <w:tab w:val="left" w:pos="6690"/>
        </w:tabs>
        <w:ind w:firstLine="964"/>
        <w:jc w:val="left"/>
        <w:rPr>
          <w:b/>
          <w:sz w:val="48"/>
          <w:szCs w:val="48"/>
        </w:rPr>
      </w:pPr>
      <w:r>
        <w:rPr>
          <w:b/>
          <w:sz w:val="48"/>
          <w:szCs w:val="48"/>
        </w:rPr>
        <w:tab/>
      </w:r>
    </w:p>
    <w:p>
      <w:pPr>
        <w:rPr>
          <w:rFonts w:hint="eastAsia"/>
          <w:b/>
          <w:sz w:val="48"/>
          <w:szCs w:val="48"/>
        </w:rPr>
      </w:pPr>
    </w:p>
    <w:p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</w:p>
    <w:p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52"/>
        </w:rPr>
        <w:t>甘肃国邦信息科技有限公司</w:t>
      </w:r>
    </w:p>
    <w:p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</w:p>
    <w:p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管理评审计划</w:t>
      </w:r>
    </w:p>
    <w:p>
      <w:pPr>
        <w:spacing w:after="120" w:afterLines="50"/>
        <w:jc w:val="center"/>
        <w:rPr>
          <w:b/>
          <w:sz w:val="48"/>
          <w:szCs w:val="48"/>
        </w:rPr>
      </w:pPr>
    </w:p>
    <w:p>
      <w:pPr>
        <w:spacing w:after="120" w:afterLines="50"/>
        <w:jc w:val="center"/>
        <w:rPr>
          <w:b/>
          <w:sz w:val="48"/>
          <w:szCs w:val="48"/>
        </w:rPr>
      </w:pPr>
    </w:p>
    <w:p>
      <w:pPr>
        <w:spacing w:after="120" w:afterLines="50"/>
        <w:jc w:val="center"/>
        <w:rPr>
          <w:b/>
          <w:sz w:val="48"/>
          <w:szCs w:val="48"/>
        </w:rPr>
      </w:pPr>
      <w:r>
        <w:rPr>
          <w:rFonts w:ascii="宋体" w:hAnsi="宋体" w:cs="宋体" w:hint="eastAsia"/>
          <w:b/>
          <w:bCs/>
          <w:sz w:val="36"/>
          <w:szCs w:val="36"/>
        </w:rPr>
        <w:t>GSGB-ITSS-0</w:t>
      </w:r>
      <w:r>
        <w:rPr>
          <w:rFonts w:ascii="宋体" w:hAnsi="宋体" w:cs="宋体"/>
          <w:b/>
          <w:bCs/>
          <w:sz w:val="36"/>
          <w:szCs w:val="36"/>
        </w:rPr>
        <w:t>7</w:t>
      </w:r>
      <w:r>
        <w:rPr>
          <w:rFonts w:ascii="宋体" w:hAnsi="宋体" w:cs="宋体" w:hint="eastAsia"/>
          <w:b/>
          <w:bCs/>
          <w:sz w:val="36"/>
          <w:szCs w:val="36"/>
        </w:rPr>
        <w:t>-0</w:t>
      </w:r>
      <w:r>
        <w:rPr>
          <w:rFonts w:ascii="宋体" w:hAnsi="宋体" w:cs="宋体"/>
          <w:b/>
          <w:bCs/>
          <w:sz w:val="36"/>
          <w:szCs w:val="36"/>
        </w:rPr>
        <w:t>7</w:t>
      </w:r>
    </w:p>
    <w:p>
      <w:pPr>
        <w:spacing w:after="120" w:afterLines="50"/>
        <w:ind w:firstLine="720"/>
        <w:rPr>
          <w:sz w:val="36"/>
          <w:szCs w:val="36"/>
        </w:rPr>
      </w:pPr>
    </w:p>
    <w:p>
      <w:pPr>
        <w:spacing w:after="120" w:afterLines="50"/>
        <w:ind w:firstLine="720"/>
        <w:rPr>
          <w:sz w:val="36"/>
          <w:szCs w:val="36"/>
        </w:rPr>
      </w:pPr>
    </w:p>
    <w:p>
      <w:pPr>
        <w:tabs>
          <w:tab w:val="left" w:pos="0"/>
        </w:tabs>
        <w:spacing w:line="1000" w:lineRule="exact"/>
        <w:ind w:firstLine="1050" w:firstLineChars="500"/>
        <w:jc w:val="left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拟制人：</w:t>
      </w:r>
      <w:r>
        <w:rPr>
          <w:rFonts w:hint="eastAsia"/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  <w:lang w:eastAsia="zh-CN"/>
        </w:rPr>
        <w:t>金文莉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line="1000" w:lineRule="exact"/>
        <w:ind w:firstLine="1050" w:firstLineChars="50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审核人：</w:t>
      </w:r>
      <w:r>
        <w:rPr>
          <w:rFonts w:hint="eastAsia"/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  <w:lang w:val="en-US" w:eastAsia="zh-CN"/>
        </w:rPr>
        <w:t>兰伟东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line="1000" w:lineRule="exact"/>
        <w:ind w:firstLine="1050" w:firstLineChars="500"/>
        <w:jc w:val="left"/>
        <w:rPr>
          <w:rFonts w:hint="eastAsia"/>
          <w:b/>
          <w:sz w:val="32"/>
          <w:szCs w:val="32"/>
        </w:rPr>
      </w:pPr>
      <w:r>
        <w:rPr>
          <w:rFonts w:hint="eastAsia"/>
          <w:sz w:val="32"/>
          <w:szCs w:val="32"/>
        </w:rPr>
        <w:t>批准人：</w:t>
      </w:r>
      <w:r>
        <w:rPr>
          <w:rFonts w:hint="eastAsia"/>
          <w:sz w:val="32"/>
          <w:szCs w:val="32"/>
          <w:u w:val="single"/>
        </w:rPr>
        <w:t xml:space="preserve">         赵  鑫            </w:t>
      </w:r>
    </w:p>
    <w:p>
      <w:pPr>
        <w:tabs>
          <w:tab w:val="left" w:pos="0"/>
        </w:tabs>
        <w:spacing w:before="240" w:beforeLines="100" w:after="240" w:afterLines="100"/>
        <w:ind w:firstLine="720"/>
        <w:jc w:val="center"/>
        <w:rPr>
          <w:rFonts w:ascii="微软雅黑" w:eastAsia="微软雅黑" w:hAnsi="微软雅黑"/>
          <w:sz w:val="36"/>
          <w:szCs w:val="36"/>
        </w:rPr>
      </w:pPr>
    </w:p>
    <w:p>
      <w:pPr>
        <w:tabs>
          <w:tab w:val="left" w:pos="0"/>
        </w:tabs>
        <w:spacing w:before="240" w:beforeLines="100" w:after="240" w:afterLines="100"/>
        <w:ind w:firstLine="720"/>
        <w:jc w:val="center"/>
        <w:rPr>
          <w:rFonts w:ascii="微软雅黑" w:eastAsia="微软雅黑" w:hAnsi="微软雅黑"/>
          <w:sz w:val="36"/>
          <w:szCs w:val="36"/>
        </w:rPr>
      </w:pPr>
    </w:p>
    <w:p>
      <w:pPr>
        <w:tabs>
          <w:tab w:val="left" w:pos="0"/>
        </w:tabs>
        <w:spacing w:before="240" w:beforeLines="100" w:after="240" w:afterLines="100"/>
        <w:ind w:firstLine="720"/>
        <w:jc w:val="center"/>
        <w:rPr>
          <w:rFonts w:ascii="微软雅黑" w:eastAsia="微软雅黑" w:hAnsi="微软雅黑"/>
          <w:sz w:val="36"/>
          <w:szCs w:val="36"/>
        </w:rPr>
      </w:pPr>
    </w:p>
    <w:p>
      <w:pPr>
        <w:tabs>
          <w:tab w:val="left" w:pos="0"/>
        </w:tabs>
        <w:spacing w:before="240" w:beforeLines="100" w:after="240" w:afterLines="100"/>
        <w:ind w:firstLine="720"/>
        <w:jc w:val="center"/>
        <w:rPr>
          <w:rFonts w:ascii="微软雅黑" w:eastAsia="微软雅黑" w:hAnsi="微软雅黑"/>
          <w:sz w:val="36"/>
          <w:szCs w:val="36"/>
        </w:rPr>
      </w:pPr>
    </w:p>
    <w:p>
      <w:pPr>
        <w:tabs>
          <w:tab w:val="left" w:pos="0"/>
        </w:tabs>
        <w:spacing w:before="240" w:beforeLines="100" w:after="240" w:afterLines="100"/>
        <w:ind w:firstLine="720"/>
        <w:jc w:val="center"/>
        <w:rPr>
          <w:rFonts w:ascii="微软雅黑" w:eastAsia="微软雅黑" w:hAnsi="微软雅黑"/>
          <w:sz w:val="36"/>
          <w:szCs w:val="36"/>
        </w:rPr>
      </w:pPr>
      <w:r>
        <w:rPr>
          <w:rFonts w:ascii="微软雅黑" w:eastAsia="微软雅黑" w:hAnsi="微软雅黑" w:hint="eastAsia"/>
          <w:sz w:val="36"/>
          <w:szCs w:val="36"/>
        </w:rPr>
        <w:t>修改记录</w:t>
      </w:r>
    </w:p>
    <w:tbl>
      <w:tblPr>
        <w:tblStyle w:val="TableNormal"/>
        <w:tblW w:w="499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1"/>
        <w:gridCol w:w="1542"/>
        <w:gridCol w:w="1542"/>
        <w:gridCol w:w="1542"/>
        <w:gridCol w:w="1671"/>
        <w:gridCol w:w="1671"/>
      </w:tblGrid>
      <w:tr>
        <w:tblPrEx>
          <w:tblW w:w="4997" w:type="pct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810" w:type="pct"/>
            <w:vAlign w:val="center"/>
          </w:tcPr>
          <w:p>
            <w:pPr>
              <w:pStyle w:val="a7"/>
              <w:spacing w:line="240" w:lineRule="auto"/>
              <w:rPr>
                <w:rFonts w:ascii="微软雅黑" w:eastAsia="微软雅黑" w:cs="Arial" w:hint="eastAsia"/>
              </w:rPr>
            </w:pPr>
            <w:r>
              <w:rPr>
                <w:rFonts w:ascii="微软雅黑" w:eastAsia="微软雅黑" w:cs="Arial" w:hint="eastAsia"/>
              </w:rPr>
              <w:t>序号</w:t>
            </w:r>
          </w:p>
        </w:tc>
        <w:tc>
          <w:tcPr>
            <w:tcW w:w="810" w:type="pct"/>
            <w:vAlign w:val="center"/>
          </w:tcPr>
          <w:p>
            <w:pPr>
              <w:pStyle w:val="a7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新建/修改</w:t>
            </w:r>
          </w:p>
        </w:tc>
        <w:tc>
          <w:tcPr>
            <w:tcW w:w="810" w:type="pct"/>
            <w:vAlign w:val="center"/>
          </w:tcPr>
          <w:p>
            <w:pPr>
              <w:pStyle w:val="a7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拟制人</w:t>
            </w:r>
          </w:p>
        </w:tc>
        <w:tc>
          <w:tcPr>
            <w:tcW w:w="810" w:type="pct"/>
            <w:vAlign w:val="center"/>
          </w:tcPr>
          <w:p>
            <w:pPr>
              <w:pStyle w:val="a7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审核人</w:t>
            </w:r>
          </w:p>
        </w:tc>
        <w:tc>
          <w:tcPr>
            <w:tcW w:w="878" w:type="pct"/>
            <w:vAlign w:val="center"/>
          </w:tcPr>
          <w:p>
            <w:pPr>
              <w:pStyle w:val="a7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批准人</w:t>
            </w:r>
          </w:p>
        </w:tc>
        <w:tc>
          <w:tcPr>
            <w:tcW w:w="878" w:type="pct"/>
            <w:vAlign w:val="center"/>
          </w:tcPr>
          <w:p>
            <w:pPr>
              <w:pStyle w:val="a7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日期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8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1.0</w:t>
            </w:r>
          </w:p>
        </w:tc>
        <w:tc>
          <w:tcPr>
            <w:tcW w:w="810" w:type="pct"/>
            <w:vAlign w:val="center"/>
          </w:tcPr>
          <w:p>
            <w:pPr>
              <w:pStyle w:val="a8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新建</w:t>
            </w:r>
          </w:p>
        </w:tc>
        <w:tc>
          <w:tcPr>
            <w:tcW w:w="810" w:type="pct"/>
            <w:vAlign w:val="center"/>
          </w:tcPr>
          <w:p>
            <w:pPr>
              <w:pStyle w:val="a8"/>
              <w:spacing w:line="240" w:lineRule="auto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金文莉</w:t>
            </w:r>
          </w:p>
        </w:tc>
        <w:tc>
          <w:tcPr>
            <w:tcW w:w="810" w:type="pct"/>
            <w:vAlign w:val="center"/>
          </w:tcPr>
          <w:p>
            <w:pPr>
              <w:pStyle w:val="a8"/>
              <w:spacing w:line="240" w:lineRule="auto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val="en-US" w:eastAsia="zh-CN"/>
              </w:rPr>
              <w:t>兰伟东</w:t>
            </w:r>
          </w:p>
        </w:tc>
        <w:tc>
          <w:tcPr>
            <w:tcW w:w="878" w:type="pct"/>
            <w:vAlign w:val="center"/>
          </w:tcPr>
          <w:p>
            <w:pPr>
              <w:pStyle w:val="a8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黄益溪</w:t>
            </w:r>
          </w:p>
        </w:tc>
        <w:tc>
          <w:tcPr>
            <w:tcW w:w="878" w:type="pct"/>
            <w:vAlign w:val="center"/>
          </w:tcPr>
          <w:p>
            <w:pPr>
              <w:pStyle w:val="a8"/>
              <w:spacing w:line="240" w:lineRule="auto"/>
              <w:rPr>
                <w:rFonts w:ascii="微软雅黑" w:eastAsia="微软雅黑" w:hAnsi="微软雅黑" w:hint="default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lang w:val="en-US" w:eastAsia="zh-CN"/>
              </w:rPr>
              <w:t>2025.11.2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</w:tr>
    </w:tbl>
    <w:p>
      <w:pPr>
        <w:pStyle w:val="B1"/>
        <w:numPr>
          <w:ilvl w:val="0"/>
          <w:numId w:val="0"/>
        </w:numPr>
        <w:tabs>
          <w:tab w:val="clear" w:pos="360"/>
        </w:tabs>
        <w:spacing w:line="360" w:lineRule="auto"/>
        <w:rPr>
          <w:sz w:val="24"/>
        </w:rPr>
        <w:sectPr>
          <w:headerReference w:type="default" r:id="rId6"/>
          <w:footerReference w:type="default" r:id="rId7"/>
          <w:pgSz w:w="11907" w:h="16840"/>
          <w:pgMar w:top="1134" w:right="1304" w:bottom="1134" w:left="1304" w:header="851" w:footer="992" w:gutter="0"/>
          <w:pgBorders w:offsetFrom="page">
            <w:top w:val="nil"/>
            <w:left w:val="nil"/>
            <w:bottom w:val="nil"/>
            <w:right w:val="nil"/>
          </w:pgBorders>
          <w:pgNumType w:start="1"/>
          <w:cols w:num="1" w:space="720"/>
          <w:docGrid w:linePitch="312" w:charSpace="1118"/>
        </w:sectPr>
      </w:pPr>
    </w:p>
    <w:p>
      <w:pPr>
        <w:spacing w:line="440" w:lineRule="exact"/>
        <w:jc w:val="left"/>
        <w:rPr>
          <w:rFonts w:ascii="仿宋" w:eastAsia="仿宋" w:hAnsi="仿宋"/>
          <w:bCs/>
          <w:sz w:val="24"/>
          <w:szCs w:val="24"/>
        </w:rPr>
      </w:pPr>
    </w:p>
    <w:p>
      <w:pPr>
        <w:spacing w:line="440" w:lineRule="exact"/>
        <w:jc w:val="center"/>
        <w:rPr>
          <w:rFonts w:ascii="仿宋" w:eastAsia="仿宋" w:hAnsi="仿宋"/>
          <w:b/>
          <w:bCs/>
          <w:sz w:val="36"/>
          <w:szCs w:val="36"/>
        </w:rPr>
      </w:pPr>
      <w:r>
        <w:rPr>
          <w:rFonts w:ascii="仿宋" w:eastAsia="仿宋" w:hAnsi="仿宋" w:hint="eastAsia"/>
          <w:b/>
          <w:bCs/>
          <w:sz w:val="36"/>
          <w:szCs w:val="36"/>
        </w:rPr>
        <w:t>运维服务管理评审计划表</w:t>
      </w:r>
    </w:p>
    <w:p>
      <w:pPr>
        <w:spacing w:line="440" w:lineRule="exact"/>
        <w:jc w:val="center"/>
        <w:rPr>
          <w:rFonts w:ascii="仿宋" w:eastAsia="仿宋" w:hAnsi="仿宋"/>
          <w:b/>
          <w:bCs/>
          <w:sz w:val="24"/>
          <w:szCs w:val="24"/>
        </w:rPr>
      </w:pPr>
    </w:p>
    <w:tbl>
      <w:tblPr>
        <w:tblStyle w:val="TableNormal"/>
        <w:tblW w:w="96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1"/>
        <w:gridCol w:w="2903"/>
        <w:gridCol w:w="2285"/>
        <w:gridCol w:w="1725"/>
        <w:gridCol w:w="1326"/>
      </w:tblGrid>
      <w:tr>
        <w:tblPrEx>
          <w:tblW w:w="9690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7"/>
          <w:jc w:val="center"/>
        </w:trPr>
        <w:tc>
          <w:tcPr>
            <w:tcW w:w="1451" w:type="dxa"/>
            <w:vAlign w:val="center"/>
          </w:tcPr>
          <w:p>
            <w:pPr>
              <w:spacing w:line="276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评审目的</w:t>
            </w:r>
          </w:p>
        </w:tc>
        <w:tc>
          <w:tcPr>
            <w:tcW w:w="8239" w:type="dxa"/>
            <w:gridSpan w:val="4"/>
            <w:vAlign w:val="center"/>
          </w:tcPr>
          <w:p>
            <w:pPr>
              <w:spacing w:line="276" w:lineRule="auto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kern w:val="21"/>
                <w:sz w:val="24"/>
                <w:szCs w:val="24"/>
              </w:rPr>
              <w:t>对公司运维服务管理体系的适用性、全面性、充分性和有效性进行评审，使公司运维服务管理体系不断地完善并持续有效运行，满足公司运维服务策略要求，实现公司运维服务管理目标。</w:t>
            </w:r>
          </w:p>
        </w:tc>
      </w:tr>
      <w:tr>
        <w:tblPrEx>
          <w:tblW w:w="9690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2"/>
          <w:jc w:val="center"/>
        </w:trPr>
        <w:tc>
          <w:tcPr>
            <w:tcW w:w="1451" w:type="dxa"/>
            <w:vAlign w:val="center"/>
          </w:tcPr>
          <w:p>
            <w:pPr>
              <w:spacing w:line="276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评审时间</w:t>
            </w:r>
          </w:p>
        </w:tc>
        <w:tc>
          <w:tcPr>
            <w:tcW w:w="2903" w:type="dxa"/>
            <w:vAlign w:val="center"/>
          </w:tcPr>
          <w:p>
            <w:pPr>
              <w:spacing w:line="276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20</w:t>
            </w:r>
            <w:r>
              <w:rPr>
                <w:rFonts w:ascii="仿宋" w:eastAsia="仿宋" w:hAnsi="仿宋" w:hint="eastAsia"/>
                <w:sz w:val="24"/>
                <w:szCs w:val="24"/>
                <w:lang w:eastAsia="zh-CN"/>
              </w:rPr>
              <w:t>25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年</w:t>
            </w:r>
            <w:r>
              <w:rPr>
                <w:rFonts w:ascii="仿宋" w:eastAsia="仿宋" w:hAnsi="仿宋" w:hint="eastAsia"/>
                <w:sz w:val="24"/>
                <w:szCs w:val="24"/>
                <w:lang w:val="en-US" w:eastAsia="zh-CN"/>
              </w:rPr>
              <w:t>11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月</w:t>
            </w:r>
            <w:r>
              <w:rPr>
                <w:rFonts w:ascii="仿宋" w:eastAsia="仿宋" w:hAnsi="仿宋" w:hint="eastAsia"/>
                <w:sz w:val="24"/>
                <w:szCs w:val="24"/>
                <w:lang w:val="en-US" w:eastAsia="zh-CN"/>
              </w:rPr>
              <w:t>18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日</w:t>
            </w:r>
          </w:p>
          <w:p>
            <w:pPr>
              <w:spacing w:line="276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13:00--17：00</w:t>
            </w:r>
          </w:p>
        </w:tc>
        <w:tc>
          <w:tcPr>
            <w:tcW w:w="2285" w:type="dxa"/>
            <w:vAlign w:val="center"/>
          </w:tcPr>
          <w:p>
            <w:pPr>
              <w:spacing w:line="276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评审地点</w:t>
            </w:r>
          </w:p>
        </w:tc>
        <w:tc>
          <w:tcPr>
            <w:tcW w:w="3051" w:type="dxa"/>
            <w:gridSpan w:val="2"/>
            <w:vAlign w:val="center"/>
          </w:tcPr>
          <w:p>
            <w:pPr>
              <w:spacing w:line="276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公司会议室</w:t>
            </w:r>
          </w:p>
        </w:tc>
      </w:tr>
      <w:tr>
        <w:tblPrEx>
          <w:tblW w:w="9690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19"/>
          <w:jc w:val="center"/>
        </w:trPr>
        <w:tc>
          <w:tcPr>
            <w:tcW w:w="1451" w:type="dxa"/>
            <w:vAlign w:val="center"/>
          </w:tcPr>
          <w:p>
            <w:pPr>
              <w:spacing w:line="276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参加人员</w:t>
            </w:r>
          </w:p>
        </w:tc>
        <w:tc>
          <w:tcPr>
            <w:tcW w:w="8239" w:type="dxa"/>
            <w:gridSpan w:val="4"/>
            <w:vAlign w:val="center"/>
          </w:tcPr>
          <w:p>
            <w:pPr>
              <w:spacing w:line="276" w:lineRule="auto"/>
              <w:jc w:val="left"/>
              <w:rPr>
                <w:rFonts w:ascii="仿宋" w:eastAsia="仿宋" w:hAnsi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hint="eastAsia"/>
                <w:sz w:val="24"/>
                <w:szCs w:val="24"/>
                <w:lang w:val="en-US" w:eastAsia="zh-CN"/>
              </w:rPr>
              <w:t>黄益溪（总经理） 兰伟东（副总经理）</w:t>
            </w:r>
          </w:p>
          <w:p>
            <w:pPr>
              <w:spacing w:line="276" w:lineRule="auto"/>
              <w:jc w:val="left"/>
              <w:rPr>
                <w:rFonts w:ascii="仿宋" w:eastAsia="仿宋" w:hAnsi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hint="eastAsia"/>
                <w:sz w:val="24"/>
                <w:szCs w:val="24"/>
                <w:lang w:val="en-US" w:eastAsia="zh-CN"/>
              </w:rPr>
              <w:t>质量部：金文莉、运维部：胡葛鹏宇、行政部：王海燕、研发部：游天舒、商务部：阎树花</w:t>
            </w:r>
          </w:p>
        </w:tc>
      </w:tr>
      <w:tr>
        <w:tblPrEx>
          <w:tblW w:w="9690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05"/>
          <w:jc w:val="center"/>
        </w:trPr>
        <w:tc>
          <w:tcPr>
            <w:tcW w:w="1451" w:type="dxa"/>
            <w:vMerge w:val="restart"/>
            <w:vAlign w:val="center"/>
          </w:tcPr>
          <w:p>
            <w:pPr>
              <w:spacing w:line="276" w:lineRule="auto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资</w:t>
            </w:r>
          </w:p>
          <w:p>
            <w:pPr>
              <w:spacing w:line="276" w:lineRule="auto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料</w:t>
            </w:r>
          </w:p>
          <w:p>
            <w:pPr>
              <w:spacing w:line="276" w:lineRule="auto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准</w:t>
            </w:r>
          </w:p>
          <w:p>
            <w:pPr>
              <w:spacing w:line="276" w:lineRule="auto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备</w:t>
            </w:r>
          </w:p>
          <w:p>
            <w:pPr>
              <w:spacing w:line="276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5188" w:type="dxa"/>
            <w:gridSpan w:val="2"/>
            <w:vAlign w:val="center"/>
          </w:tcPr>
          <w:p>
            <w:pPr>
              <w:spacing w:line="276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评审输入资料</w:t>
            </w:r>
          </w:p>
        </w:tc>
        <w:tc>
          <w:tcPr>
            <w:tcW w:w="1725" w:type="dxa"/>
            <w:vAlign w:val="center"/>
          </w:tcPr>
          <w:p>
            <w:pPr>
              <w:spacing w:line="276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资料准</w:t>
            </w:r>
          </w:p>
          <w:p>
            <w:pPr>
              <w:spacing w:line="276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备部门</w:t>
            </w:r>
          </w:p>
        </w:tc>
        <w:tc>
          <w:tcPr>
            <w:tcW w:w="1326" w:type="dxa"/>
            <w:vAlign w:val="center"/>
          </w:tcPr>
          <w:p>
            <w:pPr>
              <w:spacing w:line="276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完成时间</w:t>
            </w:r>
          </w:p>
        </w:tc>
      </w:tr>
      <w:tr>
        <w:tblPrEx>
          <w:tblW w:w="9690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99"/>
          <w:jc w:val="center"/>
        </w:trPr>
        <w:tc>
          <w:tcPr>
            <w:tcW w:w="1451" w:type="dxa"/>
            <w:vMerge/>
            <w:vAlign w:val="center"/>
          </w:tcPr>
          <w:p>
            <w:pPr>
              <w:spacing w:line="276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5188" w:type="dxa"/>
            <w:gridSpan w:val="2"/>
            <w:vAlign w:val="center"/>
          </w:tcPr>
          <w:p>
            <w:pPr>
              <w:numPr>
                <w:ilvl w:val="0"/>
                <w:numId w:val="3"/>
              </w:numPr>
              <w:spacing w:line="276" w:lineRule="auto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最近一次的内审情况；</w:t>
            </w:r>
          </w:p>
          <w:p>
            <w:pPr>
              <w:numPr>
                <w:ilvl w:val="0"/>
                <w:numId w:val="3"/>
              </w:numPr>
              <w:spacing w:line="276" w:lineRule="auto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本年度体系文件的修订情况、补充及实施跟踪情况。</w:t>
            </w:r>
          </w:p>
        </w:tc>
        <w:tc>
          <w:tcPr>
            <w:tcW w:w="1725" w:type="dxa"/>
            <w:vAlign w:val="center"/>
          </w:tcPr>
          <w:p>
            <w:pPr>
              <w:spacing w:line="276" w:lineRule="auto"/>
              <w:jc w:val="center"/>
              <w:rPr>
                <w:rFonts w:ascii="仿宋" w:eastAsia="仿宋" w:hAnsi="仿宋"/>
                <w:sz w:val="24"/>
                <w:szCs w:val="24"/>
                <w:highlight w:val="yellow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质量部</w:t>
            </w:r>
          </w:p>
        </w:tc>
        <w:tc>
          <w:tcPr>
            <w:tcW w:w="1326" w:type="dxa"/>
            <w:vMerge w:val="restart"/>
            <w:vAlign w:val="center"/>
          </w:tcPr>
          <w:p>
            <w:pPr>
              <w:spacing w:line="276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  <w:lang w:val="en-US" w:eastAsia="zh-CN"/>
              </w:rPr>
              <w:t>11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月</w:t>
            </w:r>
            <w:r>
              <w:rPr>
                <w:rFonts w:ascii="仿宋" w:eastAsia="仿宋" w:hAnsi="仿宋" w:hint="eastAsia"/>
                <w:sz w:val="24"/>
                <w:szCs w:val="24"/>
                <w:lang w:val="en-US" w:eastAsia="zh-CN"/>
              </w:rPr>
              <w:t>15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日</w:t>
            </w:r>
          </w:p>
        </w:tc>
      </w:tr>
      <w:tr>
        <w:tblPrEx>
          <w:tblW w:w="9690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62"/>
          <w:jc w:val="center"/>
        </w:trPr>
        <w:tc>
          <w:tcPr>
            <w:tcW w:w="1451" w:type="dxa"/>
            <w:vMerge/>
            <w:vAlign w:val="center"/>
          </w:tcPr>
          <w:p>
            <w:pPr>
              <w:spacing w:line="276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5188" w:type="dxa"/>
            <w:gridSpan w:val="2"/>
          </w:tcPr>
          <w:p>
            <w:pPr>
              <w:numPr>
                <w:ilvl w:val="0"/>
                <w:numId w:val="4"/>
              </w:numPr>
              <w:spacing w:line="276" w:lineRule="auto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运维体系KPI目标指标实现情况及分析；</w:t>
            </w:r>
          </w:p>
          <w:p>
            <w:pPr>
              <w:numPr>
                <w:ilvl w:val="0"/>
                <w:numId w:val="4"/>
              </w:numPr>
              <w:spacing w:line="276" w:lineRule="auto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适宜性、充分性和有效性的分析，例如：</w:t>
            </w:r>
          </w:p>
          <w:p>
            <w:pPr>
              <w:spacing w:line="276" w:lineRule="auto"/>
              <w:ind w:left="360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人力资源的管理及培训情况</w:t>
            </w:r>
          </w:p>
          <w:p>
            <w:pPr>
              <w:numPr>
                <w:ilvl w:val="0"/>
                <w:numId w:val="4"/>
              </w:numPr>
              <w:spacing w:line="276" w:lineRule="auto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体系过程执行情况。（问题、改进建议）</w:t>
            </w:r>
          </w:p>
        </w:tc>
        <w:tc>
          <w:tcPr>
            <w:tcW w:w="1725" w:type="dxa"/>
            <w:vAlign w:val="center"/>
          </w:tcPr>
          <w:p>
            <w:pPr>
              <w:spacing w:line="276" w:lineRule="auto"/>
              <w:jc w:val="center"/>
              <w:rPr>
                <w:rFonts w:ascii="仿宋" w:eastAsia="仿宋" w:hAnsi="仿宋"/>
                <w:sz w:val="24"/>
                <w:szCs w:val="24"/>
                <w:highlight w:val="yellow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行政部</w:t>
            </w:r>
          </w:p>
        </w:tc>
        <w:tc>
          <w:tcPr>
            <w:tcW w:w="1326" w:type="dxa"/>
            <w:vMerge/>
            <w:vAlign w:val="center"/>
          </w:tcPr>
          <w:p>
            <w:pPr>
              <w:spacing w:line="276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</w:tr>
      <w:tr>
        <w:tblPrEx>
          <w:tblW w:w="9690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32"/>
          <w:jc w:val="center"/>
        </w:trPr>
        <w:tc>
          <w:tcPr>
            <w:tcW w:w="1451" w:type="dxa"/>
            <w:vMerge/>
            <w:vAlign w:val="center"/>
          </w:tcPr>
          <w:p>
            <w:pPr>
              <w:spacing w:line="276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5188" w:type="dxa"/>
            <w:gridSpan w:val="2"/>
            <w:vAlign w:val="center"/>
          </w:tcPr>
          <w:p>
            <w:pPr>
              <w:numPr>
                <w:ilvl w:val="0"/>
                <w:numId w:val="5"/>
              </w:numPr>
              <w:spacing w:line="276" w:lineRule="auto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运维体系KPI目标指标实现情况及分析；</w:t>
            </w:r>
          </w:p>
          <w:p>
            <w:pPr>
              <w:numPr>
                <w:ilvl w:val="0"/>
                <w:numId w:val="5"/>
              </w:numPr>
              <w:spacing w:line="276" w:lineRule="auto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体系执行过程适宜性、充分性和有效性的分析，问题及改进建议；</w:t>
            </w:r>
          </w:p>
        </w:tc>
        <w:tc>
          <w:tcPr>
            <w:tcW w:w="1725" w:type="dxa"/>
            <w:vAlign w:val="center"/>
          </w:tcPr>
          <w:p>
            <w:pPr>
              <w:spacing w:line="276" w:lineRule="auto"/>
              <w:jc w:val="center"/>
              <w:rPr>
                <w:rFonts w:ascii="仿宋" w:eastAsia="仿宋" w:hAnsi="仿宋"/>
                <w:sz w:val="24"/>
                <w:szCs w:val="24"/>
                <w:highlight w:val="yellow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运维部</w:t>
            </w:r>
          </w:p>
        </w:tc>
        <w:tc>
          <w:tcPr>
            <w:tcW w:w="1326" w:type="dxa"/>
            <w:vAlign w:val="center"/>
          </w:tcPr>
          <w:p>
            <w:pPr>
              <w:spacing w:line="276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  <w:lang w:val="en-US" w:eastAsia="zh-CN"/>
              </w:rPr>
              <w:t>11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月</w:t>
            </w:r>
            <w:r>
              <w:rPr>
                <w:rFonts w:ascii="仿宋" w:eastAsia="仿宋" w:hAnsi="仿宋" w:hint="eastAsia"/>
                <w:sz w:val="24"/>
                <w:szCs w:val="24"/>
                <w:lang w:val="en-US" w:eastAsia="zh-CN"/>
              </w:rPr>
              <w:t>15</w:t>
            </w:r>
            <w:bookmarkStart w:id="0" w:name="_GoBack"/>
            <w:bookmarkEnd w:id="0"/>
            <w:r>
              <w:rPr>
                <w:rFonts w:ascii="仿宋" w:eastAsia="仿宋" w:hAnsi="仿宋" w:hint="eastAsia"/>
                <w:sz w:val="24"/>
                <w:szCs w:val="24"/>
              </w:rPr>
              <w:t>日</w:t>
            </w:r>
          </w:p>
        </w:tc>
      </w:tr>
      <w:tr>
        <w:tblPrEx>
          <w:tblW w:w="9690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18"/>
          <w:jc w:val="center"/>
        </w:trPr>
        <w:tc>
          <w:tcPr>
            <w:tcW w:w="9690" w:type="dxa"/>
            <w:gridSpan w:val="5"/>
            <w:vAlign w:val="center"/>
          </w:tcPr>
          <w:p>
            <w:pPr>
              <w:spacing w:line="276" w:lineRule="auto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上述输入材料，由质量部汇总成册。</w:t>
            </w:r>
          </w:p>
        </w:tc>
      </w:tr>
      <w:tr>
        <w:tblPrEx>
          <w:tblW w:w="9690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33"/>
          <w:jc w:val="center"/>
        </w:trPr>
        <w:tc>
          <w:tcPr>
            <w:tcW w:w="1451" w:type="dxa"/>
            <w:vAlign w:val="center"/>
          </w:tcPr>
          <w:p>
            <w:pPr>
              <w:spacing w:line="276" w:lineRule="auto"/>
              <w:ind w:left="113" w:right="113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评审内容</w:t>
            </w:r>
          </w:p>
        </w:tc>
        <w:tc>
          <w:tcPr>
            <w:tcW w:w="8239" w:type="dxa"/>
            <w:gridSpan w:val="4"/>
            <w:vAlign w:val="center"/>
          </w:tcPr>
          <w:p>
            <w:pPr>
              <w:spacing w:line="276" w:lineRule="auto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A：体系建立前的整体情况；</w:t>
            </w:r>
          </w:p>
          <w:p>
            <w:pPr>
              <w:spacing w:line="276" w:lineRule="auto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B：体系的运行效果；</w:t>
            </w:r>
          </w:p>
          <w:p>
            <w:pPr>
              <w:spacing w:line="276" w:lineRule="auto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C：运维服务方针策略、目标是否适应外部环境及内部环境的变化、实现情况如何、是否需要调整和修订；</w:t>
            </w:r>
          </w:p>
          <w:p>
            <w:pPr>
              <w:spacing w:line="276" w:lineRule="auto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D：运维服务管理体系文件是否满足实际需要、是否需要修订；</w:t>
            </w:r>
          </w:p>
          <w:p>
            <w:pPr>
              <w:spacing w:line="276" w:lineRule="auto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E：运维服务管理的人员、技术、流程、资源是否满足运维服务管理体系有效运行的需要，是否需要调整和增加资源投入；</w:t>
            </w:r>
          </w:p>
          <w:p>
            <w:pPr>
              <w:spacing w:line="276" w:lineRule="auto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F：体系运行过程中的各项活动是否受控，是否需要改进；</w:t>
            </w:r>
          </w:p>
        </w:tc>
      </w:tr>
      <w:tr>
        <w:tblPrEx>
          <w:tblW w:w="9690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33"/>
          <w:jc w:val="center"/>
        </w:trPr>
        <w:tc>
          <w:tcPr>
            <w:tcW w:w="1451" w:type="dxa"/>
            <w:vAlign w:val="center"/>
          </w:tcPr>
          <w:p>
            <w:pPr>
              <w:spacing w:line="276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评审</w:t>
            </w:r>
          </w:p>
          <w:p>
            <w:pPr>
              <w:spacing w:line="276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会议</w:t>
            </w:r>
          </w:p>
          <w:p>
            <w:pPr>
              <w:spacing w:line="276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安排</w:t>
            </w:r>
          </w:p>
        </w:tc>
        <w:tc>
          <w:tcPr>
            <w:tcW w:w="8239" w:type="dxa"/>
            <w:gridSpan w:val="4"/>
            <w:vAlign w:val="center"/>
          </w:tcPr>
          <w:p>
            <w:pPr>
              <w:spacing w:line="276" w:lineRule="auto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会议主持：黄益溪</w:t>
            </w:r>
          </w:p>
          <w:p>
            <w:pPr>
              <w:spacing w:line="276" w:lineRule="auto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会议议程：</w:t>
            </w:r>
          </w:p>
          <w:p>
            <w:pPr>
              <w:numPr>
                <w:ilvl w:val="0"/>
                <w:numId w:val="6"/>
              </w:numPr>
              <w:spacing w:line="276" w:lineRule="auto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会议开始，由主持人宣讲会议目的、内容；</w:t>
            </w:r>
          </w:p>
          <w:p>
            <w:pPr>
              <w:numPr>
                <w:ilvl w:val="0"/>
                <w:numId w:val="6"/>
              </w:numPr>
              <w:spacing w:line="276" w:lineRule="auto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管理者代表发言，报告运维服务能力管理体系的整体运行情况；</w:t>
            </w:r>
          </w:p>
          <w:p>
            <w:pPr>
              <w:numPr>
                <w:ilvl w:val="0"/>
                <w:numId w:val="6"/>
              </w:numPr>
              <w:spacing w:line="276" w:lineRule="auto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总经理发言，总结各部门目标达成情况、体系运行问题及建议；</w:t>
            </w:r>
          </w:p>
          <w:p>
            <w:pPr>
              <w:numPr>
                <w:ilvl w:val="0"/>
                <w:numId w:val="6"/>
              </w:numPr>
              <w:spacing w:line="276" w:lineRule="auto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参会者共同讨论，确定改进措施；</w:t>
            </w:r>
          </w:p>
          <w:p>
            <w:pPr>
              <w:numPr>
                <w:ilvl w:val="0"/>
                <w:numId w:val="6"/>
              </w:numPr>
              <w:spacing w:line="276" w:lineRule="auto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会议结束，由主持人做总结性发言。</w:t>
            </w:r>
          </w:p>
        </w:tc>
      </w:tr>
      <w:tr>
        <w:tblPrEx>
          <w:tblW w:w="9690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66"/>
          <w:jc w:val="center"/>
        </w:trPr>
        <w:tc>
          <w:tcPr>
            <w:tcW w:w="1451" w:type="dxa"/>
            <w:vAlign w:val="center"/>
          </w:tcPr>
          <w:p>
            <w:pPr>
              <w:spacing w:line="276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其它要求</w:t>
            </w:r>
          </w:p>
        </w:tc>
        <w:tc>
          <w:tcPr>
            <w:tcW w:w="8239" w:type="dxa"/>
            <w:gridSpan w:val="4"/>
            <w:vAlign w:val="center"/>
          </w:tcPr>
          <w:p>
            <w:pPr>
              <w:numPr>
                <w:ilvl w:val="0"/>
                <w:numId w:val="7"/>
              </w:numPr>
              <w:spacing w:line="276" w:lineRule="auto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会议应就主要问题进行分析，提出改进建议；</w:t>
            </w:r>
          </w:p>
          <w:p>
            <w:pPr>
              <w:numPr>
                <w:ilvl w:val="0"/>
                <w:numId w:val="7"/>
              </w:numPr>
              <w:spacing w:line="276" w:lineRule="auto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讨论发言时力求简洁明了、突出重点。</w:t>
            </w:r>
          </w:p>
        </w:tc>
      </w:tr>
    </w:tbl>
    <w:p>
      <w:pPr>
        <w:tabs>
          <w:tab w:val="left" w:pos="3878"/>
          <w:tab w:val="left" w:pos="6660"/>
        </w:tabs>
        <w:spacing w:line="440" w:lineRule="exact"/>
        <w:rPr>
          <w:rFonts w:ascii="仿宋" w:eastAsia="仿宋" w:hAnsi="仿宋" w:hint="default"/>
          <w:sz w:val="24"/>
          <w:szCs w:val="24"/>
          <w:lang w:val="en-US" w:eastAsia="zh-CN"/>
        </w:rPr>
      </w:pPr>
      <w:r>
        <w:rPr>
          <w:rFonts w:ascii="仿宋" w:eastAsia="仿宋" w:hAnsi="仿宋" w:hint="eastAsia"/>
          <w:sz w:val="24"/>
          <w:szCs w:val="24"/>
          <w:lang w:val="en-US" w:eastAsia="zh-CN"/>
        </w:rPr>
        <w:t>编辑：金文莉</w:t>
      </w:r>
      <w:r>
        <w:rPr>
          <w:rFonts w:ascii="仿宋" w:eastAsia="仿宋" w:hAnsi="仿宋" w:hint="eastAsia"/>
          <w:sz w:val="24"/>
          <w:szCs w:val="24"/>
          <w:lang w:val="en-US" w:eastAsia="zh-CN"/>
        </w:rPr>
        <w:tab/>
      </w:r>
      <w:r>
        <w:rPr>
          <w:rFonts w:ascii="仿宋" w:eastAsia="仿宋" w:hAnsi="仿宋" w:hint="eastAsia"/>
          <w:sz w:val="24"/>
          <w:szCs w:val="24"/>
          <w:lang w:val="en-US" w:eastAsia="zh-CN"/>
        </w:rPr>
        <w:t>审批：黄益溪</w:t>
      </w:r>
      <w:r>
        <w:rPr>
          <w:rFonts w:ascii="仿宋" w:eastAsia="仿宋" w:hAnsi="仿宋" w:hint="eastAsia"/>
          <w:sz w:val="24"/>
          <w:szCs w:val="24"/>
          <w:lang w:val="en-US" w:eastAsia="zh-CN"/>
        </w:rPr>
        <w:tab/>
      </w:r>
      <w:r>
        <w:rPr>
          <w:rFonts w:ascii="仿宋" w:eastAsia="仿宋" w:hAnsi="仿宋" w:hint="eastAsia"/>
          <w:sz w:val="24"/>
          <w:szCs w:val="24"/>
          <w:lang w:val="en-US" w:eastAsia="zh-CN"/>
        </w:rPr>
        <w:t>时间：2025年11月2日</w:t>
      </w:r>
    </w:p>
    <w:sectPr>
      <w:headerReference w:type="default" r:id="rId8"/>
      <w:footerReference w:type="default" r:id="rId9"/>
      <w:pgSz w:w="11907" w:h="16840"/>
      <w:pgMar w:top="1134" w:right="1304" w:bottom="1134" w:left="1304" w:header="851" w:footer="992" w:gutter="0"/>
      <w:pgBorders w:offsetFrom="page">
        <w:top w:val="nil"/>
        <w:left w:val="nil"/>
        <w:bottom w:val="nil"/>
        <w:right w:val="nil"/>
      </w:pgBorders>
      <w:pgNumType w:start="1"/>
      <w:cols w:num="1" w:space="720"/>
      <w:docGrid w:linePitch="312" w:charSpace="111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pBdr>
        <w:top w:val="single" w:sz="4" w:space="1" w:color="auto"/>
      </w:pBd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367718758"/>
      <w:richText/>
    </w:sdtPr>
    <w:sdtContent>
      <w:sdt>
        <w:sdtPr>
          <w:id w:val="1728636285"/>
          <w:richText/>
        </w:sdtPr>
        <w:sdtContent>
          <w:p>
            <w:pPr>
              <w:pStyle w:val="Footer"/>
              <w:pBdr>
                <w:top w:val="single" w:sz="4" w:space="1" w:color="auto"/>
              </w:pBdr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</w:rPr>
              <w:t>2</w:t>
            </w:r>
          </w:p>
        </w:sdtContent>
      </w:sdt>
    </w:sdtContent>
  </w:sdt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single" w:sz="4" w:space="1" w:color="auto"/>
      </w:pBdr>
      <w:tabs>
        <w:tab w:val="center" w:pos="4649"/>
      </w:tabs>
      <w:ind w:right="420"/>
      <w:rPr>
        <w:rFonts w:eastAsia="华文细黑" w:asciiTheme="majorEastAsia" w:hAnsiTheme="majorEastAsia" w:cstheme="majorEastAsia"/>
        <w:bCs/>
        <w:sz w:val="18"/>
        <w:szCs w:val="18"/>
      </w:rPr>
    </w:pPr>
    <w:r>
      <w:rPr>
        <w:rFonts w:ascii="华文细黑" w:eastAsia="华文细黑" w:hAnsi="华文细黑" w:hint="eastAsia"/>
        <w:szCs w:val="21"/>
      </w:rPr>
      <w:t xml:space="preserve">                                             </w:t>
    </w:r>
    <w:r>
      <w:rPr>
        <w:rFonts w:ascii="华文细黑" w:eastAsia="华文细黑" w:hAnsi="华文细黑"/>
        <w:szCs w:val="21"/>
      </w:rPr>
      <w:t xml:space="preserve">            </w:t>
    </w:r>
    <w:r>
      <w:rPr>
        <w:rFonts w:ascii="华文细黑" w:eastAsia="华文细黑" w:hAnsi="华文细黑" w:hint="eastAsia"/>
        <w:szCs w:val="21"/>
      </w:rPr>
      <w:t xml:space="preserve">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single" w:sz="4" w:space="1" w:color="auto"/>
      </w:pBdr>
      <w:tabs>
        <w:tab w:val="center" w:pos="4649"/>
      </w:tabs>
      <w:ind w:right="420"/>
      <w:rPr>
        <w:rFonts w:eastAsia="华文细黑" w:asciiTheme="majorEastAsia" w:hAnsiTheme="majorEastAsia" w:cstheme="majorEastAsia"/>
        <w:bCs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17"/>
    <w:multiLevelType w:val="multilevel"/>
    <w:tmpl w:val="00000017"/>
    <w:lvl w:ilvl="0">
      <w:start w:val="1"/>
      <w:numFmt w:val="decimal"/>
      <w:pStyle w:val="a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2EBE754F"/>
    <w:multiLevelType w:val="multilevel"/>
    <w:tmpl w:val="2EBE754F"/>
    <w:lvl w:ilvl="0">
      <w:start w:val="1"/>
      <w:numFmt w:val="decimal"/>
      <w:lvlText w:val="%1．"/>
      <w:lvlJc w:val="left"/>
      <w:pPr>
        <w:ind w:left="360" w:hanging="360"/>
      </w:pPr>
      <w:rPr>
        <w:rFonts w:ascii="Times New Roman" w:eastAsia="楷体_GB2312" w:hAnsi="Times New Roman" w:cs="Times New Roman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DEE09B4"/>
    <w:multiLevelType w:val="multilevel"/>
    <w:tmpl w:val="3DEE09B4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4E7D4C33"/>
    <w:multiLevelType w:val="multilevel"/>
    <w:tmpl w:val="4E7D4C33"/>
    <w:lvl w:ilvl="0">
      <w:start w:val="1"/>
      <w:numFmt w:val="decimal"/>
      <w:pStyle w:val="a0"/>
      <w:lvlText w:val="(%1)"/>
      <w:lvlJc w:val="left"/>
      <w:pPr>
        <w:ind w:left="952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4D417B1"/>
    <w:multiLevelType w:val="multilevel"/>
    <w:tmpl w:val="54D417B1"/>
    <w:lvl w:ilvl="0">
      <w:start w:val="1"/>
      <w:numFmt w:val="decimal"/>
      <w:pStyle w:val="B1"/>
      <w:lvlText w:val="%1．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5DCD4F98"/>
    <w:multiLevelType w:val="multilevel"/>
    <w:tmpl w:val="5DCD4F98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61653428"/>
    <w:multiLevelType w:val="multilevel"/>
    <w:tmpl w:val="61653428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ascii="Times New Roman" w:eastAsia="楷体_GB2312" w:hAnsi="Times New Roman" w:cs="Times New Roman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oNotTrackMoves/>
  <w:defaultTabStop w:val="120"/>
  <w:drawingGridHorizontalSpacing w:val="118"/>
  <w:drawingGridVerticalSpacing w:val="163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ZkNzQ4ZWFiZmQ4NTRhOWRkZTk3YTMwMjlmMmZhYmUifQ=="/>
  </w:docVar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locked="1" w:semiHidden="0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nhideWhenUsed="0" w:qFormat="1"/>
    <w:lsdException w:name="toc 5" w:semiHidden="0" w:unhideWhenUsed="0" w:qFormat="1"/>
    <w:lsdException w:name="toc 6" w:semiHidden="0" w:unhideWhenUsed="0" w:qFormat="1"/>
    <w:lsdException w:name="toc 7" w:semiHidden="0" w:unhideWhenUsed="0" w:qFormat="1"/>
    <w:lsdException w:name="toc 8" w:semiHidden="0" w:unhideWhenUsed="0" w:qFormat="1"/>
    <w:lsdException w:name="toc 9" w:semiHidden="0" w:unhideWhenUsed="0" w:qFormat="1"/>
    <w:lsdException w:name="Normal Indent" w:uiPriority="0"/>
    <w:lsdException w:name="footnote text" w:uiPriority="0"/>
    <w:lsdException w:name="annotation text" w:unhideWhenUsed="0" w:qFormat="1"/>
    <w:lsdException w:name="header" w:semiHidden="0" w:uiPriority="0" w:unhideWhenUsed="0" w:qFormat="1"/>
    <w:lsdException w:name="footer" w:semiHidden="0" w:unhideWhenUsed="0" w:qFormat="1"/>
    <w:lsdException w:name="index heading" w:uiPriority="0"/>
    <w:lsdException w:name="caption" w:locked="1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nhideWhenUsed="0" w:qFormat="1"/>
    <w:lsdException w:name="line number" w:uiPriority="0"/>
    <w:lsdException w:name="page number" w:semiHidden="0" w:uiPriority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locked="1" w:semiHidden="0" w:uiPriority="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locked="1" w:semiHidden="0" w:uiPriority="0" w:unhideWhenUsed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Body Text 2" w:uiPriority="0"/>
    <w:lsdException w:name="Body Text 3" w:uiPriority="0"/>
    <w:lsdException w:name="Body Text Indent 2" w:semiHidden="0" w:qFormat="1"/>
    <w:lsdException w:name="Body Text Indent 3" w:semiHidden="0" w:uiPriority="0" w:unhideWhenUsed="0" w:qFormat="1"/>
    <w:lsdException w:name="Block Text" w:uiPriority="0"/>
    <w:lsdException w:name="Hyperlink" w:semiHidden="0" w:unhideWhenUsed="0" w:qFormat="1"/>
    <w:lsdException w:name="FollowedHyperlink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Document Map" w:semiHidden="0" w:qFormat="1"/>
    <w:lsdException w:name="Plain Text" w:uiPriority="0"/>
    <w:lsdException w:name="E-mail Signature" w:uiPriority="0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nhideWhenUsed="0" w:qFormat="1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nhideWhenUsed="0" w:qFormat="1"/>
    <w:lsdException w:name="Table Grid" w:semiHidden="0" w:uiPriority="59" w:unhideWhenUsed="0" w:qFormat="1"/>
    <w:lsdException w:name="Table Theme" w:uiPriority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1"/>
    <w:qFormat/>
    <w:pPr>
      <w:keepNext/>
      <w:keepLines/>
      <w:spacing w:beforeLines="50" w:afterLines="50" w:line="360" w:lineRule="auto"/>
      <w:jc w:val="left"/>
      <w:outlineLvl w:val="0"/>
    </w:pPr>
    <w:rPr>
      <w:rFonts w:ascii="Times New Roman" w:hAnsi="Times New Roman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Lines="50" w:afterLines="50" w:line="360" w:lineRule="auto"/>
      <w:jc w:val="left"/>
      <w:outlineLvl w:val="1"/>
    </w:pPr>
    <w:rPr>
      <w:rFonts w:ascii="Times New Roman" w:hAnsi="Times New Roman"/>
      <w:b/>
      <w:bCs/>
      <w:sz w:val="30"/>
      <w:szCs w:val="32"/>
    </w:rPr>
  </w:style>
  <w:style w:type="paragraph" w:styleId="Heading3">
    <w:name w:val="heading 3"/>
    <w:basedOn w:val="Normal"/>
    <w:next w:val="Normal"/>
    <w:link w:val="30"/>
    <w:unhideWhenUsed/>
    <w:qFormat/>
    <w:locked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OC7">
    <w:name w:val="toc 7"/>
    <w:basedOn w:val="Normal"/>
    <w:next w:val="Normal"/>
    <w:uiPriority w:val="99"/>
    <w:qFormat/>
    <w:pPr>
      <w:ind w:left="1260"/>
      <w:jc w:val="left"/>
    </w:pPr>
    <w:rPr>
      <w:sz w:val="18"/>
      <w:szCs w:val="18"/>
    </w:rPr>
  </w:style>
  <w:style w:type="paragraph" w:styleId="DocumentMap">
    <w:name w:val="Document Map"/>
    <w:basedOn w:val="Normal"/>
    <w:link w:val="a6"/>
    <w:uiPriority w:val="99"/>
    <w:unhideWhenUsed/>
    <w:qFormat/>
    <w:rPr>
      <w:rFonts w:ascii="宋体"/>
      <w:sz w:val="18"/>
      <w:szCs w:val="18"/>
    </w:rPr>
  </w:style>
  <w:style w:type="paragraph" w:styleId="CommentText">
    <w:name w:val="annotation text"/>
    <w:basedOn w:val="Normal"/>
    <w:link w:val="a3"/>
    <w:uiPriority w:val="99"/>
    <w:semiHidden/>
    <w:qFormat/>
    <w:pPr>
      <w:jc w:val="left"/>
    </w:pPr>
  </w:style>
  <w:style w:type="paragraph" w:styleId="TOC5">
    <w:name w:val="toc 5"/>
    <w:basedOn w:val="Normal"/>
    <w:next w:val="Normal"/>
    <w:uiPriority w:val="99"/>
    <w:qFormat/>
    <w:pPr>
      <w:ind w:left="840"/>
      <w:jc w:val="left"/>
    </w:pPr>
    <w:rPr>
      <w:sz w:val="18"/>
      <w:szCs w:val="18"/>
    </w:rPr>
  </w:style>
  <w:style w:type="paragraph" w:styleId="TOC3">
    <w:name w:val="toc 3"/>
    <w:basedOn w:val="Normal"/>
    <w:next w:val="Normal"/>
    <w:uiPriority w:val="39"/>
    <w:qFormat/>
    <w:pPr>
      <w:ind w:left="420"/>
      <w:jc w:val="left"/>
    </w:pPr>
    <w:rPr>
      <w:i/>
      <w:iCs/>
      <w:sz w:val="20"/>
      <w:szCs w:val="20"/>
    </w:rPr>
  </w:style>
  <w:style w:type="paragraph" w:styleId="TOC8">
    <w:name w:val="toc 8"/>
    <w:basedOn w:val="Normal"/>
    <w:next w:val="Normal"/>
    <w:uiPriority w:val="99"/>
    <w:qFormat/>
    <w:pPr>
      <w:ind w:left="1470"/>
      <w:jc w:val="left"/>
    </w:pPr>
    <w:rPr>
      <w:sz w:val="18"/>
      <w:szCs w:val="18"/>
    </w:rPr>
  </w:style>
  <w:style w:type="paragraph" w:styleId="BodyTextIndent2">
    <w:name w:val="Body Text Indent 2"/>
    <w:basedOn w:val="Normal"/>
    <w:link w:val="20"/>
    <w:uiPriority w:val="99"/>
    <w:unhideWhenUsed/>
    <w:qFormat/>
    <w:pPr>
      <w:spacing w:after="120" w:line="480" w:lineRule="auto"/>
      <w:ind w:left="420" w:leftChars="200"/>
    </w:pPr>
  </w:style>
  <w:style w:type="paragraph" w:styleId="BalloonText">
    <w:name w:val="Balloon Text"/>
    <w:basedOn w:val="Normal"/>
    <w:link w:val="a5"/>
    <w:uiPriority w:val="99"/>
    <w:semiHidden/>
    <w:qFormat/>
    <w:rPr>
      <w:sz w:val="18"/>
      <w:szCs w:val="18"/>
    </w:rPr>
  </w:style>
  <w:style w:type="paragraph" w:styleId="Footer">
    <w:name w:val="footer"/>
    <w:basedOn w:val="Normal"/>
    <w:link w:val="a2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qFormat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4">
    <w:name w:val="toc 4"/>
    <w:basedOn w:val="Normal"/>
    <w:next w:val="Normal"/>
    <w:autoRedefine/>
    <w:uiPriority w:val="99"/>
    <w:qFormat/>
    <w:pPr>
      <w:ind w:left="630"/>
      <w:jc w:val="left"/>
    </w:pPr>
    <w:rPr>
      <w:sz w:val="18"/>
      <w:szCs w:val="18"/>
    </w:rPr>
  </w:style>
  <w:style w:type="paragraph" w:styleId="TOC6">
    <w:name w:val="toc 6"/>
    <w:basedOn w:val="Normal"/>
    <w:next w:val="Normal"/>
    <w:uiPriority w:val="99"/>
    <w:qFormat/>
    <w:pPr>
      <w:ind w:left="1050"/>
      <w:jc w:val="left"/>
    </w:pPr>
    <w:rPr>
      <w:sz w:val="18"/>
      <w:szCs w:val="18"/>
    </w:rPr>
  </w:style>
  <w:style w:type="paragraph" w:styleId="BodyTextIndent3">
    <w:name w:val="Body Text Indent 3"/>
    <w:basedOn w:val="Normal"/>
    <w:link w:val="3"/>
    <w:qFormat/>
    <w:pPr>
      <w:ind w:firstLine="420"/>
    </w:pPr>
    <w:rPr>
      <w:sz w:val="28"/>
      <w:szCs w:val="20"/>
    </w:rPr>
  </w:style>
  <w:style w:type="paragraph" w:styleId="TOC2">
    <w:name w:val="toc 2"/>
    <w:basedOn w:val="Normal"/>
    <w:next w:val="Normal"/>
    <w:uiPriority w:val="39"/>
    <w:qFormat/>
    <w:pPr>
      <w:ind w:left="210"/>
      <w:jc w:val="left"/>
    </w:pPr>
    <w:rPr>
      <w:smallCaps/>
      <w:sz w:val="20"/>
      <w:szCs w:val="20"/>
    </w:rPr>
  </w:style>
  <w:style w:type="paragraph" w:styleId="TOC9">
    <w:name w:val="toc 9"/>
    <w:basedOn w:val="Normal"/>
    <w:next w:val="Normal"/>
    <w:uiPriority w:val="99"/>
    <w:qFormat/>
    <w:pPr>
      <w:ind w:left="1680"/>
      <w:jc w:val="left"/>
    </w:pPr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a4"/>
    <w:uiPriority w:val="99"/>
    <w:semiHidden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qFormat/>
  </w:style>
  <w:style w:type="character" w:styleId="Hyperlink">
    <w:name w:val="Hyperlink"/>
    <w:uiPriority w:val="99"/>
    <w:qFormat/>
    <w:rPr>
      <w:rFonts w:cs="Times New Roman"/>
      <w:color w:val="0000FF"/>
      <w:u w:val="single"/>
    </w:rPr>
  </w:style>
  <w:style w:type="character" w:styleId="CommentReference">
    <w:name w:val="annotation reference"/>
    <w:uiPriority w:val="99"/>
    <w:semiHidden/>
    <w:qFormat/>
    <w:rPr>
      <w:rFonts w:cs="Times New Roman"/>
      <w:sz w:val="21"/>
      <w:szCs w:val="21"/>
    </w:rPr>
  </w:style>
  <w:style w:type="paragraph" w:customStyle="1" w:styleId="1">
    <w:name w:val="列出段落1"/>
    <w:basedOn w:val="Normal"/>
    <w:link w:val="Char"/>
    <w:uiPriority w:val="34"/>
    <w:qFormat/>
    <w:pPr>
      <w:ind w:firstLine="420" w:firstLineChars="200"/>
    </w:pPr>
  </w:style>
  <w:style w:type="paragraph" w:customStyle="1" w:styleId="reader-word-layer">
    <w:name w:val="reader-word-layer"/>
    <w:basedOn w:val="Normal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TOC10">
    <w:name w:val="TOC 标题1"/>
    <w:basedOn w:val="Heading1"/>
    <w:next w:val="Normal"/>
    <w:uiPriority w:val="39"/>
    <w:qFormat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a">
    <w:name w:val="一级标题"/>
    <w:basedOn w:val="Normal"/>
    <w:next w:val="Normal"/>
    <w:qFormat/>
    <w:pPr>
      <w:numPr>
        <w:ilvl w:val="0"/>
        <w:numId w:val="1"/>
      </w:numPr>
      <w:spacing w:beforeLines="50" w:afterLines="50" w:line="360" w:lineRule="auto"/>
      <w:jc w:val="left"/>
      <w:outlineLvl w:val="0"/>
    </w:pPr>
    <w:rPr>
      <w:rFonts w:ascii="Times New Roman" w:hAnsi="Times New Roman"/>
      <w:b/>
      <w:kern w:val="44"/>
      <w:sz w:val="32"/>
    </w:rPr>
  </w:style>
  <w:style w:type="paragraph" w:customStyle="1" w:styleId="a0">
    <w:name w:val="二级标题"/>
    <w:basedOn w:val="Normal"/>
    <w:next w:val="Normal"/>
    <w:qFormat/>
    <w:pPr>
      <w:numPr>
        <w:ilvl w:val="0"/>
        <w:numId w:val="2"/>
      </w:numPr>
      <w:spacing w:beforeLines="50" w:afterLines="50" w:line="360" w:lineRule="auto"/>
      <w:jc w:val="left"/>
      <w:outlineLvl w:val="1"/>
    </w:pPr>
    <w:rPr>
      <w:rFonts w:ascii="Times New Roman" w:hAnsi="Times New Roman"/>
      <w:b/>
      <w:sz w:val="32"/>
      <w:szCs w:val="30"/>
    </w:rPr>
  </w:style>
  <w:style w:type="paragraph" w:customStyle="1" w:styleId="10">
    <w:name w:val="无间隔1"/>
    <w:link w:val="Char0"/>
    <w:uiPriority w:val="1"/>
    <w:qFormat/>
    <w:rPr>
      <w:rFonts w:ascii="Calibri" w:eastAsia="宋体" w:hAnsi="Calibri" w:cs="黑体"/>
      <w:sz w:val="22"/>
      <w:szCs w:val="22"/>
      <w:lang w:val="en-US" w:eastAsia="zh-CN" w:bidi="ar-SA"/>
    </w:rPr>
  </w:style>
  <w:style w:type="character" w:customStyle="1" w:styleId="11">
    <w:name w:val="标题 1 字符"/>
    <w:link w:val="Heading1"/>
    <w:qFormat/>
    <w:locked/>
    <w:rPr>
      <w:rFonts w:ascii="Times New Roman" w:hAnsi="Times New Roman"/>
      <w:b/>
      <w:bCs/>
      <w:kern w:val="44"/>
      <w:sz w:val="32"/>
      <w:szCs w:val="44"/>
    </w:rPr>
  </w:style>
  <w:style w:type="character" w:customStyle="1" w:styleId="2">
    <w:name w:val="标题 2 字符"/>
    <w:link w:val="Heading2"/>
    <w:qFormat/>
    <w:locked/>
    <w:rPr>
      <w:rFonts w:ascii="Times New Roman" w:hAnsi="Times New Roman"/>
      <w:b/>
      <w:bCs/>
      <w:sz w:val="30"/>
      <w:szCs w:val="32"/>
    </w:rPr>
  </w:style>
  <w:style w:type="character" w:customStyle="1" w:styleId="a1">
    <w:name w:val="页眉 字符"/>
    <w:link w:val="Header"/>
    <w:qFormat/>
    <w:locked/>
    <w:rPr>
      <w:rFonts w:cs="Times New Roman"/>
      <w:sz w:val="18"/>
      <w:szCs w:val="18"/>
    </w:rPr>
  </w:style>
  <w:style w:type="character" w:customStyle="1" w:styleId="a2">
    <w:name w:val="页脚 字符"/>
    <w:link w:val="Footer"/>
    <w:uiPriority w:val="99"/>
    <w:qFormat/>
    <w:locked/>
    <w:rPr>
      <w:kern w:val="2"/>
      <w:sz w:val="18"/>
      <w:szCs w:val="18"/>
    </w:rPr>
  </w:style>
  <w:style w:type="character" w:customStyle="1" w:styleId="a3">
    <w:name w:val="批注文字 字符"/>
    <w:link w:val="CommentText"/>
    <w:uiPriority w:val="99"/>
    <w:semiHidden/>
    <w:qFormat/>
    <w:locked/>
    <w:rPr>
      <w:rFonts w:cs="Times New Roman"/>
    </w:rPr>
  </w:style>
  <w:style w:type="character" w:customStyle="1" w:styleId="a4">
    <w:name w:val="批注主题 字符"/>
    <w:link w:val="CommentSubject"/>
    <w:uiPriority w:val="99"/>
    <w:semiHidden/>
    <w:qFormat/>
    <w:locked/>
    <w:rPr>
      <w:rFonts w:cs="Times New Roman"/>
      <w:b/>
      <w:bCs/>
    </w:rPr>
  </w:style>
  <w:style w:type="character" w:customStyle="1" w:styleId="a5">
    <w:name w:val="批注框文本 字符"/>
    <w:link w:val="BalloonText"/>
    <w:autoRedefine/>
    <w:uiPriority w:val="99"/>
    <w:semiHidden/>
    <w:qFormat/>
    <w:locked/>
    <w:rPr>
      <w:rFonts w:cs="Times New Roman"/>
      <w:sz w:val="18"/>
      <w:szCs w:val="18"/>
    </w:rPr>
  </w:style>
  <w:style w:type="character" w:customStyle="1" w:styleId="Char">
    <w:name w:val="列出段落 Char"/>
    <w:link w:val="1"/>
    <w:autoRedefine/>
    <w:uiPriority w:val="34"/>
    <w:qFormat/>
  </w:style>
  <w:style w:type="character" w:customStyle="1" w:styleId="a6">
    <w:name w:val="文档结构图 字符"/>
    <w:link w:val="DocumentMap"/>
    <w:autoRedefine/>
    <w:uiPriority w:val="99"/>
    <w:semiHidden/>
    <w:qFormat/>
    <w:rPr>
      <w:rFonts w:ascii="宋体"/>
      <w:kern w:val="2"/>
      <w:sz w:val="18"/>
      <w:szCs w:val="18"/>
    </w:rPr>
  </w:style>
  <w:style w:type="character" w:customStyle="1" w:styleId="3">
    <w:name w:val="正文文本缩进 3 字符"/>
    <w:link w:val="BodyTextIndent3"/>
    <w:autoRedefine/>
    <w:qFormat/>
    <w:rPr>
      <w:kern w:val="2"/>
      <w:sz w:val="28"/>
    </w:rPr>
  </w:style>
  <w:style w:type="character" w:customStyle="1" w:styleId="3Char1">
    <w:name w:val="正文文本缩进 3 Char1"/>
    <w:uiPriority w:val="99"/>
    <w:semiHidden/>
    <w:qFormat/>
    <w:rPr>
      <w:kern w:val="2"/>
      <w:sz w:val="16"/>
      <w:szCs w:val="16"/>
    </w:rPr>
  </w:style>
  <w:style w:type="character" w:customStyle="1" w:styleId="20">
    <w:name w:val="正文文本缩进 2 字符"/>
    <w:link w:val="BodyTextIndent2"/>
    <w:uiPriority w:val="99"/>
    <w:semiHidden/>
    <w:qFormat/>
    <w:rPr>
      <w:kern w:val="2"/>
      <w:sz w:val="21"/>
      <w:szCs w:val="22"/>
    </w:rPr>
  </w:style>
  <w:style w:type="character" w:customStyle="1" w:styleId="30">
    <w:name w:val="标题 3 字符"/>
    <w:link w:val="Heading3"/>
    <w:semiHidden/>
    <w:qFormat/>
    <w:rPr>
      <w:b/>
      <w:bCs/>
      <w:kern w:val="2"/>
      <w:sz w:val="32"/>
      <w:szCs w:val="32"/>
    </w:rPr>
  </w:style>
  <w:style w:type="character" w:customStyle="1" w:styleId="Char0">
    <w:name w:val="无间隔 Char"/>
    <w:link w:val="10"/>
    <w:qFormat/>
    <w:rPr>
      <w:rFonts w:ascii="Calibri" w:eastAsia="宋体" w:hAnsi="Calibri" w:cs="黑体"/>
      <w:sz w:val="22"/>
      <w:szCs w:val="22"/>
    </w:rPr>
  </w:style>
  <w:style w:type="paragraph" w:customStyle="1" w:styleId="B1">
    <w:name w:val="首页B1"/>
    <w:basedOn w:val="Normal"/>
    <w:qFormat/>
    <w:pPr>
      <w:numPr>
        <w:ilvl w:val="0"/>
        <w:numId w:val="3"/>
      </w:numPr>
      <w:spacing w:before="120" w:after="120" w:line="288" w:lineRule="auto"/>
    </w:pPr>
    <w:rPr>
      <w:rFonts w:ascii="Times New Roman" w:hAnsi="Times New Roman"/>
      <w:b/>
      <w:sz w:val="28"/>
      <w:szCs w:val="24"/>
    </w:rPr>
  </w:style>
  <w:style w:type="paragraph" w:styleId="NoSpacing">
    <w:name w:val="No Spacing"/>
    <w:qFormat/>
    <w:pPr>
      <w:spacing w:line="360" w:lineRule="auto"/>
      <w:ind w:left="352"/>
      <w:jc w:val="both"/>
    </w:pPr>
    <w:rPr>
      <w:rFonts w:ascii="Calibri" w:eastAsia="宋体" w:hAnsi="Calibri" w:cs="Times New Roman"/>
      <w:sz w:val="22"/>
      <w:szCs w:val="22"/>
      <w:lang w:val="en-US" w:eastAsia="zh-CN" w:bidi="ar-SA"/>
    </w:rPr>
  </w:style>
  <w:style w:type="paragraph" w:customStyle="1" w:styleId="a7">
    <w:name w:val="表头"/>
    <w:basedOn w:val="Normal"/>
    <w:autoRedefine/>
    <w:qFormat/>
    <w:pPr>
      <w:spacing w:line="520" w:lineRule="exact"/>
      <w:jc w:val="center"/>
    </w:pPr>
    <w:rPr>
      <w:rFonts w:ascii="黑体" w:eastAsia="黑体" w:hAnsi="微软雅黑"/>
      <w:sz w:val="24"/>
      <w:szCs w:val="24"/>
    </w:rPr>
  </w:style>
  <w:style w:type="paragraph" w:customStyle="1" w:styleId="a8">
    <w:name w:val="表内容居中"/>
    <w:basedOn w:val="Normal"/>
    <w:qFormat/>
    <w:pPr>
      <w:spacing w:line="520" w:lineRule="exact"/>
      <w:jc w:val="center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header" Target="header2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805F8710-AA14-4C58-822F-8B13155DA69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820</Words>
  <Characters>872</Characters>
  <Application>Microsoft Office Word</Application>
  <DocSecurity>0</DocSecurity>
  <Lines>7</Lines>
  <Paragraphs>2</Paragraphs>
  <ScaleCrop>false</ScaleCrop>
  <Company>PubInfo</Company>
  <LinksUpToDate>false</LinksUpToDate>
  <CharactersWithSpaces>941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版本</dc:title>
  <dc:creator>Dominique Long</dc:creator>
  <cp:lastModifiedBy>高</cp:lastModifiedBy>
  <cp:revision>93</cp:revision>
  <cp:lastPrinted>2014-08-19T11:49:00Z</cp:lastPrinted>
  <dcterms:created xsi:type="dcterms:W3CDTF">2015-08-17T08:58:00Z</dcterms:created>
  <dcterms:modified xsi:type="dcterms:W3CDTF">2025-11-27T17:36:24Z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728DB1CCC43F4267988EBFB05CA1B0A9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eyJoZGlkIjoiYjNkMjBiZWMwOTdhZGQ2MWQ5ZDY4YmViMWU1MzUxNjMiLCJ1c2VySWQiOiIxNTUxODc1Nzk4In0=</vt:lpwstr>
  </property>
</Properties>
</file>