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420"/>
        <w:jc w:val="center"/>
        <w:rPr>
          <w:b/>
          <w:sz w:val="48"/>
          <w:szCs w:val="48"/>
        </w:rPr>
      </w:pPr>
      <w:r>
        <w:rPr>
          <w:sz w:val="21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-1224915</wp:posOffset>
            </wp:positionH>
            <wp:positionV relativeFrom="paragraph">
              <wp:posOffset>-1148715</wp:posOffset>
            </wp:positionV>
            <wp:extent cx="7710170" cy="11225530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7487" cy="11236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GoBack"/>
      <w:bookmarkEnd w:id="0"/>
    </w:p>
    <w:p>
      <w:pPr>
        <w:tabs>
          <w:tab w:val="left" w:pos="6690"/>
        </w:tabs>
        <w:ind w:firstLine="964"/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tab/>
      </w:r>
    </w:p>
    <w:p>
      <w:pPr>
        <w:rPr>
          <w:b/>
          <w:sz w:val="48"/>
          <w:szCs w:val="48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</w:rPr>
        <w:t>甘肃国邦信息科技有限公司</w:t>
      </w:r>
    </w:p>
    <w:p>
      <w:pPr>
        <w:jc w:val="center"/>
        <w:rPr>
          <w:rFonts w:ascii="微软雅黑" w:eastAsia="微软雅黑" w:hAnsi="微软雅黑" w:cs="微软雅黑"/>
          <w:b/>
          <w:bCs/>
          <w:sz w:val="52"/>
          <w:szCs w:val="52"/>
        </w:rPr>
      </w:pPr>
    </w:p>
    <w:p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人事管理制度</w:t>
      </w:r>
    </w:p>
    <w:p>
      <w:pPr>
        <w:spacing w:after="163" w:afterLines="50"/>
        <w:jc w:val="center"/>
        <w:rPr>
          <w:b/>
          <w:sz w:val="48"/>
          <w:szCs w:val="48"/>
        </w:rPr>
      </w:pPr>
    </w:p>
    <w:p>
      <w:pPr>
        <w:spacing w:after="163" w:afterLines="50"/>
        <w:jc w:val="center"/>
        <w:rPr>
          <w:b/>
          <w:sz w:val="48"/>
          <w:szCs w:val="48"/>
        </w:rPr>
      </w:pPr>
    </w:p>
    <w:p>
      <w:pPr>
        <w:spacing w:after="163" w:afterLines="50"/>
        <w:jc w:val="center"/>
        <w:rPr>
          <w:b/>
          <w:sz w:val="48"/>
          <w:szCs w:val="48"/>
        </w:rPr>
      </w:pPr>
      <w:r>
        <w:rPr>
          <w:rFonts w:ascii="宋体" w:hAnsi="宋体" w:cs="宋体" w:hint="eastAsia"/>
          <w:b/>
          <w:bCs/>
          <w:sz w:val="36"/>
          <w:szCs w:val="36"/>
        </w:rPr>
        <w:t>GSGB-ITSS-0</w:t>
      </w:r>
      <w:r>
        <w:rPr>
          <w:rFonts w:ascii="宋体" w:hAnsi="宋体" w:cs="宋体"/>
          <w:b/>
          <w:bCs/>
          <w:sz w:val="36"/>
          <w:szCs w:val="36"/>
        </w:rPr>
        <w:t>9</w:t>
      </w:r>
      <w:r>
        <w:rPr>
          <w:rFonts w:ascii="宋体" w:hAnsi="宋体" w:cs="宋体" w:hint="eastAsia"/>
          <w:b/>
          <w:bCs/>
          <w:sz w:val="36"/>
          <w:szCs w:val="36"/>
        </w:rPr>
        <w:t>-0</w:t>
      </w:r>
      <w:r>
        <w:rPr>
          <w:rFonts w:ascii="宋体" w:hAnsi="宋体" w:cs="宋体"/>
          <w:b/>
          <w:bCs/>
          <w:sz w:val="36"/>
          <w:szCs w:val="36"/>
        </w:rPr>
        <w:t>2</w:t>
      </w:r>
    </w:p>
    <w:p>
      <w:pPr>
        <w:spacing w:after="163" w:afterLines="50"/>
        <w:ind w:firstLine="720"/>
        <w:rPr>
          <w:sz w:val="36"/>
          <w:szCs w:val="36"/>
        </w:rPr>
      </w:pPr>
    </w:p>
    <w:p>
      <w:pPr>
        <w:spacing w:after="163" w:afterLines="50"/>
        <w:ind w:firstLine="720"/>
        <w:rPr>
          <w:sz w:val="36"/>
          <w:szCs w:val="36"/>
        </w:rPr>
      </w:pP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拟制人：</w:t>
      </w:r>
      <w:r>
        <w:rPr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王海燕</w:t>
      </w:r>
      <w:r>
        <w:rPr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审核人：</w:t>
      </w:r>
      <w:r>
        <w:rPr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兰伟东</w:t>
      </w:r>
      <w:r>
        <w:rPr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b/>
          <w:sz w:val="32"/>
          <w:szCs w:val="32"/>
        </w:rPr>
      </w:pPr>
      <w:r>
        <w:rPr>
          <w:rFonts w:hint="eastAsia"/>
          <w:sz w:val="32"/>
          <w:szCs w:val="32"/>
        </w:rPr>
        <w:t>批准人：</w:t>
      </w:r>
      <w:r>
        <w:rPr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赵</w:t>
      </w:r>
      <w:r>
        <w:rPr>
          <w:sz w:val="32"/>
          <w:szCs w:val="32"/>
          <w:u w:val="single"/>
        </w:rPr>
        <w:t xml:space="preserve">  </w:t>
      </w:r>
      <w:r>
        <w:rPr>
          <w:rFonts w:hint="eastAsia"/>
          <w:sz w:val="32"/>
          <w:szCs w:val="32"/>
          <w:u w:val="single"/>
        </w:rPr>
        <w:t>鑫</w:t>
      </w:r>
      <w:r>
        <w:rPr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before="326" w:beforeLines="100" w:after="326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</w:p>
    <w:p>
      <w:pPr>
        <w:tabs>
          <w:tab w:val="left" w:pos="0"/>
        </w:tabs>
        <w:spacing w:before="326" w:beforeLines="100" w:after="326" w:afterLines="100"/>
        <w:ind w:firstLine="720"/>
        <w:jc w:val="center"/>
        <w:rPr>
          <w:rFonts w:ascii="微软雅黑" w:eastAsia="微软雅黑" w:hAnsi="微软雅黑"/>
          <w:sz w:val="36"/>
          <w:szCs w:val="36"/>
        </w:rPr>
      </w:pPr>
      <w:r>
        <w:rPr>
          <w:rFonts w:ascii="微软雅黑" w:eastAsia="微软雅黑" w:hAnsi="微软雅黑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4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版本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4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新建/修改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4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拟制人</w:t>
            </w:r>
          </w:p>
        </w:tc>
        <w:tc>
          <w:tcPr>
            <w:tcW w:w="810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4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审核人</w:t>
            </w:r>
          </w:p>
        </w:tc>
        <w:tc>
          <w:tcPr>
            <w:tcW w:w="8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4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批准人</w:t>
            </w:r>
          </w:p>
        </w:tc>
        <w:tc>
          <w:tcPr>
            <w:tcW w:w="878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4"/>
              <w:spacing w:line="240" w:lineRule="auto"/>
              <w:rPr>
                <w:rFonts w:ascii="微软雅黑" w:eastAsia="微软雅黑" w:cs="Arial"/>
              </w:rPr>
            </w:pPr>
            <w:r>
              <w:rPr>
                <w:rFonts w:ascii="微软雅黑" w:eastAsia="微软雅黑" w:cs="Arial" w:hint="eastAsia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v1.0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新建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王海燕</w:t>
            </w: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兰伟东</w:t>
            </w: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黄益溪</w:t>
            </w: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5"/>
              <w:spacing w:line="240" w:lineRule="auto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2025.1.7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1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  <w:tc>
          <w:tcPr>
            <w:tcW w:w="878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>
              <w:pStyle w:val="a5"/>
              <w:ind w:firstLine="420"/>
              <w:rPr>
                <w:rFonts w:ascii="微软雅黑" w:eastAsia="微软雅黑" w:hAnsi="微软雅黑"/>
              </w:rPr>
            </w:pPr>
          </w:p>
        </w:tc>
      </w:tr>
    </w:tbl>
    <w:p>
      <w:pPr>
        <w:rPr>
          <w:rFonts w:ascii="仿宋" w:eastAsia="仿宋" w:hAnsi="仿宋" w:cs="仿宋"/>
        </w:rPr>
      </w:pPr>
    </w:p>
    <w:p>
      <w:pPr>
        <w:spacing w:line="360" w:lineRule="auto"/>
        <w:jc w:val="left"/>
        <w:rPr>
          <w:rFonts w:ascii="黑体"/>
          <w:b/>
          <w:sz w:val="44"/>
          <w:szCs w:val="32"/>
        </w:rPr>
      </w:pPr>
    </w:p>
    <w:p>
      <w:pPr>
        <w:spacing w:line="360" w:lineRule="auto"/>
        <w:jc w:val="center"/>
        <w:rPr>
          <w:rFonts w:ascii="黑体"/>
          <w:b/>
          <w:sz w:val="44"/>
          <w:szCs w:val="32"/>
        </w:rPr>
      </w:pPr>
    </w:p>
    <w:p>
      <w:pPr>
        <w:spacing w:line="360" w:lineRule="auto"/>
        <w:jc w:val="center"/>
        <w:rPr>
          <w:rFonts w:ascii="黑体"/>
          <w:b/>
          <w:sz w:val="44"/>
          <w:szCs w:val="32"/>
        </w:rPr>
      </w:pPr>
    </w:p>
    <w:p>
      <w:pPr>
        <w:spacing w:line="360" w:lineRule="auto"/>
        <w:jc w:val="center"/>
        <w:rPr>
          <w:rFonts w:ascii="黑体"/>
          <w:b/>
          <w:sz w:val="44"/>
          <w:szCs w:val="32"/>
        </w:rPr>
      </w:pPr>
    </w:p>
    <w:p>
      <w:pPr>
        <w:spacing w:line="360" w:lineRule="auto"/>
        <w:jc w:val="center"/>
        <w:rPr>
          <w:rFonts w:ascii="黑体"/>
          <w:b/>
          <w:sz w:val="44"/>
          <w:szCs w:val="32"/>
        </w:rPr>
      </w:pPr>
    </w:p>
    <w:p>
      <w:pPr>
        <w:spacing w:line="360" w:lineRule="auto"/>
        <w:rPr>
          <w:rFonts w:ascii="黑体"/>
          <w:b/>
          <w:sz w:val="44"/>
          <w:szCs w:val="32"/>
        </w:rPr>
      </w:pPr>
    </w:p>
    <w:p>
      <w:pPr>
        <w:spacing w:line="360" w:lineRule="auto"/>
        <w:rPr>
          <w:rFonts w:ascii="黑体"/>
          <w:b/>
          <w:sz w:val="44"/>
          <w:szCs w:val="32"/>
        </w:rPr>
      </w:pPr>
    </w:p>
    <w:p>
      <w:pPr>
        <w:spacing w:line="360" w:lineRule="auto"/>
        <w:rPr>
          <w:rFonts w:ascii="黑体"/>
          <w:bCs/>
          <w:sz w:val="44"/>
          <w:szCs w:val="32"/>
        </w:rPr>
      </w:pPr>
    </w:p>
    <w:p>
      <w:pPr>
        <w:pStyle w:val="TOC1"/>
        <w:spacing w:line="480" w:lineRule="auto"/>
        <w:rPr>
          <w:rFonts w:ascii="仿宋" w:eastAsia="仿宋" w:hAnsi="仿宋" w:cs="仿宋"/>
          <w:b/>
          <w:color w:val="1E1C11" w:themeColor="background2" w:themeShade="1A"/>
          <w:sz w:val="28"/>
          <w:szCs w:val="28"/>
        </w:rPr>
      </w:pPr>
    </w:p>
    <w:p>
      <w:pPr>
        <w:pStyle w:val="TOC1"/>
        <w:spacing w:line="480" w:lineRule="auto"/>
        <w:rPr>
          <w:rFonts w:ascii="仿宋" w:eastAsia="仿宋" w:hAnsi="仿宋" w:cs="仿宋"/>
          <w:b/>
          <w:color w:val="1E1C11" w:themeColor="background2" w:themeShade="1A"/>
          <w:sz w:val="28"/>
          <w:szCs w:val="28"/>
        </w:rPr>
      </w:pPr>
    </w:p>
    <w:p>
      <w:pPr>
        <w:pStyle w:val="TOC1"/>
        <w:spacing w:line="480" w:lineRule="auto"/>
        <w:rPr>
          <w:rFonts w:ascii="仿宋" w:eastAsia="仿宋" w:hAnsi="仿宋" w:cs="仿宋"/>
          <w:b/>
          <w:color w:val="1E1C11" w:themeColor="background2" w:themeShade="1A"/>
          <w:sz w:val="28"/>
          <w:szCs w:val="28"/>
        </w:rPr>
      </w:pPr>
      <w:r>
        <w:rPr>
          <w:rFonts w:ascii="仿宋" w:eastAsia="仿宋" w:hAnsi="仿宋" w:cs="仿宋" w:hint="eastAsia"/>
          <w:b/>
          <w:color w:val="1E1C11" w:themeColor="background2" w:themeShade="1A"/>
          <w:sz w:val="28"/>
          <w:szCs w:val="28"/>
        </w:rPr>
        <w:t>目  录</w:t>
      </w:r>
    </w:p>
    <w:p>
      <w:pPr>
        <w:pStyle w:val="TOC2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bCs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bCs/>
          <w:szCs w:val="24"/>
        </w:rPr>
        <w:instrText xml:space="preserve"> TOC \o "1-3" \h \z \u </w:instrText>
      </w:r>
      <w:r>
        <w:rPr>
          <w:rFonts w:ascii="微软雅黑" w:eastAsia="微软雅黑" w:hAnsi="微软雅黑" w:cs="微软雅黑" w:hint="eastAsia"/>
          <w:bCs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bCs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bCs/>
          <w:szCs w:val="24"/>
        </w:rPr>
        <w:instrText xml:space="preserve"> HYPERLINK \l _Toc12595 </w:instrText>
      </w:r>
      <w:r>
        <w:rPr>
          <w:rFonts w:ascii="微软雅黑" w:eastAsia="微软雅黑" w:hAnsi="微软雅黑" w:cs="微软雅黑" w:hint="eastAsia"/>
          <w:bCs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bCs w:val="0"/>
          <w:szCs w:val="24"/>
        </w:rPr>
        <w:t>一、劳动合同制</w:t>
      </w:r>
      <w:r>
        <w:tab/>
      </w:r>
      <w:r>
        <w:fldChar w:fldCharType="begin"/>
      </w:r>
      <w:r>
        <w:instrText xml:space="preserve"> PAGEREF _Toc12595 \h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eastAsia="微软雅黑" w:hAnsi="微软雅黑" w:cs="微软雅黑" w:hint="eastAsia"/>
          <w:bCs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bCs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bCs/>
          <w:szCs w:val="24"/>
        </w:rPr>
        <w:instrText xml:space="preserve"> HYPERLINK \l _Toc9178 </w:instrText>
      </w:r>
      <w:r>
        <w:rPr>
          <w:rFonts w:ascii="微软雅黑" w:eastAsia="微软雅黑" w:hAnsi="微软雅黑" w:cs="微软雅黑" w:hint="eastAsia"/>
          <w:bCs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bCs w:val="0"/>
          <w:szCs w:val="24"/>
        </w:rPr>
        <w:t>二、入职</w:t>
      </w:r>
      <w:r>
        <w:tab/>
      </w:r>
      <w:r>
        <w:fldChar w:fldCharType="begin"/>
      </w:r>
      <w:r>
        <w:instrText xml:space="preserve"> PAGEREF _Toc9178 \h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eastAsia="微软雅黑" w:hAnsi="微软雅黑" w:cs="微软雅黑" w:hint="eastAsia"/>
          <w:bCs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bCs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bCs/>
          <w:szCs w:val="24"/>
        </w:rPr>
        <w:instrText xml:space="preserve"> HYPERLINK \l _Toc9693 </w:instrText>
      </w:r>
      <w:r>
        <w:rPr>
          <w:rFonts w:ascii="微软雅黑" w:eastAsia="微软雅黑" w:hAnsi="微软雅黑" w:cs="微软雅黑" w:hint="eastAsia"/>
          <w:bCs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bCs w:val="0"/>
          <w:szCs w:val="24"/>
        </w:rPr>
        <w:t>三、转正</w:t>
      </w:r>
      <w:r>
        <w:tab/>
      </w:r>
      <w:r>
        <w:fldChar w:fldCharType="begin"/>
      </w:r>
      <w:r>
        <w:instrText xml:space="preserve"> PAGEREF _Toc9693 \h </w:instrText>
      </w:r>
      <w:r>
        <w:fldChar w:fldCharType="separate"/>
      </w:r>
      <w:r>
        <w:t>1</w:t>
      </w:r>
      <w:r>
        <w:fldChar w:fldCharType="end"/>
      </w:r>
      <w:r>
        <w:rPr>
          <w:rFonts w:ascii="微软雅黑" w:eastAsia="微软雅黑" w:hAnsi="微软雅黑" w:cs="微软雅黑" w:hint="eastAsia"/>
          <w:bCs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bCs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bCs/>
          <w:szCs w:val="24"/>
        </w:rPr>
        <w:instrText xml:space="preserve"> HYPERLINK \l _Toc6429 </w:instrText>
      </w:r>
      <w:r>
        <w:rPr>
          <w:rFonts w:ascii="微软雅黑" w:eastAsia="微软雅黑" w:hAnsi="微软雅黑" w:cs="微软雅黑" w:hint="eastAsia"/>
          <w:bCs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bCs w:val="0"/>
          <w:szCs w:val="24"/>
        </w:rPr>
        <w:t>四、离职</w:t>
      </w:r>
      <w:r>
        <w:tab/>
      </w:r>
      <w:r>
        <w:fldChar w:fldCharType="begin"/>
      </w:r>
      <w:r>
        <w:instrText xml:space="preserve"> PAGEREF _Toc6429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eastAsia="微软雅黑" w:hAnsi="微软雅黑" w:cs="微软雅黑" w:hint="eastAsia"/>
          <w:bCs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bCs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bCs/>
          <w:szCs w:val="24"/>
        </w:rPr>
        <w:instrText xml:space="preserve"> HYPERLINK \l _Toc32245 </w:instrText>
      </w:r>
      <w:r>
        <w:rPr>
          <w:rFonts w:ascii="微软雅黑" w:eastAsia="微软雅黑" w:hAnsi="微软雅黑" w:cs="微软雅黑" w:hint="eastAsia"/>
          <w:bCs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bCs w:val="0"/>
          <w:szCs w:val="24"/>
        </w:rPr>
        <w:t>五、人员调动与晋升</w:t>
      </w:r>
      <w:r>
        <w:tab/>
      </w:r>
      <w:r>
        <w:fldChar w:fldCharType="begin"/>
      </w:r>
      <w:r>
        <w:instrText xml:space="preserve"> PAGEREF _Toc32245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eastAsia="微软雅黑" w:hAnsi="微软雅黑" w:cs="微软雅黑" w:hint="eastAsia"/>
          <w:bCs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bCs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bCs/>
          <w:szCs w:val="24"/>
        </w:rPr>
        <w:instrText xml:space="preserve"> HYPERLINK \l _Toc21587 </w:instrText>
      </w:r>
      <w:r>
        <w:rPr>
          <w:rFonts w:ascii="微软雅黑" w:eastAsia="微软雅黑" w:hAnsi="微软雅黑" w:cs="微软雅黑" w:hint="eastAsia"/>
          <w:bCs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szCs w:val="24"/>
        </w:rPr>
        <w:t xml:space="preserve">5.1 </w:t>
      </w:r>
      <w:r>
        <w:rPr>
          <w:rFonts w:ascii="微软雅黑" w:eastAsia="微软雅黑" w:hAnsi="微软雅黑" w:cs="微软雅黑" w:hint="eastAsia"/>
          <w:bCs/>
          <w:szCs w:val="24"/>
        </w:rPr>
        <w:t>员工调动</w:t>
      </w:r>
      <w:r>
        <w:tab/>
      </w:r>
      <w:r>
        <w:fldChar w:fldCharType="begin"/>
      </w:r>
      <w:r>
        <w:instrText xml:space="preserve"> PAGEREF _Toc21587 \h </w:instrText>
      </w:r>
      <w:r>
        <w:fldChar w:fldCharType="separate"/>
      </w:r>
      <w:r>
        <w:t>2</w:t>
      </w:r>
      <w:r>
        <w:fldChar w:fldCharType="end"/>
      </w:r>
      <w:r>
        <w:rPr>
          <w:rFonts w:ascii="微软雅黑" w:eastAsia="微软雅黑" w:hAnsi="微软雅黑" w:cs="微软雅黑" w:hint="eastAsia"/>
          <w:bCs/>
          <w:szCs w:val="24"/>
        </w:rPr>
        <w:fldChar w:fldCharType="end"/>
      </w:r>
    </w:p>
    <w:p>
      <w:pPr>
        <w:pStyle w:val="TOC3"/>
        <w:tabs>
          <w:tab w:val="right" w:leader="dot" w:pos="8306"/>
        </w:tabs>
      </w:pPr>
      <w:r>
        <w:rPr>
          <w:rFonts w:ascii="微软雅黑" w:eastAsia="微软雅黑" w:hAnsi="微软雅黑" w:cs="微软雅黑" w:hint="eastAsia"/>
          <w:bCs/>
          <w:szCs w:val="24"/>
        </w:rPr>
        <w:fldChar w:fldCharType="begin"/>
      </w:r>
      <w:r>
        <w:rPr>
          <w:rFonts w:ascii="微软雅黑" w:eastAsia="微软雅黑" w:hAnsi="微软雅黑" w:cs="微软雅黑" w:hint="eastAsia"/>
          <w:bCs/>
          <w:szCs w:val="24"/>
        </w:rPr>
        <w:instrText xml:space="preserve"> HYPERLINK \l _Toc16501 </w:instrText>
      </w:r>
      <w:r>
        <w:rPr>
          <w:rFonts w:ascii="微软雅黑" w:eastAsia="微软雅黑" w:hAnsi="微软雅黑" w:cs="微软雅黑" w:hint="eastAsia"/>
          <w:bCs/>
          <w:szCs w:val="24"/>
        </w:rPr>
        <w:fldChar w:fldCharType="separate"/>
      </w:r>
      <w:r>
        <w:rPr>
          <w:rFonts w:ascii="微软雅黑" w:eastAsia="微软雅黑" w:hAnsi="微软雅黑" w:cs="微软雅黑" w:hint="eastAsia"/>
          <w:szCs w:val="24"/>
        </w:rPr>
        <w:t xml:space="preserve">5.2 </w:t>
      </w:r>
      <w:r>
        <w:rPr>
          <w:rFonts w:ascii="微软雅黑" w:eastAsia="微软雅黑" w:hAnsi="微软雅黑" w:cs="微软雅黑" w:hint="eastAsia"/>
          <w:bCs/>
          <w:szCs w:val="24"/>
        </w:rPr>
        <w:t>员工晋升</w:t>
      </w:r>
      <w:r>
        <w:tab/>
      </w:r>
      <w:r>
        <w:fldChar w:fldCharType="begin"/>
      </w:r>
      <w:r>
        <w:instrText xml:space="preserve"> PAGEREF _Toc16501 \h </w:instrText>
      </w:r>
      <w:r>
        <w:fldChar w:fldCharType="separate"/>
      </w:r>
      <w:r>
        <w:t>3</w:t>
      </w:r>
      <w:r>
        <w:fldChar w:fldCharType="end"/>
      </w:r>
      <w:r>
        <w:rPr>
          <w:rFonts w:ascii="微软雅黑" w:eastAsia="微软雅黑" w:hAnsi="微软雅黑" w:cs="微软雅黑" w:hint="eastAsia"/>
          <w:bCs/>
          <w:szCs w:val="24"/>
        </w:rPr>
        <w:fldChar w:fldCharType="end"/>
      </w:r>
    </w:p>
    <w:p>
      <w:pPr>
        <w:widowControl/>
        <w:spacing w:line="480" w:lineRule="auto"/>
        <w:jc w:val="left"/>
        <w:rPr>
          <w:rFonts w:ascii="微软雅黑" w:eastAsia="微软雅黑" w:hAnsi="微软雅黑" w:cs="微软雅黑"/>
          <w:bCs/>
          <w:szCs w:val="24"/>
        </w:rPr>
        <w:sectPr>
          <w:headerReference w:type="default" r:id="rId7"/>
          <w:pgSz w:w="11906" w:h="16838"/>
          <w:pgMar w:top="1440" w:right="1800" w:bottom="1440" w:left="1800" w:header="851" w:footer="992" w:gutter="0"/>
          <w:cols w:num="1" w:space="720"/>
          <w:docGrid w:type="lines" w:linePitch="326" w:charSpace="0"/>
        </w:sectPr>
      </w:pPr>
      <w:r>
        <w:rPr>
          <w:rFonts w:ascii="微软雅黑" w:eastAsia="微软雅黑" w:hAnsi="微软雅黑" w:cs="微软雅黑" w:hint="eastAsia"/>
          <w:bCs/>
          <w:szCs w:val="24"/>
        </w:rPr>
        <w:fldChar w:fldCharType="end"/>
      </w:r>
    </w:p>
    <w:p>
      <w:pPr>
        <w:spacing w:line="360" w:lineRule="auto"/>
        <w:ind w:firstLine="480" w:firstLineChars="200"/>
        <w:jc w:val="left"/>
        <w:rPr>
          <w:rFonts w:ascii="微软雅黑" w:eastAsia="微软雅黑" w:hAnsi="微软雅黑" w:cs="微软雅黑"/>
          <w:bCs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随着公司业务规模及人员规模的不断扩大，为使本公司作业规范化、制度化和统一化，使公司员工的管理有章可循，提高团队作战能力，增强内外部的信息沟通，提高工作效率和员工责任感、归属感，提高员工素质、确保企业质量管理体系的有效运行。特定制此制度：</w:t>
      </w:r>
    </w:p>
    <w:p>
      <w:pPr>
        <w:pStyle w:val="Heading2"/>
        <w:spacing w:line="360" w:lineRule="auto"/>
        <w:rPr>
          <w:rFonts w:ascii="微软雅黑" w:eastAsia="微软雅黑" w:hAnsi="微软雅黑" w:cs="微软雅黑"/>
          <w:bCs w:val="0"/>
          <w:szCs w:val="24"/>
        </w:rPr>
      </w:pPr>
      <w:bookmarkStart w:id="1" w:name="_Toc12595"/>
      <w:bookmarkStart w:id="2" w:name="_Toc478159462"/>
      <w:r>
        <w:rPr>
          <w:rFonts w:ascii="微软雅黑" w:eastAsia="微软雅黑" w:hAnsi="微软雅黑" w:cs="微软雅黑" w:hint="eastAsia"/>
          <w:bCs w:val="0"/>
          <w:szCs w:val="24"/>
        </w:rPr>
        <w:t>一、劳动合同制</w:t>
      </w:r>
      <w:bookmarkEnd w:id="1"/>
      <w:bookmarkEnd w:id="2"/>
    </w:p>
    <w:p>
      <w:pPr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公司所有员工实行全体档案制。</w:t>
      </w:r>
    </w:p>
    <w:p>
      <w:pPr>
        <w:pStyle w:val="Heading2"/>
        <w:spacing w:line="360" w:lineRule="auto"/>
        <w:rPr>
          <w:rFonts w:ascii="微软雅黑" w:eastAsia="微软雅黑" w:hAnsi="微软雅黑" w:cs="微软雅黑"/>
          <w:bCs w:val="0"/>
          <w:szCs w:val="24"/>
        </w:rPr>
      </w:pPr>
      <w:bookmarkStart w:id="3" w:name="_Toc478159463"/>
      <w:bookmarkStart w:id="4" w:name="_Toc9178"/>
      <w:r>
        <w:rPr>
          <w:rFonts w:ascii="微软雅黑" w:eastAsia="微软雅黑" w:hAnsi="微软雅黑" w:cs="微软雅黑" w:hint="eastAsia"/>
          <w:bCs w:val="0"/>
          <w:szCs w:val="24"/>
        </w:rPr>
        <w:t>二、入职</w:t>
      </w:r>
      <w:bookmarkEnd w:id="3"/>
      <w:bookmarkEnd w:id="4"/>
    </w:p>
    <w:p>
      <w:pPr>
        <w:pStyle w:val="3"/>
        <w:ind w:firstLine="480" w:firstLineChars="200"/>
        <w:rPr>
          <w:rFonts w:ascii="微软雅黑" w:eastAsia="微软雅黑" w:hAnsi="微软雅黑" w:cs="微软雅黑"/>
          <w:bCs/>
          <w:color w:val="0D0D0D"/>
          <w:spacing w:val="20"/>
          <w:kern w:val="2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kern w:val="2"/>
        </w:rPr>
        <w:t>刚入职的员工应向</w:t>
      </w:r>
      <w:r>
        <w:rPr>
          <w:rFonts w:ascii="微软雅黑" w:eastAsia="微软雅黑" w:hAnsi="微软雅黑" w:cs="微软雅黑" w:hint="eastAsia"/>
          <w:bCs/>
          <w:color w:val="0D0D0D"/>
          <w:spacing w:val="20"/>
          <w:kern w:val="2"/>
          <w:lang w:eastAsia="zh-CN"/>
        </w:rPr>
        <w:t>人力</w:t>
      </w:r>
      <w:r>
        <w:rPr>
          <w:rFonts w:ascii="微软雅黑" w:eastAsia="微软雅黑" w:hAnsi="微软雅黑" w:cs="微软雅黑" w:hint="eastAsia"/>
          <w:bCs/>
          <w:color w:val="0D0D0D"/>
          <w:spacing w:val="20"/>
          <w:kern w:val="2"/>
        </w:rPr>
        <w:t>部交以下材料，并详细阅读公司制度：</w:t>
      </w:r>
    </w:p>
    <w:p>
      <w:pPr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1、近期一寸、二寸免冠照片各俩张</w:t>
      </w:r>
    </w:p>
    <w:p>
      <w:pPr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2、电子版身份证一份</w:t>
      </w:r>
    </w:p>
    <w:p>
      <w:pPr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3、相关的学历证书、证件电子版一份</w:t>
      </w:r>
    </w:p>
    <w:p>
      <w:pPr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4、员工档案登记表一份（由公司提供模板）</w:t>
      </w:r>
    </w:p>
    <w:p>
      <w:pPr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5、员工入职说明一份</w:t>
      </w:r>
    </w:p>
    <w:p>
      <w:pPr>
        <w:pStyle w:val="Heading2"/>
        <w:spacing w:line="360" w:lineRule="auto"/>
        <w:rPr>
          <w:rFonts w:ascii="微软雅黑" w:eastAsia="微软雅黑" w:hAnsi="微软雅黑" w:cs="微软雅黑"/>
          <w:bCs w:val="0"/>
          <w:szCs w:val="24"/>
        </w:rPr>
      </w:pPr>
      <w:bookmarkStart w:id="5" w:name="_Toc9693"/>
      <w:bookmarkStart w:id="6" w:name="_Toc478159464"/>
      <w:r>
        <w:rPr>
          <w:rFonts w:ascii="微软雅黑" w:eastAsia="微软雅黑" w:hAnsi="微软雅黑" w:cs="微软雅黑" w:hint="eastAsia"/>
          <w:bCs w:val="0"/>
          <w:szCs w:val="24"/>
        </w:rPr>
        <w:t>三、转正</w:t>
      </w:r>
      <w:bookmarkEnd w:id="5"/>
      <w:bookmarkEnd w:id="6"/>
    </w:p>
    <w:p>
      <w:pPr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1、员工转正考核办法：</w:t>
      </w:r>
    </w:p>
    <w:p>
      <w:pPr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在试用期间工作表现良好，无旷工现象，为人端正，无不良嗜好，对工作技能、工作适应能力及工作成效特别出色的新职员，可以向上级领导提出转正申请，填写《员工转正考核表》报部门上级经理、总经理批准。</w:t>
      </w:r>
    </w:p>
    <w:p>
      <w:pPr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2、未毕业还在实习期的员工，暂没有转正机会，过实习期或表现特别优秀的员工，可以提前转正。</w:t>
      </w:r>
    </w:p>
    <w:p>
      <w:pPr>
        <w:pStyle w:val="Heading2"/>
        <w:spacing w:line="360" w:lineRule="auto"/>
        <w:rPr>
          <w:rFonts w:ascii="微软雅黑" w:eastAsia="微软雅黑" w:hAnsi="微软雅黑" w:cs="微软雅黑"/>
          <w:bCs w:val="0"/>
          <w:szCs w:val="24"/>
        </w:rPr>
      </w:pPr>
      <w:bookmarkStart w:id="7" w:name="_Toc6429"/>
      <w:bookmarkStart w:id="8" w:name="_Toc478159465"/>
      <w:r>
        <w:rPr>
          <w:rFonts w:ascii="微软雅黑" w:eastAsia="微软雅黑" w:hAnsi="微软雅黑" w:cs="微软雅黑" w:hint="eastAsia"/>
          <w:bCs w:val="0"/>
          <w:szCs w:val="24"/>
        </w:rPr>
        <w:t>四、离职</w:t>
      </w:r>
      <w:bookmarkEnd w:id="7"/>
      <w:bookmarkEnd w:id="8"/>
    </w:p>
    <w:p>
      <w:pPr>
        <w:pStyle w:val="3"/>
        <w:ind w:firstLine="480" w:firstLineChars="200"/>
        <w:rPr>
          <w:rFonts w:ascii="微软雅黑" w:eastAsia="微软雅黑" w:hAnsi="微软雅黑" w:cs="微软雅黑" w:hint="eastAsia"/>
          <w:bCs/>
          <w:color w:val="0D0D0D"/>
          <w:kern w:val="2"/>
          <w:lang w:val="en-US" w:eastAsia="zh-CN"/>
        </w:rPr>
      </w:pPr>
      <w:r>
        <w:rPr>
          <w:rFonts w:ascii="微软雅黑" w:eastAsia="微软雅黑" w:hAnsi="微软雅黑" w:cs="微软雅黑" w:hint="eastAsia"/>
          <w:bCs/>
          <w:color w:val="0D0D0D"/>
          <w:kern w:val="2"/>
          <w:lang w:val="zh-CN"/>
        </w:rPr>
        <w:t>正式员工自动离职需提前30天通知公司。经公司领导批准后到人力部办理离职手续和工作交接，人力部告知财务部对离职人员财务状况进行审核，所有工作交接清楚后方可离职。</w:t>
      </w:r>
    </w:p>
    <w:p>
      <w:pPr>
        <w:autoSpaceDE w:val="0"/>
        <w:autoSpaceDN w:val="0"/>
        <w:adjustRightInd w:val="0"/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zCs w:val="24"/>
          <w:lang w:val="zh-CN"/>
        </w:rPr>
      </w:pPr>
      <w:r>
        <w:rPr>
          <w:rFonts w:ascii="微软雅黑" w:eastAsia="微软雅黑" w:hAnsi="微软雅黑" w:cs="微软雅黑" w:hint="eastAsia"/>
          <w:bCs/>
          <w:color w:val="0D0D0D"/>
          <w:szCs w:val="24"/>
          <w:lang w:val="zh-CN"/>
        </w:rPr>
        <w:t>1、公司请辞正式员工，人力部需提前15天通知本人及财务部。</w:t>
      </w:r>
    </w:p>
    <w:p>
      <w:pPr>
        <w:autoSpaceDE w:val="0"/>
        <w:autoSpaceDN w:val="0"/>
        <w:adjustRightInd w:val="0"/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zCs w:val="24"/>
          <w:lang w:val="zh-CN"/>
        </w:rPr>
      </w:pPr>
      <w:r>
        <w:rPr>
          <w:rFonts w:ascii="微软雅黑" w:eastAsia="微软雅黑" w:hAnsi="微软雅黑" w:cs="微软雅黑" w:hint="eastAsia"/>
          <w:bCs/>
          <w:color w:val="0D0D0D"/>
          <w:szCs w:val="24"/>
          <w:lang w:val="zh-CN"/>
        </w:rPr>
        <w:t xml:space="preserve">2、正式员工离职时，工作未交接清楚擅自离职或有相关工作交接不清时，扣发一个月工资及赔偿相关损失。 </w:t>
      </w:r>
    </w:p>
    <w:p>
      <w:pPr>
        <w:autoSpaceDE w:val="0"/>
        <w:autoSpaceDN w:val="0"/>
        <w:adjustRightInd w:val="0"/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zCs w:val="24"/>
          <w:lang w:val="zh-CN"/>
        </w:rPr>
      </w:pPr>
      <w:r>
        <w:rPr>
          <w:rFonts w:ascii="微软雅黑" w:eastAsia="微软雅黑" w:hAnsi="微软雅黑" w:cs="微软雅黑" w:hint="eastAsia"/>
          <w:bCs/>
          <w:color w:val="0D0D0D"/>
          <w:szCs w:val="24"/>
          <w:lang w:val="zh-CN"/>
        </w:rPr>
        <w:t>3、试用期职员或实习期员工离职申请应于3日前提出并将手头工作交接清楚方可离职。如未交接清楚擅自离职，扣除当月工资的20%。</w:t>
      </w:r>
    </w:p>
    <w:p>
      <w:pPr>
        <w:autoSpaceDE w:val="0"/>
        <w:autoSpaceDN w:val="0"/>
        <w:adjustRightInd w:val="0"/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zCs w:val="24"/>
          <w:lang w:val="zh-CN"/>
        </w:rPr>
      </w:pPr>
      <w:r>
        <w:rPr>
          <w:rFonts w:ascii="微软雅黑" w:eastAsia="微软雅黑" w:hAnsi="微软雅黑" w:cs="微软雅黑" w:hint="eastAsia"/>
          <w:bCs/>
          <w:color w:val="0D0D0D"/>
          <w:szCs w:val="24"/>
          <w:lang w:val="zh-CN"/>
        </w:rPr>
        <w:t>4、试用期及实习期员工，工作不满2周离职者不发放当月工资。</w:t>
      </w:r>
    </w:p>
    <w:p>
      <w:pPr>
        <w:autoSpaceDE w:val="0"/>
        <w:autoSpaceDN w:val="0"/>
        <w:adjustRightInd w:val="0"/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zCs w:val="24"/>
          <w:lang w:val="zh-CN"/>
        </w:rPr>
      </w:pPr>
      <w:r>
        <w:rPr>
          <w:rFonts w:ascii="微软雅黑" w:eastAsia="微软雅黑" w:hAnsi="微软雅黑" w:cs="微软雅黑" w:hint="eastAsia"/>
          <w:bCs/>
          <w:color w:val="0D0D0D"/>
          <w:szCs w:val="24"/>
          <w:lang w:val="zh-CN"/>
        </w:rPr>
        <w:t>5、</w:t>
      </w: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员工离职后须填写离职申请表，并自动解除劳动合同。</w:t>
      </w:r>
    </w:p>
    <w:p>
      <w:pPr>
        <w:pStyle w:val="Heading2"/>
        <w:spacing w:line="360" w:lineRule="auto"/>
        <w:rPr>
          <w:rFonts w:ascii="微软雅黑" w:eastAsia="微软雅黑" w:hAnsi="微软雅黑" w:cs="微软雅黑"/>
          <w:bCs w:val="0"/>
          <w:szCs w:val="24"/>
        </w:rPr>
      </w:pPr>
      <w:bookmarkStart w:id="9" w:name="_Toc32245"/>
      <w:bookmarkStart w:id="10" w:name="_Toc478159466"/>
      <w:r>
        <w:rPr>
          <w:rFonts w:ascii="微软雅黑" w:eastAsia="微软雅黑" w:hAnsi="微软雅黑" w:cs="微软雅黑" w:hint="eastAsia"/>
          <w:bCs w:val="0"/>
          <w:szCs w:val="24"/>
        </w:rPr>
        <w:t>五、人员调动与晋升</w:t>
      </w:r>
      <w:bookmarkEnd w:id="9"/>
      <w:bookmarkEnd w:id="10"/>
    </w:p>
    <w:p>
      <w:pPr>
        <w:pStyle w:val="Heading2"/>
        <w:spacing w:line="360" w:lineRule="auto"/>
        <w:ind w:firstLine="480" w:firstLineChars="200"/>
        <w:rPr>
          <w:rStyle w:val="30"/>
          <w:rFonts w:ascii="微软雅黑" w:eastAsia="微软雅黑" w:hAnsi="微软雅黑" w:cs="微软雅黑"/>
          <w:b w:val="0"/>
          <w:bCs/>
          <w:szCs w:val="24"/>
        </w:rPr>
      </w:pPr>
      <w:bookmarkStart w:id="11" w:name="_Toc21587"/>
      <w:r>
        <w:rPr>
          <w:rFonts w:ascii="微软雅黑" w:eastAsia="微软雅黑" w:hAnsi="微软雅黑" w:cs="微软雅黑" w:hint="eastAsia"/>
          <w:b w:val="0"/>
          <w:color w:val="0D0D0D"/>
          <w:szCs w:val="24"/>
        </w:rPr>
        <w:t xml:space="preserve">5.1 </w:t>
      </w:r>
      <w:r>
        <w:rPr>
          <w:rStyle w:val="30"/>
          <w:rFonts w:ascii="微软雅黑" w:eastAsia="微软雅黑" w:hAnsi="微软雅黑" w:cs="微软雅黑" w:hint="eastAsia"/>
          <w:b w:val="0"/>
          <w:bCs/>
          <w:szCs w:val="24"/>
        </w:rPr>
        <w:t>员工调动</w:t>
      </w:r>
      <w:bookmarkEnd w:id="11"/>
    </w:p>
    <w:p>
      <w:pPr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1）部门之间调动：是指员工在公司内部部门与部门之间的调动，必须经过公司考察认可，公司领导同意，员工个人自愿，三者条件同时满足，写《调动申请》，由新部门及旧部门上级领导批准后，交由</w:t>
      </w: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  <w:lang w:eastAsia="zh-CN"/>
        </w:rPr>
        <w:t>人力</w:t>
      </w: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存档。</w:t>
      </w:r>
    </w:p>
    <w:p>
      <w:pPr>
        <w:spacing w:line="360" w:lineRule="auto"/>
        <w:ind w:firstLine="480" w:firstLineChars="200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2）部门内部调动：是指员工在本部门内部的岗位变动，由各部门经理根据实际情况，经考核后，具体安排。</w:t>
      </w:r>
    </w:p>
    <w:p>
      <w:pPr>
        <w:pStyle w:val="Heading3"/>
        <w:spacing w:line="360" w:lineRule="auto"/>
        <w:ind w:firstLine="480" w:firstLineChars="200"/>
        <w:rPr>
          <w:rStyle w:val="30"/>
          <w:rFonts w:ascii="微软雅黑" w:eastAsia="微软雅黑" w:hAnsi="微软雅黑" w:cs="微软雅黑"/>
          <w:bCs/>
          <w:szCs w:val="24"/>
        </w:rPr>
      </w:pPr>
      <w:bookmarkStart w:id="12" w:name="_Toc16501"/>
      <w:r>
        <w:rPr>
          <w:rFonts w:ascii="微软雅黑" w:eastAsia="微软雅黑" w:hAnsi="微软雅黑" w:cs="微软雅黑" w:hint="eastAsia"/>
          <w:color w:val="0D0D0D"/>
          <w:szCs w:val="24"/>
        </w:rPr>
        <w:t xml:space="preserve">5.2 </w:t>
      </w:r>
      <w:r>
        <w:rPr>
          <w:rStyle w:val="30"/>
          <w:rFonts w:ascii="微软雅黑" w:eastAsia="微软雅黑" w:hAnsi="微软雅黑" w:cs="微软雅黑" w:hint="eastAsia"/>
          <w:bCs/>
          <w:szCs w:val="24"/>
        </w:rPr>
        <w:t>员工晋升</w:t>
      </w:r>
      <w:bookmarkEnd w:id="12"/>
    </w:p>
    <w:p>
      <w:pPr>
        <w:spacing w:line="360" w:lineRule="auto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ab/>
      </w: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为了提高员工的业务知识技能，选拔优秀的人才，激发员工的工作热情，特制定此制度。</w:t>
      </w:r>
    </w:p>
    <w:p>
      <w:pPr>
        <w:spacing w:line="360" w:lineRule="auto"/>
        <w:ind w:firstLine="420"/>
        <w:rPr>
          <w:rFonts w:ascii="微软雅黑" w:eastAsia="微软雅黑" w:hAnsi="微软雅黑" w:cs="微软雅黑"/>
          <w:bCs/>
          <w:color w:val="0D0D0D"/>
          <w:spacing w:val="20"/>
          <w:szCs w:val="24"/>
        </w:rPr>
      </w:pPr>
      <w:r>
        <w:rPr>
          <w:rFonts w:ascii="微软雅黑" w:eastAsia="微软雅黑" w:hAnsi="微软雅黑" w:cs="微软雅黑" w:hint="eastAsia"/>
          <w:bCs/>
          <w:color w:val="0D0D0D"/>
          <w:spacing w:val="20"/>
          <w:szCs w:val="24"/>
        </w:rPr>
        <w:t>要求：1、具备较高的职业技能，2、有关相关工作经验和资历，3、在工作中表现突出及品德高尚，4、可以有效的完成工作内容，5、具有较好的适应性和潜力。</w:t>
      </w:r>
    </w:p>
    <w:sectPr>
      <w:footerReference w:type="default" r:id="rId8"/>
      <w:pgSz w:w="11906" w:h="16838"/>
      <w:pgMar w:top="1440" w:right="1800" w:bottom="1440" w:left="1800" w:header="851" w:footer="992" w:gutter="0"/>
      <w:pgNumType w:fmt="decimal" w:start="1"/>
      <w:cols w:num="1" w:space="720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single" w:sz="4" w:space="0" w:color="auto"/>
      </w:pBdr>
      <w:rPr>
        <w:rFonts w:ascii="宋体" w:eastAsia="宋体"/>
        <w:sz w:val="21"/>
      </w:rPr>
    </w:pPr>
    <w:r>
      <w:rPr>
        <w:rFonts w:ascii="宋体" w:eastAsia="宋体" w:hint="eastAsia"/>
        <w:sz w:val="21"/>
      </w:rPr>
      <w:t xml:space="preserve">                                 </w:t>
    </w:r>
    <w:r>
      <w:rPr>
        <w:rFonts w:ascii="宋体" w:eastAsia="宋体"/>
        <w:sz w:val="21"/>
      </w:rPr>
      <w:t xml:space="preserve">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oNotTrackMoves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useAltKinsokuLineBreakRules/>
    <w:splitPgBreakAndParaMark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Y2NTkyOGM2YjI2OTQwZmM2MmQxMjNhNGM5MGQ4MGQ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 w:semiHidden="0" w:uiPriority="0" w:unhideWhenUsed="0" w:qFormat="1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 w:qFormat="1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 w:semiHidden="0" w:uiPriority="0" w:unhideWhenUsed="0" w:qFormat="1"/>
    <w:lsdException w:name="HTML Sample"/>
    <w:lsdException w:name="HTML Typewriter"/>
    <w:lsdException w:name="HTML Variable"/>
    <w:lsdException w:name="Normal Table" w:qFormat="1"/>
    <w:lsdException w:name="annotation subject" w:semiHidden="0" w:uiPriority="0" w:unhideWhenUsed="0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="Calibri" w:eastAsia="黑体" w:hAnsi="Calibri" w:cs="Arial"/>
      <w:kern w:val="2"/>
      <w:sz w:val="24"/>
      <w:szCs w:val="22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rFonts w:eastAsia="微软雅黑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5" w:lineRule="auto"/>
      <w:outlineLvl w:val="1"/>
    </w:pPr>
    <w:rPr>
      <w:rFonts w:ascii="Cambria" w:hAnsi="Cambria" w:cs="Times New Roman"/>
      <w:b/>
      <w:bCs/>
      <w:szCs w:val="32"/>
    </w:rPr>
  </w:style>
  <w:style w:type="paragraph" w:styleId="Heading3">
    <w:name w:val="heading 3"/>
    <w:basedOn w:val="Normal"/>
    <w:next w:val="Normal"/>
    <w:link w:val="30"/>
    <w:qFormat/>
    <w:pPr>
      <w:keepNext/>
      <w:keepLines/>
      <w:spacing w:before="260" w:after="260" w:line="415" w:lineRule="auto"/>
      <w:outlineLvl w:val="2"/>
    </w:pPr>
    <w:rPr>
      <w:bCs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7" w:lineRule="auto"/>
      <w:outlineLvl w:val="3"/>
    </w:pPr>
    <w:rPr>
      <w:rFonts w:ascii="Cambria" w:hAnsi="Cambria" w:cs="Times New Roman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a3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CommentText">
    <w:name w:val="annotation text"/>
    <w:basedOn w:val="Normal"/>
    <w:qFormat/>
    <w:pPr>
      <w:jc w:val="left"/>
    </w:pPr>
  </w:style>
  <w:style w:type="paragraph" w:styleId="TOC3">
    <w:name w:val="toc 3"/>
    <w:basedOn w:val="Normal"/>
    <w:next w:val="Normal"/>
    <w:uiPriority w:val="39"/>
    <w:qFormat/>
    <w:pPr>
      <w:ind w:left="400" w:leftChars="400"/>
    </w:pPr>
  </w:style>
  <w:style w:type="paragraph" w:styleId="BalloonText">
    <w:name w:val="Balloon Text"/>
    <w:basedOn w:val="Normal"/>
    <w:qFormat/>
    <w:rPr>
      <w:sz w:val="18"/>
      <w:szCs w:val="18"/>
    </w:rPr>
  </w:style>
  <w:style w:type="paragraph" w:styleId="Footer">
    <w:name w:val="footer"/>
    <w:basedOn w:val="Normal"/>
    <w:link w:val="a2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tabs>
        <w:tab w:val="left" w:pos="630"/>
        <w:tab w:val="right" w:leader="dot" w:pos="8296"/>
      </w:tabs>
      <w:jc w:val="center"/>
    </w:pPr>
    <w:rPr>
      <w:sz w:val="32"/>
      <w:szCs w:val="32"/>
    </w:rPr>
  </w:style>
  <w:style w:type="paragraph" w:styleId="TOC2">
    <w:name w:val="toc 2"/>
    <w:basedOn w:val="Normal"/>
    <w:next w:val="Normal"/>
    <w:uiPriority w:val="39"/>
    <w:qFormat/>
    <w:pPr>
      <w:ind w:left="200" w:leftChars="200"/>
    </w:pPr>
  </w:style>
  <w:style w:type="paragraph" w:styleId="HTMLPreformatted">
    <w:name w:val="HTML Preformatted"/>
    <w:basedOn w:val="Normal"/>
    <w:autoRedefine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cs="Courier New"/>
      <w:kern w:val="0"/>
      <w:sz w:val="20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customStyle="1" w:styleId="1">
    <w:name w:val="列出段落1"/>
    <w:basedOn w:val="Normal"/>
    <w:autoRedefine/>
    <w:qFormat/>
    <w:pPr>
      <w:ind w:firstLine="200" w:firstLineChars="200"/>
    </w:pPr>
  </w:style>
  <w:style w:type="paragraph" w:customStyle="1" w:styleId="10">
    <w:name w:val="无间隔1"/>
    <w:qFormat/>
    <w:rPr>
      <w:rFonts w:ascii="Calibri" w:eastAsia="宋体" w:hAnsi="Calibri" w:cs="Arial"/>
      <w:sz w:val="22"/>
      <w:lang w:val="en-US" w:eastAsia="zh-CN" w:bidi="ar-SA"/>
    </w:rPr>
  </w:style>
  <w:style w:type="paragraph" w:customStyle="1" w:styleId="a">
    <w:name w:val="修订记录正文"/>
    <w:autoRedefine/>
    <w:qFormat/>
    <w:pPr>
      <w:jc w:val="center"/>
    </w:pPr>
    <w:rPr>
      <w:rFonts w:ascii="Times New Roman" w:eastAsia="宋体" w:hAnsi="Times New Roman" w:cs="Times New Roman"/>
      <w:sz w:val="24"/>
      <w:szCs w:val="24"/>
      <w:lang w:val="en-US" w:eastAsia="zh-CN" w:bidi="ar-SA"/>
    </w:rPr>
  </w:style>
  <w:style w:type="paragraph" w:customStyle="1" w:styleId="3">
    <w:name w:val="表格正文3"/>
    <w:qFormat/>
    <w:pPr>
      <w:spacing w:line="360" w:lineRule="auto"/>
    </w:pPr>
    <w:rPr>
      <w:rFonts w:ascii="Times New Roman" w:eastAsia="宋体" w:hAnsi="Times New Roman" w:cs="Times New Roman"/>
      <w:sz w:val="24"/>
      <w:szCs w:val="24"/>
      <w:lang w:val="en-US" w:eastAsia="zh-CN" w:bidi="ar-SA"/>
    </w:rPr>
  </w:style>
  <w:style w:type="paragraph" w:customStyle="1" w:styleId="a0">
    <w:name w:val="封面标题"/>
    <w:qFormat/>
    <w:pPr>
      <w:jc w:val="center"/>
    </w:pPr>
    <w:rPr>
      <w:rFonts w:ascii="Times New Roman" w:eastAsia="华文中宋" w:hAnsi="Times New Roman" w:cs="Times New Roman"/>
      <w:b/>
      <w:bCs/>
      <w:sz w:val="52"/>
      <w:szCs w:val="52"/>
      <w:lang w:val="en-US" w:eastAsia="zh-CN" w:bidi="ar-SA"/>
    </w:rPr>
  </w:style>
  <w:style w:type="paragraph" w:customStyle="1" w:styleId="2">
    <w:name w:val="标题2"/>
    <w:basedOn w:val="Normal"/>
    <w:qFormat/>
    <w:pPr>
      <w:autoSpaceDE w:val="0"/>
      <w:autoSpaceDN w:val="0"/>
      <w:adjustRightInd w:val="0"/>
      <w:snapToGrid w:val="0"/>
      <w:spacing w:line="360" w:lineRule="auto"/>
      <w:jc w:val="left"/>
      <w:outlineLvl w:val="1"/>
    </w:pPr>
    <w:rPr>
      <w:rFonts w:ascii="Cambria" w:eastAsia="宋体" w:hAnsi="Cambria"/>
      <w:b/>
      <w:bCs/>
      <w:szCs w:val="30"/>
    </w:rPr>
  </w:style>
  <w:style w:type="paragraph" w:customStyle="1" w:styleId="20">
    <w:name w:val="列出段落2"/>
    <w:basedOn w:val="Normal"/>
    <w:qFormat/>
    <w:pPr>
      <w:ind w:firstLine="200" w:firstLineChars="200"/>
    </w:pPr>
  </w:style>
  <w:style w:type="paragraph" w:customStyle="1" w:styleId="a1">
    <w:name w:val="普通文本"/>
    <w:basedOn w:val="Normal"/>
    <w:qFormat/>
    <w:pPr>
      <w:autoSpaceDE w:val="0"/>
      <w:autoSpaceDN w:val="0"/>
      <w:adjustRightInd w:val="0"/>
    </w:pPr>
    <w:rPr>
      <w:rFonts w:ascii="宋体" w:eastAsia="宋体" w:cs="宋体"/>
      <w:kern w:val="0"/>
      <w:sz w:val="20"/>
      <w:szCs w:val="21"/>
    </w:rPr>
  </w:style>
  <w:style w:type="character" w:customStyle="1" w:styleId="a2">
    <w:name w:val="页脚 字符"/>
    <w:basedOn w:val="DefaultParagraphFont"/>
    <w:link w:val="Footer"/>
    <w:uiPriority w:val="99"/>
    <w:qFormat/>
    <w:rPr>
      <w:rFonts w:ascii="Calibri" w:eastAsia="黑体" w:hAnsi="Calibri" w:cs="Arial"/>
      <w:kern w:val="2"/>
      <w:sz w:val="18"/>
      <w:szCs w:val="18"/>
    </w:rPr>
  </w:style>
  <w:style w:type="character" w:customStyle="1" w:styleId="30">
    <w:name w:val="标题 3 字符"/>
    <w:basedOn w:val="DefaultParagraphFont"/>
    <w:link w:val="Heading3"/>
    <w:autoRedefine/>
    <w:qFormat/>
    <w:rPr>
      <w:bCs/>
      <w:szCs w:val="32"/>
    </w:rPr>
  </w:style>
  <w:style w:type="paragraph" w:customStyle="1" w:styleId="11">
    <w:name w:val="普通(网站)1"/>
    <w:basedOn w:val="Normal"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</w:rPr>
  </w:style>
  <w:style w:type="character" w:customStyle="1" w:styleId="12">
    <w:name w:val="不明显强调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a3">
    <w:name w:val="文档结构图 字符"/>
    <w:basedOn w:val="DefaultParagraphFont"/>
    <w:link w:val="DocumentMap"/>
    <w:uiPriority w:val="99"/>
    <w:semiHidden/>
    <w:qFormat/>
    <w:rPr>
      <w:rFonts w:ascii="宋体" w:hAnsi="Calibri" w:cs="Arial"/>
      <w:kern w:val="2"/>
      <w:sz w:val="18"/>
      <w:szCs w:val="18"/>
    </w:rPr>
  </w:style>
  <w:style w:type="paragraph" w:customStyle="1" w:styleId="a4">
    <w:name w:val="表头"/>
    <w:basedOn w:val="Normal"/>
    <w:qFormat/>
    <w:pPr>
      <w:spacing w:line="520" w:lineRule="exact"/>
      <w:jc w:val="center"/>
    </w:pPr>
    <w:rPr>
      <w:rFonts w:ascii="黑体" w:hAnsi="微软雅黑" w:cs="Times New Roman"/>
      <w:szCs w:val="24"/>
    </w:rPr>
  </w:style>
  <w:style w:type="paragraph" w:customStyle="1" w:styleId="a5">
    <w:name w:val="表内容居中"/>
    <w:basedOn w:val="Normal"/>
    <w:qFormat/>
    <w:pPr>
      <w:spacing w:line="520" w:lineRule="exact"/>
      <w:jc w:val="center"/>
    </w:pPr>
    <w:rPr>
      <w:rFonts w:eastAsia="宋体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D25220C-F913-4366-AF34-57A1F86C63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1062</Words>
  <Characters>1099</Characters>
  <Application>Microsoft Office Word</Application>
  <DocSecurity>0</DocSecurity>
  <Lines>12</Lines>
  <Paragraphs>3</Paragraphs>
  <ScaleCrop>false</ScaleCrop>
  <Company>Microsoft</Company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69</cp:revision>
  <dcterms:created xsi:type="dcterms:W3CDTF">2017-03-15T08:16:00Z</dcterms:created>
  <dcterms:modified xsi:type="dcterms:W3CDTF">2025-11-27T09:05:25Z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117EBDBF661F4273BDEFD6FFDFBCC040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