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-1219200</wp:posOffset>
            </wp:positionH>
            <wp:positionV relativeFrom="paragraph">
              <wp:posOffset>-1143000</wp:posOffset>
            </wp:positionV>
            <wp:extent cx="7702550" cy="1120838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2918" cy="1122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运维工作交接制度</w:t>
      </w: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9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8</w:t>
      </w: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王海燕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兰伟东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赵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305"/>
        <w:gridCol w:w="1305"/>
        <w:gridCol w:w="1305"/>
        <w:gridCol w:w="1415"/>
        <w:gridCol w:w="1415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版本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v1.0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王海燕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兰伟东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rPr>
          <w:rFonts w:ascii="仿宋" w:eastAsia="仿宋" w:hAnsi="仿宋" w:cs="仿宋"/>
        </w:rPr>
      </w:pPr>
    </w:p>
    <w:p/>
    <w:p/>
    <w:p>
      <w:pPr>
        <w:pStyle w:val="TOC10"/>
        <w:jc w:val="center"/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sdt>
      <w:sdtPr>
        <w:rPr>
          <w:rFonts w:ascii="微软雅黑" w:eastAsia="微软雅黑" w:hAnsi="微软雅黑" w:cs="微软雅黑" w:hint="eastAsia"/>
          <w:b w:val="0"/>
          <w:bCs w:val="0"/>
          <w:color w:val="auto"/>
          <w:kern w:val="2"/>
          <w:sz w:val="24"/>
          <w:szCs w:val="24"/>
          <w:lang w:val="zh-CN"/>
        </w:rPr>
        <w:id w:val="29057153"/>
        <w:docPartObj>
          <w:docPartGallery w:val="Table of Contents"/>
          <w:docPartUnique/>
        </w:docPartObj>
      </w:sdtPr>
      <w:sdtEndPr>
        <w:rPr>
          <w:rFonts w:ascii="黑体" w:eastAsia="黑体" w:hAnsi="黑体" w:cs="Times New Roman" w:hint="eastAsia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>
          <w:pPr>
            <w:pStyle w:val="TOC10"/>
            <w:jc w:val="center"/>
            <w:rPr>
              <w:rFonts w:ascii="微软雅黑" w:eastAsia="微软雅黑" w:hAnsi="微软雅黑" w:cs="微软雅黑" w:hint="eastAsia"/>
              <w:b w:val="0"/>
              <w:bCs w:val="0"/>
              <w:color w:val="auto"/>
              <w:kern w:val="2"/>
              <w:sz w:val="24"/>
              <w:szCs w:val="24"/>
              <w:lang w:val="zh-CN"/>
            </w:rPr>
          </w:pPr>
        </w:p>
        <w:p>
          <w:pPr>
            <w:pStyle w:val="TOC10"/>
            <w:jc w:val="center"/>
            <w:rPr>
              <w:rFonts w:ascii="微软雅黑" w:eastAsia="微软雅黑" w:hAnsi="微软雅黑" w:cs="微软雅黑"/>
              <w:sz w:val="24"/>
              <w:szCs w:val="24"/>
            </w:rPr>
          </w:pPr>
          <w:r>
            <w:rPr>
              <w:rFonts w:ascii="微软雅黑" w:eastAsia="微软雅黑" w:hAnsi="微软雅黑" w:cs="微软雅黑" w:hint="eastAsia"/>
              <w:color w:val="auto"/>
              <w:sz w:val="24"/>
              <w:szCs w:val="24"/>
              <w:lang w:val="zh-CN"/>
            </w:rPr>
            <w:t>目 录</w:t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  <w:sz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sz w:val="24"/>
            </w:rPr>
            <w:instrText xml:space="preserve"> TOC \o "1-3" \h \z \u </w:instrText>
          </w:r>
          <w:r>
            <w:rPr>
              <w:rFonts w:ascii="微软雅黑" w:eastAsia="微软雅黑" w:hAnsi="微软雅黑" w:cs="微软雅黑" w:hint="eastAsia"/>
              <w:sz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_Toc31065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1. </w:t>
          </w:r>
          <w:r>
            <w:rPr>
              <w:rFonts w:ascii="微软雅黑" w:eastAsia="微软雅黑" w:hAnsi="微软雅黑" w:cs="微软雅黑"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_Toc31065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_Toc9258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2. </w:t>
          </w:r>
          <w:r>
            <w:rPr>
              <w:rFonts w:ascii="微软雅黑" w:eastAsia="微软雅黑" w:hAnsi="微软雅黑" w:cs="微软雅黑" w:hint="eastAsia"/>
            </w:rPr>
            <w:t>交接要求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_Toc30924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3. </w:t>
          </w:r>
          <w:r>
            <w:rPr>
              <w:rFonts w:ascii="微软雅黑" w:eastAsia="微软雅黑" w:hAnsi="微软雅黑" w:cs="微软雅黑" w:hint="eastAsia"/>
            </w:rPr>
            <w:t>工作交接内容</w:t>
          </w:r>
          <w:r>
            <w:tab/>
          </w:r>
          <w:r>
            <w:fldChar w:fldCharType="begin"/>
          </w:r>
          <w:r>
            <w:instrText xml:space="preserve"> PAGEREF _Toc30924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_Toc2649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4. </w:t>
          </w:r>
          <w:r>
            <w:rPr>
              <w:rFonts w:ascii="微软雅黑" w:eastAsia="微软雅黑" w:hAnsi="微软雅黑" w:cs="微软雅黑" w:hint="eastAsia"/>
            </w:rPr>
            <w:t>移交流程及职责</w:t>
          </w:r>
          <w:r>
            <w:tab/>
          </w:r>
          <w:r>
            <w:fldChar w:fldCharType="begin"/>
          </w:r>
          <w:r>
            <w:instrText xml:space="preserve"> PAGEREF _Toc2649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_Toc15174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5. </w:t>
          </w:r>
          <w:r>
            <w:rPr>
              <w:rFonts w:ascii="微软雅黑" w:eastAsia="微软雅黑" w:hAnsi="微软雅黑" w:cs="微软雅黑" w:hint="eastAsia"/>
            </w:rPr>
            <w:t>交接过程中的问题处理</w:t>
          </w:r>
          <w:r>
            <w:tab/>
          </w:r>
          <w:r>
            <w:fldChar w:fldCharType="begin"/>
          </w:r>
          <w:r>
            <w:instrText xml:space="preserve"> PAGEREF _Toc15174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pStyle w:val="TOC1"/>
            <w:tabs>
              <w:tab w:val="right" w:leader="dot" w:pos="7839"/>
            </w:tabs>
          </w:pPr>
          <w:r>
            <w:rPr>
              <w:rFonts w:ascii="微软雅黑" w:eastAsia="微软雅黑" w:hAnsi="微软雅黑" w:cs="微软雅黑" w:hint="eastAsia"/>
            </w:rPr>
            <w:fldChar w:fldCharType="begin"/>
          </w:r>
          <w:r>
            <w:rPr>
              <w:rFonts w:ascii="微软雅黑" w:eastAsia="微软雅黑" w:hAnsi="微软雅黑" w:cs="微软雅黑" w:hint="eastAsia"/>
            </w:rPr>
            <w:instrText xml:space="preserve"> HYPERLINK \l _Toc31733 </w:instrText>
          </w:r>
          <w:r>
            <w:rPr>
              <w:rFonts w:ascii="微软雅黑" w:eastAsia="微软雅黑" w:hAnsi="微软雅黑" w:cs="微软雅黑" w:hint="eastAsia"/>
            </w:rPr>
            <w:fldChar w:fldCharType="separate"/>
          </w:r>
          <w:r>
            <w:rPr>
              <w:rFonts w:ascii="微软雅黑" w:eastAsia="微软雅黑" w:hAnsi="微软雅黑" w:cs="微软雅黑"/>
            </w:rPr>
            <w:t xml:space="preserve">6. </w:t>
          </w:r>
          <w:r>
            <w:rPr>
              <w:rFonts w:ascii="微软雅黑" w:eastAsia="微软雅黑" w:hAnsi="微软雅黑" w:cs="微软雅黑" w:hint="eastAsia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_Toc31733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</w:rPr>
            <w:fldChar w:fldCharType="end"/>
          </w:r>
        </w:p>
        <w:p>
          <w:pPr>
            <w:spacing w:line="480" w:lineRule="auto"/>
            <w:rPr>
              <w:rFonts w:ascii="黑体" w:eastAsia="黑体" w:hAnsi="黑体"/>
              <w:sz w:val="24"/>
            </w:rPr>
          </w:pPr>
          <w:r>
            <w:rPr>
              <w:rFonts w:ascii="微软雅黑" w:eastAsia="微软雅黑" w:hAnsi="微软雅黑" w:cs="微软雅黑" w:hint="eastAsia"/>
            </w:rPr>
            <w:fldChar w:fldCharType="end"/>
          </w:r>
        </w:p>
      </w:sdtContent>
    </w:sdt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仿宋" w:eastAsia="仿宋" w:hAnsi="仿宋"/>
          <w:sz w:val="24"/>
        </w:rPr>
        <w:sectPr>
          <w:headerReference w:type="default" r:id="rId7"/>
          <w:pgSz w:w="11906" w:h="16838"/>
          <w:pgMar w:top="1440" w:right="2267" w:bottom="1440" w:left="1800" w:header="851" w:footer="992" w:gutter="0"/>
          <w:cols w:num="1" w:space="425"/>
          <w:docGrid w:type="lines" w:linePitch="312" w:charSpace="0"/>
        </w:sectPr>
      </w:pPr>
      <w:bookmarkStart w:id="1" w:name="_Toc402510787"/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2" w:name="_Toc31065"/>
      <w:r>
        <w:rPr>
          <w:rFonts w:ascii="微软雅黑" w:eastAsia="微软雅黑" w:hAnsi="微软雅黑" w:cs="微软雅黑" w:hint="eastAsia"/>
          <w:sz w:val="24"/>
        </w:rPr>
        <w:t>总则</w:t>
      </w:r>
      <w:bookmarkEnd w:id="1"/>
      <w:bookmarkEnd w:id="2"/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为了保持工作的连续性、正确性和稳定性，确保工作的前后衔接，稳妥地过渡，有条不紊地进行，不因人员的变动受影响，特制订本制度。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本制度适用于各部门内部人员调动、岗位轮换、因故离职、职位代理、请长假、休长假等情况的工作交接工作者。</w:t>
      </w:r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3" w:name="_Toc9258"/>
      <w:r>
        <w:rPr>
          <w:rFonts w:ascii="微软雅黑" w:eastAsia="微软雅黑" w:hAnsi="微软雅黑" w:cs="微软雅黑" w:hint="eastAsia"/>
          <w:sz w:val="24"/>
        </w:rPr>
        <w:t>交接要求</w:t>
      </w:r>
      <w:bookmarkEnd w:id="3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及时处理未完成的工作。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整理好应移交的各项文件、资料和工具，对未了事项写出书面材料，并注明尚未完成的原因和剩余的工作内容。</w:t>
      </w:r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4" w:name="_Toc30924"/>
      <w:r>
        <w:rPr>
          <w:rFonts w:ascii="微软雅黑" w:eastAsia="微软雅黑" w:hAnsi="微软雅黑" w:cs="微软雅黑" w:hint="eastAsia"/>
          <w:sz w:val="24"/>
        </w:rPr>
        <w:t>工作交接内容</w:t>
      </w:r>
      <w:bookmarkEnd w:id="4"/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文书类（含电子版）：各级文件、领导讲活、会议纪要、工作计划、工作总结、通知、报告、请示、批复、函等。    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人力资源类（含电子版）：各项保险的情况、公司人员结构、管理平台账号及密码、对外联络单位及负责人和主要业务等。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业务资料类（含电子版）：经济合同、统计资料、会议材料、检查资料、调查资料、录音资料、各种规章制度、管理办法等。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票据类：未使用的空白票据（支票、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事业收费收据、结算凭证、其他收据等）、已使用过的存根、票据领购发放登记簿。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物资类：交通工具、办公用具、工牌等。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其它：营业执照(正副本)、资质证书、钥匙、其它相关物品。</w:t>
      </w:r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5" w:name="_Toc2649"/>
      <w:r>
        <w:rPr>
          <w:rFonts w:ascii="微软雅黑" w:eastAsia="微软雅黑" w:hAnsi="微软雅黑" w:cs="微软雅黑" w:hint="eastAsia"/>
          <w:sz w:val="24"/>
        </w:rPr>
        <w:t>移交流程及职责</w:t>
      </w:r>
      <w:bookmarkEnd w:id="5"/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移交人职责：</w:t>
      </w:r>
    </w:p>
    <w:p>
      <w:pPr>
        <w:tabs>
          <w:tab w:val="left" w:pos="5495"/>
        </w:tabs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（1）处理遗留问题；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（2）清点管理范围内的物品及资产；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（3）清点管理范围内的资料和证件等；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（4）交待工作流程和工作关系。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接收人职责：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（1）检查物品及资产的数量以及使用状态；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（2）检查资料和证件的完整性和真实性；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（3）熟悉工作流程和工作关系。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移交流程：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（1）移交人须按照交接单上注明的要求将相关物品送到指定接收人处，由接收人清点后签字；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（2）工作内容相关事项，需由移交人列明清单，有指定接收人的，由指定接收人清查交接事项并签字；没有指定接收人的，由直属上级清查交接事项并签字。</w:t>
      </w:r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6" w:name="_Toc15174"/>
      <w:r>
        <w:rPr>
          <w:rFonts w:ascii="微软雅黑" w:eastAsia="微软雅黑" w:hAnsi="微软雅黑" w:cs="微软雅黑" w:hint="eastAsia"/>
          <w:sz w:val="24"/>
        </w:rPr>
        <w:t>交接过程中的问题处理</w:t>
      </w:r>
      <w:bookmarkEnd w:id="6"/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交接工作完成后，交接单及交接清单由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部存档。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针对交接过程中存在的问题，如果当期可以处理，由移交人处理完毕后交接，如果没有及时处理，由移交人承担全部责任损失。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对于交接过程中发现问题，短时间不能处理完毕的，接收人应会同移交人拟订处理意见及时上报直属领导。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正常的工作任务需要跨期执行的，由移交人协助接收人熟悉各种工作关系，交接后由接收人负责继续处理。如果造成损失，由接收人全额承担责任损失。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如果移交人故意隐瞒问题，则必须承担全部责任损失。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交接不完整，移交人离任后发现问题的，由双方共同承担责任。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未完成各种交接手续的员工，不得办理离职手续和结算工资。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由于上级领导原因，未进行正常工作交接的，由上级领导承担全部责任。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自动离职、辞职拒不移交工作者，不予办理任何工资及其他手续，情节严重的追究其法律责任。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备注：各级人员移交必须亲自办理交接手续。</w:t>
      </w:r>
    </w:p>
    <w:p>
      <w:pPr>
        <w:pStyle w:val="Heading1"/>
        <w:numPr>
          <w:ilvl w:val="0"/>
          <w:numId w:val="3"/>
        </w:numPr>
        <w:spacing w:before="0" w:after="0"/>
        <w:jc w:val="left"/>
        <w:rPr>
          <w:rFonts w:ascii="微软雅黑" w:eastAsia="微软雅黑" w:hAnsi="微软雅黑" w:cs="微软雅黑"/>
          <w:sz w:val="24"/>
        </w:rPr>
      </w:pPr>
      <w:bookmarkStart w:id="7" w:name="_Toc31733"/>
      <w:r>
        <w:rPr>
          <w:rFonts w:ascii="微软雅黑" w:eastAsia="微软雅黑" w:hAnsi="微软雅黑" w:cs="微软雅黑" w:hint="eastAsia"/>
          <w:sz w:val="24"/>
        </w:rPr>
        <w:t>附则</w:t>
      </w:r>
      <w:bookmarkEnd w:id="7"/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本制度由公司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部修订。解释权属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部。</w:t>
      </w:r>
    </w:p>
    <w:sectPr>
      <w:footerReference w:type="default" r:id="rId8"/>
      <w:pgSz w:w="11906" w:h="16838"/>
      <w:pgMar w:top="1440" w:right="2267" w:bottom="1440" w:left="1800" w:header="851" w:footer="992" w:gutter="0"/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6" w:space="6" w:color="auto"/>
      </w:pBdr>
      <w:tabs>
        <w:tab w:val="left" w:pos="1002"/>
        <w:tab w:val="right" w:pos="8216"/>
      </w:tabs>
      <w:ind w:right="-99"/>
      <w:jc w:val="both"/>
      <w:rPr>
        <w:rFonts w:ascii="Arial" w:hAnsi="Arial" w:cs="Arial"/>
      </w:rPr>
    </w:pPr>
    <w:r>
      <w:rPr>
        <w:rFonts w:ascii="Arial" w:hAnsi="Arial" w:cs="Arial" w:hint="eastAsia"/>
      </w:rPr>
      <w:t xml:space="preserve">                             </w:t>
    </w:r>
    <w:r>
      <w:rPr>
        <w:rFonts w:ascii="Arial" w:hAnsi="Arial" w:cs="Arial"/>
      </w:rPr>
      <w:t xml:space="preserve">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1"/>
    <w:multiLevelType w:val="multilevel"/>
    <w:tmpl w:val="00000011"/>
    <w:lvl w:ilvl="0">
      <w:start w:val="1"/>
      <w:numFmt w:val="decimal"/>
      <w:pStyle w:val="B1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20614F6"/>
    <w:multiLevelType w:val="multilevel"/>
    <w:tmpl w:val="120614F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>
    <w:nsid w:val="1F1635F7"/>
    <w:multiLevelType w:val="multilevel"/>
    <w:tmpl w:val="1F1635F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>
    <w:nsid w:val="260E1038"/>
    <w:multiLevelType w:val="multilevel"/>
    <w:tmpl w:val="260E1038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 w:val="16"/>
        <w:szCs w:val="16"/>
        <w:u w:val="none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lvlRestart w:val="0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 w:hint="eastAsia"/>
      </w:rPr>
    </w:lvl>
  </w:abstractNum>
  <w:abstractNum w:abstractNumId="4">
    <w:nsid w:val="27646CDF"/>
    <w:multiLevelType w:val="multilevel"/>
    <w:tmpl w:val="27646CDF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3E766431"/>
    <w:multiLevelType w:val="multilevel"/>
    <w:tmpl w:val="3E766431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>
    <w:nsid w:val="4723413A"/>
    <w:multiLevelType w:val="multilevel"/>
    <w:tmpl w:val="4723413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locked="1" w:semiHidden="0" w:unhideWhenUsed="0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 w:qFormat="1"/>
    <w:lsdException w:name="footer" w:semiHidden="0" w:unhideWhenUsed="0" w:qFormat="1"/>
    <w:lsdException w:name="index heading" w:uiPriority="0"/>
    <w:lsdException w:name="caption" w:locked="1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qFormat="1"/>
    <w:lsdException w:name="FollowedHyperlink" w:uiPriority="0"/>
    <w:lsdException w:name="Strong" w:locked="1" w:semiHidden="0" w:uiPriority="22" w:unhideWhenUsed="0" w:qFormat="1"/>
    <w:lsdException w:name="Emphasis" w:locked="1" w:semiHidden="0" w:uiPriority="20" w:unhideWhenUsed="0" w:qFormat="1"/>
    <w:lsdException w:name="Document Map" w:unhideWhenUsed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locked="1" w:semiHidden="0" w:uiPriority="59" w:unhideWhenUsed="0"/>
    <w:lsdException w:name="Table Theme" w:locked="1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tabs>
        <w:tab w:val="left" w:pos="432"/>
      </w:tabs>
      <w:spacing w:before="340" w:after="330" w:line="360" w:lineRule="auto"/>
      <w:jc w:val="center"/>
      <w:outlineLvl w:val="0"/>
    </w:pPr>
    <w:rPr>
      <w:rFonts w:ascii="宋体" w:eastAsia="黑体" w:hAnsi="宋体"/>
      <w:b/>
      <w:bCs/>
      <w:kern w:val="44"/>
      <w:sz w:val="32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60" w:after="260" w:line="416" w:lineRule="auto"/>
      <w:jc w:val="left"/>
      <w:outlineLvl w:val="2"/>
    </w:pPr>
    <w:rPr>
      <w:b/>
      <w:bCs/>
      <w:sz w:val="30"/>
      <w:szCs w:val="32"/>
    </w:rPr>
  </w:style>
  <w:style w:type="paragraph" w:styleId="Heading4">
    <w:name w:val="heading 4"/>
    <w:basedOn w:val="Normal"/>
    <w:next w:val="Normal"/>
    <w:link w:val="4"/>
    <w:autoRedefine/>
    <w:uiPriority w:val="99"/>
    <w:qFormat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jc w:val="left"/>
      <w:outlineLvl w:val="3"/>
    </w:pPr>
    <w:rPr>
      <w:rFonts w:ascii="Arial" w:hAnsi="Arial"/>
      <w:b/>
      <w:bCs/>
      <w:sz w:val="28"/>
    </w:rPr>
  </w:style>
  <w:style w:type="paragraph" w:styleId="Heading5">
    <w:name w:val="heading 5"/>
    <w:basedOn w:val="Normal"/>
    <w:next w:val="Normal"/>
    <w:link w:val="5"/>
    <w:uiPriority w:val="99"/>
    <w:qFormat/>
    <w:locked/>
    <w:pPr>
      <w:keepNext/>
      <w:keepLines/>
      <w:spacing w:before="280" w:after="290" w:line="376" w:lineRule="auto"/>
      <w:jc w:val="left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autoRedefine/>
    <w:uiPriority w:val="99"/>
    <w:semiHidden/>
    <w:qFormat/>
    <w:rPr>
      <w:rFonts w:ascii="宋体"/>
      <w:sz w:val="18"/>
      <w:szCs w:val="18"/>
    </w:rPr>
  </w:style>
  <w:style w:type="paragraph" w:styleId="BodyText">
    <w:name w:val="Body Text"/>
    <w:basedOn w:val="Normal"/>
    <w:link w:val="a0"/>
    <w:uiPriority w:val="99"/>
    <w:qFormat/>
    <w:pPr>
      <w:widowControl/>
      <w:jc w:val="left"/>
    </w:pPr>
    <w:rPr>
      <w:rFonts w:ascii="Arial" w:hAnsi="Arial"/>
      <w:kern w:val="0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ind w:left="840" w:leftChars="400"/>
    </w:pPr>
  </w:style>
  <w:style w:type="paragraph" w:styleId="BalloonText">
    <w:name w:val="Balloon Text"/>
    <w:basedOn w:val="Normal"/>
    <w:link w:val="a1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a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qFormat/>
    <w:pPr>
      <w:ind w:left="420" w:leftChars="200"/>
    </w:pPr>
  </w:style>
  <w:style w:type="paragraph" w:styleId="Title">
    <w:name w:val="Title"/>
    <w:basedOn w:val="Normal"/>
    <w:link w:val="a4"/>
    <w:autoRedefine/>
    <w:uiPriority w:val="99"/>
    <w:qFormat/>
    <w:locked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1">
    <w:name w:val="标题 1 字符"/>
    <w:link w:val="Heading1"/>
    <w:uiPriority w:val="99"/>
    <w:qFormat/>
    <w:locked/>
    <w:rPr>
      <w:rFonts w:ascii="宋体" w:eastAsia="黑体" w:hAnsi="宋体"/>
      <w:b/>
      <w:bCs/>
      <w:kern w:val="44"/>
      <w:sz w:val="32"/>
      <w:szCs w:val="24"/>
    </w:rPr>
  </w:style>
  <w:style w:type="character" w:customStyle="1" w:styleId="2">
    <w:name w:val="标题 2 字符"/>
    <w:link w:val="Heading2"/>
    <w:autoRedefine/>
    <w:uiPriority w:val="99"/>
    <w:semiHidden/>
    <w:qFormat/>
    <w:locked/>
    <w:rPr>
      <w:rFonts w:ascii="Cambria" w:eastAsia="宋体" w:hAnsi="Cambria" w:cs="黑体"/>
      <w:b/>
      <w:bCs/>
      <w:sz w:val="32"/>
      <w:szCs w:val="32"/>
    </w:rPr>
  </w:style>
  <w:style w:type="character" w:customStyle="1" w:styleId="3">
    <w:name w:val="标题 3 字符"/>
    <w:link w:val="Heading3"/>
    <w:uiPriority w:val="99"/>
    <w:semiHidden/>
    <w:qFormat/>
    <w:locked/>
    <w:rPr>
      <w:rFonts w:eastAsia="宋体" w:cs="Times New Roman"/>
      <w:b/>
      <w:bCs/>
      <w:kern w:val="2"/>
      <w:sz w:val="32"/>
      <w:szCs w:val="32"/>
      <w:lang w:val="en-US" w:eastAsia="zh-CN" w:bidi="ar-SA"/>
    </w:rPr>
  </w:style>
  <w:style w:type="character" w:customStyle="1" w:styleId="4">
    <w:name w:val="标题 4 字符"/>
    <w:link w:val="Heading4"/>
    <w:uiPriority w:val="99"/>
    <w:qFormat/>
    <w:locked/>
    <w:rPr>
      <w:rFonts w:ascii="Arial" w:eastAsia="宋体" w:hAnsi="Arial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5">
    <w:name w:val="标题 5 字符"/>
    <w:link w:val="Heading5"/>
    <w:uiPriority w:val="9"/>
    <w:semiHidden/>
    <w:qFormat/>
    <w:rPr>
      <w:b/>
      <w:bCs/>
      <w:sz w:val="28"/>
      <w:szCs w:val="28"/>
    </w:rPr>
  </w:style>
  <w:style w:type="character" w:customStyle="1" w:styleId="a">
    <w:name w:val="文档结构图 字符"/>
    <w:link w:val="DocumentMap"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0">
    <w:name w:val="正文文本 字符"/>
    <w:link w:val="BodyText"/>
    <w:uiPriority w:val="99"/>
    <w:qFormat/>
    <w:locked/>
    <w:rPr>
      <w:rFonts w:ascii="Arial" w:eastAsia="宋体" w:hAnsi="Arial" w:cs="Times New Roman"/>
      <w:kern w:val="0"/>
      <w:sz w:val="20"/>
      <w:szCs w:val="20"/>
    </w:rPr>
  </w:style>
  <w:style w:type="character" w:customStyle="1" w:styleId="a1">
    <w:name w:val="批注框文本 字符"/>
    <w:link w:val="BalloonText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页脚 字符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a3">
    <w:name w:val="页眉 字符"/>
    <w:link w:val="Header"/>
    <w:autoRedefine/>
    <w:qFormat/>
    <w:locked/>
    <w:rPr>
      <w:rFonts w:cs="Times New Roman"/>
      <w:sz w:val="18"/>
      <w:szCs w:val="18"/>
    </w:rPr>
  </w:style>
  <w:style w:type="character" w:customStyle="1" w:styleId="a4">
    <w:name w:val="标题 字符"/>
    <w:link w:val="Title"/>
    <w:uiPriority w:val="10"/>
    <w:qFormat/>
    <w:rPr>
      <w:rFonts w:ascii="Cambria" w:hAnsi="Cambria" w:cs="Times New Roman"/>
      <w:b/>
      <w:bCs/>
      <w:sz w:val="32"/>
      <w:szCs w:val="32"/>
    </w:rPr>
  </w:style>
  <w:style w:type="character" w:customStyle="1" w:styleId="a5">
    <w:name w:val="无间隔 字符"/>
    <w:link w:val="NoSpacing"/>
    <w:qFormat/>
    <w:rPr>
      <w:sz w:val="22"/>
      <w:szCs w:val="22"/>
    </w:rPr>
  </w:style>
  <w:style w:type="paragraph" w:styleId="NoSpacing">
    <w:name w:val="No Spacing"/>
    <w:link w:val="a5"/>
    <w:qFormat/>
    <w:pPr>
      <w:spacing w:line="360" w:lineRule="auto"/>
      <w:ind w:left="352"/>
      <w:jc w:val="both"/>
    </w:pPr>
    <w:rPr>
      <w:rFonts w:ascii="Times New Roman" w:eastAsia="宋体" w:hAnsi="Times New Roman" w:cs="Times New Roman"/>
      <w:sz w:val="22"/>
      <w:szCs w:val="22"/>
      <w:lang w:val="en-US" w:eastAsia="zh-CN" w:bidi="ar-SA"/>
    </w:rPr>
  </w:style>
  <w:style w:type="paragraph" w:customStyle="1" w:styleId="B1">
    <w:name w:val="首页B1"/>
    <w:basedOn w:val="Normal"/>
    <w:autoRedefine/>
    <w:qFormat/>
    <w:pPr>
      <w:numPr>
        <w:ilvl w:val="0"/>
        <w:numId w:val="2"/>
      </w:numPr>
      <w:spacing w:before="120" w:after="120" w:line="288" w:lineRule="auto"/>
    </w:pPr>
    <w:rPr>
      <w:b/>
      <w:sz w:val="28"/>
    </w:rPr>
  </w:style>
  <w:style w:type="paragraph" w:styleId="ListParagraph">
    <w:name w:val="List Paragraph"/>
    <w:basedOn w:val="Normal"/>
    <w:uiPriority w:val="99"/>
    <w:unhideWhenUsed/>
    <w:qFormat/>
    <w:pPr>
      <w:ind w:firstLine="420" w:firstLineChars="200"/>
    </w:pPr>
  </w:style>
  <w:style w:type="paragraph" w:customStyle="1" w:styleId="TOC10">
    <w:name w:val="TOC 标题1"/>
    <w:basedOn w:val="Heading1"/>
    <w:next w:val="Normal"/>
    <w:uiPriority w:val="39"/>
    <w:semiHidden/>
    <w:unhideWhenUsed/>
    <w:qFormat/>
    <w:pPr>
      <w:widowControl/>
      <w:tabs>
        <w:tab w:val="clear" w:pos="432"/>
      </w:tabs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28"/>
      <w:szCs w:val="28"/>
    </w:rPr>
  </w:style>
  <w:style w:type="paragraph" w:customStyle="1" w:styleId="a6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</w:rPr>
  </w:style>
  <w:style w:type="paragraph" w:customStyle="1" w:styleId="a7">
    <w:name w:val="表内容居中"/>
    <w:basedOn w:val="Normal"/>
    <w:qFormat/>
    <w:pPr>
      <w:spacing w:line="520" w:lineRule="exact"/>
      <w:jc w:val="center"/>
    </w:pPr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C446D0-15EC-4E29-BE20-225ABB2C47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1212</Words>
  <Characters>1243</Characters>
  <Application>Microsoft Office Word</Application>
  <DocSecurity>0</DocSecurity>
  <Lines>13</Lines>
  <Paragraphs>3</Paragraphs>
  <ScaleCrop>false</ScaleCrop>
  <Company>PC</Company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Administrator</dc:creator>
  <cp:lastModifiedBy>高</cp:lastModifiedBy>
  <cp:revision>32</cp:revision>
  <dcterms:created xsi:type="dcterms:W3CDTF">2017-12-03T15:54:00Z</dcterms:created>
  <dcterms:modified xsi:type="dcterms:W3CDTF">2025-11-27T09:04:59Z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97E6F46A37DF4090A4983B8CADF88C72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