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-1219200</wp:posOffset>
            </wp:positionH>
            <wp:positionV relativeFrom="paragraph">
              <wp:posOffset>-1143000</wp:posOffset>
            </wp:positionV>
            <wp:extent cx="7702550" cy="1120838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2918" cy="11223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运维人员储备制度</w:t>
      </w: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9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4</w:t>
      </w: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spacing w:after="156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王海燕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兰伟东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赵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版本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6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v1.0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王海燕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兰伟东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pStyle w:val="a7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rPr>
          <w:rFonts w:ascii="仿宋" w:eastAsia="仿宋" w:hAnsi="仿宋" w:cs="仿宋"/>
        </w:rPr>
      </w:pPr>
    </w:p>
    <w:p/>
    <w:p/>
    <w:p/>
    <w:p>
      <w:pPr>
        <w:ind w:right="-57" w:rightChars="-27"/>
        <w:rPr>
          <w:rFonts w:ascii="宋体"/>
        </w:rPr>
      </w:pPr>
    </w:p>
    <w:p>
      <w:pPr>
        <w:rPr>
          <w:rFonts w:ascii="宋体"/>
        </w:rPr>
      </w:pPr>
    </w:p>
    <w:p>
      <w:pPr>
        <w:rPr>
          <w:rFonts w:ascii="宋体"/>
        </w:rPr>
      </w:pPr>
    </w:p>
    <w:p>
      <w:pPr>
        <w:rPr>
          <w:rFonts w:ascii="宋体"/>
        </w:rPr>
      </w:pPr>
    </w:p>
    <w:p>
      <w:pPr>
        <w:rPr>
          <w:rFonts w:ascii="宋体"/>
        </w:rPr>
      </w:pPr>
    </w:p>
    <w:p>
      <w:pPr>
        <w:tabs>
          <w:tab w:val="left" w:pos="6195"/>
        </w:tabs>
        <w:rPr>
          <w:rFonts w:ascii="宋体"/>
        </w:rPr>
      </w:pPr>
      <w:r>
        <w:rPr>
          <w:rFonts w:ascii="宋体"/>
        </w:rPr>
        <w:tab/>
      </w:r>
    </w:p>
    <w:p>
      <w:pPr>
        <w:rPr>
          <w:rFonts w:ascii="宋体"/>
        </w:rPr>
        <w:sectPr>
          <w:headerReference w:type="default" r:id="rId6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sdt>
      <w:sdtPr>
        <w:rPr>
          <w:rFonts w:ascii="微软雅黑" w:eastAsia="微软雅黑" w:hAnsi="微软雅黑" w:cs="微软雅黑" w:hint="eastAsia"/>
          <w:color w:val="auto"/>
          <w:kern w:val="2"/>
          <w:sz w:val="24"/>
          <w:szCs w:val="24"/>
          <w:lang w:val="zh-CN"/>
        </w:rPr>
        <w:id w:val="-50674995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微软雅黑" w:hint="eastAsia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TOC10"/>
            <w:spacing w:line="480" w:lineRule="auto"/>
            <w:jc w:val="center"/>
            <w:rPr>
              <w:rFonts w:ascii="微软雅黑" w:eastAsia="微软雅黑" w:hAnsi="微软雅黑" w:cs="微软雅黑"/>
              <w:b/>
              <w:bCs/>
              <w:color w:val="auto"/>
              <w:sz w:val="24"/>
              <w:szCs w:val="24"/>
            </w:rPr>
          </w:pPr>
          <w:r>
            <w:rPr>
              <w:rFonts w:ascii="微软雅黑" w:eastAsia="微软雅黑" w:hAnsi="微软雅黑" w:cs="微软雅黑" w:hint="eastAsia"/>
              <w:b/>
              <w:bCs/>
              <w:color w:val="auto"/>
              <w:sz w:val="24"/>
              <w:szCs w:val="24"/>
              <w:lang w:val="zh-CN"/>
            </w:rPr>
            <w:t>目  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rFonts w:ascii="微软雅黑" w:eastAsia="微软雅黑" w:hAnsi="微软雅黑" w:cs="微软雅黑" w:hint="eastAsia"/>
              <w:bCs/>
              <w:lang w:val="zh-CN"/>
            </w:rPr>
          </w:pP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fldChar w:fldCharType="begin"/>
          </w: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instrText xml:space="preserve"> TOC \o "1-3" \h \z \u </w:instrText>
          </w:r>
          <w:r>
            <w:rPr>
              <w:rFonts w:ascii="微软雅黑" w:eastAsia="微软雅黑" w:hAnsi="微软雅黑" w:cs="微软雅黑" w:hint="eastAsia"/>
              <w:b/>
              <w:bCs/>
              <w:sz w:val="24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_Toc8077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第一章</w:t>
          </w:r>
          <w:r>
            <w:rPr>
              <w:rFonts w:ascii="微软雅黑" w:eastAsia="微软雅黑" w:hAnsi="微软雅黑" w:cs="微软雅黑" w:hint="eastAsia"/>
              <w:bCs/>
              <w:lang w:val="en-US" w:eastAsia="zh-CN"/>
            </w:rPr>
            <w:t xml:space="preserve"> 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总则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ab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PAGEREF _Toc8077 \h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1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rFonts w:ascii="微软雅黑" w:eastAsia="微软雅黑" w:hAnsi="微软雅黑" w:cs="微软雅黑" w:hint="eastAsia"/>
              <w:bCs/>
              <w:lang w:val="zh-CN"/>
            </w:rPr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_Toc14627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第二章</w:t>
          </w:r>
          <w:r>
            <w:rPr>
              <w:rFonts w:ascii="微软雅黑" w:eastAsia="微软雅黑" w:hAnsi="微软雅黑" w:cs="微软雅黑" w:hint="eastAsia"/>
              <w:bCs/>
              <w:lang w:val="en-US" w:eastAsia="zh-CN"/>
            </w:rPr>
            <w:t xml:space="preserve"> 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人员储备制度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ab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PAGEREF _Toc14627 \h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t>1</w: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_Toc32190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</w:rPr>
            <w:t>第三章 备份方式</w:t>
          </w:r>
          <w:r>
            <w:tab/>
          </w:r>
          <w:r>
            <w:fldChar w:fldCharType="begin"/>
          </w:r>
          <w:r>
            <w:instrText xml:space="preserve"> PAGEREF _Toc32190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begin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instrText xml:space="preserve"> HYPERLINK \l _Toc8201 </w:instrText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separate"/>
          </w:r>
          <w:r>
            <w:rPr>
              <w:rFonts w:ascii="微软雅黑" w:eastAsia="微软雅黑" w:hAnsi="微软雅黑" w:cs="微软雅黑" w:hint="eastAsia"/>
            </w:rPr>
            <w:t>第四章 其他</w:t>
          </w:r>
          <w:r>
            <w:tab/>
          </w:r>
          <w:r>
            <w:fldChar w:fldCharType="begin"/>
          </w:r>
          <w:r>
            <w:instrText xml:space="preserve"> PAGEREF _Toc8201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  <w:p>
          <w:pPr>
            <w:spacing w:line="480" w:lineRule="auto"/>
            <w:rPr>
              <w:rFonts w:ascii="微软雅黑" w:eastAsia="微软雅黑" w:hAnsi="微软雅黑" w:cs="微软雅黑"/>
              <w:sz w:val="24"/>
            </w:rPr>
          </w:pPr>
          <w:r>
            <w:rPr>
              <w:rFonts w:ascii="微软雅黑" w:eastAsia="微软雅黑" w:hAnsi="微软雅黑" w:cs="微软雅黑" w:hint="eastAsia"/>
              <w:bCs/>
              <w:lang w:val="zh-CN"/>
            </w:rPr>
            <w:fldChar w:fldCharType="end"/>
          </w:r>
        </w:p>
      </w:sdtContent>
    </w:sdt>
    <w:p>
      <w:pPr>
        <w:spacing w:before="156" w:beforeLines="50" w:after="156" w:afterLines="50"/>
        <w:jc w:val="center"/>
        <w:rPr>
          <w:rFonts w:ascii="仿宋" w:eastAsia="仿宋" w:hAnsi="仿宋"/>
          <w:b/>
          <w:bCs/>
          <w:sz w:val="24"/>
        </w:rPr>
        <w:sectPr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bookmarkStart w:id="1" w:name="_Toc402510787"/>
    </w:p>
    <w:p>
      <w:pPr>
        <w:pStyle w:val="Heading1"/>
        <w:tabs>
          <w:tab w:val="clear" w:pos="432"/>
        </w:tabs>
        <w:spacing w:before="0" w:after="0"/>
        <w:jc w:val="both"/>
        <w:rPr>
          <w:rFonts w:ascii="微软雅黑" w:eastAsia="微软雅黑" w:hAnsi="微软雅黑" w:cs="微软雅黑"/>
          <w:sz w:val="24"/>
        </w:rPr>
      </w:pPr>
      <w:bookmarkStart w:id="2" w:name="_Toc8077"/>
      <w:r>
        <w:rPr>
          <w:rFonts w:ascii="微软雅黑" w:eastAsia="微软雅黑" w:hAnsi="微软雅黑" w:cs="微软雅黑" w:hint="eastAsia"/>
          <w:sz w:val="24"/>
        </w:rPr>
        <w:t>第一章</w:t>
      </w:r>
      <w:r>
        <w:rPr>
          <w:rFonts w:ascii="微软雅黑" w:eastAsia="微软雅黑" w:hAnsi="微软雅黑" w:cs="微软雅黑" w:hint="eastAsia"/>
          <w:sz w:val="24"/>
        </w:rPr>
        <w:tab/>
      </w:r>
      <w:r>
        <w:rPr>
          <w:rFonts w:ascii="微软雅黑" w:eastAsia="微软雅黑" w:hAnsi="微软雅黑" w:cs="微软雅黑" w:hint="eastAsia"/>
          <w:sz w:val="24"/>
        </w:rPr>
        <w:t>总则</w:t>
      </w:r>
      <w:bookmarkEnd w:id="1"/>
      <w:bookmarkEnd w:id="2"/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为构建科学合理的人力资源管理体系，保证人力资源管理流程顺利开展，进行人员的储备工作；为加强服务的效能建设，提高工作效率，实行“岗位备份”制度，对每一岗位在定员的前提下，设立岗位备份人员，以平衡岗位之间的工作量，防备人员缺位、工作断档造成的工作风险，形成内部竞争机制，鼓励员工多岗位学习、提升工作能力，从而达到提高岗位绩效的最终目的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2.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部是公司人力资源管理工作的责任部门。</w:t>
      </w:r>
    </w:p>
    <w:p>
      <w:pPr>
        <w:pStyle w:val="Heading1"/>
        <w:tabs>
          <w:tab w:val="clear" w:pos="432"/>
        </w:tabs>
        <w:spacing w:before="0" w:after="0"/>
        <w:jc w:val="both"/>
        <w:rPr>
          <w:rFonts w:ascii="微软雅黑" w:eastAsia="微软雅黑" w:hAnsi="微软雅黑" w:cs="微软雅黑"/>
          <w:sz w:val="24"/>
        </w:rPr>
      </w:pPr>
      <w:bookmarkStart w:id="3" w:name="_Toc402510788"/>
      <w:bookmarkStart w:id="4" w:name="_Toc14627"/>
      <w:r>
        <w:rPr>
          <w:rFonts w:ascii="微软雅黑" w:eastAsia="微软雅黑" w:hAnsi="微软雅黑" w:cs="微软雅黑" w:hint="eastAsia"/>
          <w:sz w:val="24"/>
        </w:rPr>
        <w:t>第二章</w:t>
      </w:r>
      <w:r>
        <w:rPr>
          <w:rFonts w:ascii="微软雅黑" w:eastAsia="微软雅黑" w:hAnsi="微软雅黑" w:cs="微软雅黑" w:hint="eastAsia"/>
          <w:sz w:val="24"/>
        </w:rPr>
        <w:tab/>
      </w:r>
      <w:r>
        <w:rPr>
          <w:rFonts w:ascii="微软雅黑" w:eastAsia="微软雅黑" w:hAnsi="微软雅黑" w:cs="微软雅黑" w:hint="eastAsia"/>
          <w:sz w:val="24"/>
        </w:rPr>
        <w:t>人员储备制度</w:t>
      </w:r>
      <w:bookmarkEnd w:id="3"/>
      <w:bookmarkEnd w:id="4"/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5" w:name="_Toc402510791"/>
      <w:r>
        <w:rPr>
          <w:rFonts w:ascii="微软雅黑" w:eastAsia="微软雅黑" w:hAnsi="微软雅黑" w:cs="微软雅黑" w:hint="eastAsia"/>
          <w:sz w:val="24"/>
        </w:rPr>
        <w:t>1.人员储备过程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（1）编制人员储备计划</w:t>
      </w:r>
    </w:p>
    <w:p>
      <w:pPr>
        <w:spacing w:line="440" w:lineRule="exact"/>
        <w:ind w:left="945" w:left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部联合技术部门根据技术部门业绩目标、管理费用和人均产值确定编制人数，并编制人员储备计划。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6" w:name="_Toc422496097"/>
      <w:bookmarkStart w:id="7" w:name="_Toc422921409"/>
      <w:r>
        <w:rPr>
          <w:rFonts w:ascii="微软雅黑" w:eastAsia="微软雅黑" w:hAnsi="微软雅黑" w:cs="微软雅黑" w:hint="eastAsia"/>
          <w:sz w:val="24"/>
        </w:rPr>
        <w:t>（2）开展人员储备</w:t>
      </w:r>
      <w:bookmarkEnd w:id="6"/>
      <w:bookmarkEnd w:id="7"/>
      <w:r>
        <w:rPr>
          <w:rFonts w:ascii="微软雅黑" w:eastAsia="微软雅黑" w:hAnsi="微软雅黑" w:cs="微软雅黑" w:hint="eastAsia"/>
          <w:sz w:val="24"/>
        </w:rPr>
        <w:t>；</w:t>
      </w:r>
    </w:p>
    <w:p>
      <w:pPr>
        <w:spacing w:line="440" w:lineRule="exact"/>
        <w:ind w:left="945" w:left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部会根据实际运营情况，合理调整招聘计划，按需调整招聘内容。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8" w:name="_Toc422496099"/>
      <w:bookmarkStart w:id="9" w:name="_Toc422921411"/>
      <w:r>
        <w:rPr>
          <w:rFonts w:ascii="微软雅黑" w:eastAsia="微软雅黑" w:hAnsi="微软雅黑" w:cs="微软雅黑" w:hint="eastAsia"/>
          <w:sz w:val="24"/>
        </w:rPr>
        <w:t>（3）人员储备计划调整</w:t>
      </w:r>
      <w:bookmarkEnd w:id="8"/>
      <w:bookmarkEnd w:id="9"/>
      <w:r>
        <w:rPr>
          <w:rFonts w:ascii="微软雅黑" w:eastAsia="微软雅黑" w:hAnsi="微软雅黑" w:cs="微软雅黑" w:hint="eastAsia"/>
          <w:sz w:val="24"/>
        </w:rPr>
        <w:t>；</w:t>
      </w:r>
    </w:p>
    <w:p>
      <w:pPr>
        <w:spacing w:line="440" w:lineRule="exact"/>
        <w:ind w:left="945" w:left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随时监控业务开展情况，对比人员需求评估现有员工数量、工作能力等，定期调整人员储备计划。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10" w:name="_Toc422496100"/>
      <w:bookmarkStart w:id="11" w:name="_Toc422921412"/>
      <w:r>
        <w:rPr>
          <w:rFonts w:ascii="微软雅黑" w:eastAsia="微软雅黑" w:hAnsi="微软雅黑" w:cs="微软雅黑" w:hint="eastAsia"/>
          <w:sz w:val="24"/>
        </w:rPr>
        <w:t>2.人员储备方式</w:t>
      </w:r>
      <w:bookmarkEnd w:id="5"/>
      <w:bookmarkEnd w:id="10"/>
      <w:bookmarkEnd w:id="11"/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12" w:name="_Toc422496101"/>
      <w:bookmarkStart w:id="13" w:name="_Toc422921413"/>
      <w:r>
        <w:rPr>
          <w:rFonts w:ascii="微软雅黑" w:eastAsia="微软雅黑" w:hAnsi="微软雅黑" w:cs="微软雅黑" w:hint="eastAsia"/>
          <w:sz w:val="24"/>
        </w:rPr>
        <w:t>（1）内部人员储备</w:t>
      </w:r>
      <w:bookmarkEnd w:id="12"/>
      <w:bookmarkEnd w:id="13"/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①确定需要储备人才的关键岗位；</w:t>
      </w:r>
      <w:r>
        <w:rPr>
          <w:rFonts w:ascii="微软雅黑" w:eastAsia="微软雅黑" w:hAnsi="微软雅黑" w:cs="微软雅黑" w:hint="eastAsia"/>
          <w:sz w:val="24"/>
        </w:rPr>
        <w:tab/>
      </w:r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②确定骨干及储备人员，并建立内部储备池；</w:t>
      </w:r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③拟定培养方案，进行针对性的人员储备；</w:t>
      </w:r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④在培养过程中加强对储备人员的观察。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14" w:name="_Toc422921414"/>
      <w:bookmarkStart w:id="15" w:name="_Toc422496102"/>
      <w:r>
        <w:rPr>
          <w:rFonts w:ascii="微软雅黑" w:eastAsia="微软雅黑" w:hAnsi="微软雅黑" w:cs="微软雅黑" w:hint="eastAsia"/>
          <w:sz w:val="24"/>
        </w:rPr>
        <w:t>（2）外部人员</w:t>
      </w:r>
      <w:bookmarkEnd w:id="14"/>
      <w:bookmarkEnd w:id="15"/>
      <w:r>
        <w:rPr>
          <w:rFonts w:ascii="微软雅黑" w:eastAsia="微软雅黑" w:hAnsi="微软雅黑" w:cs="微软雅黑" w:hint="eastAsia"/>
          <w:sz w:val="24"/>
        </w:rPr>
        <w:t>储备</w:t>
      </w:r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①储备人员招聘按照一般人员招聘流程进行；</w:t>
      </w:r>
    </w:p>
    <w:p>
      <w:pPr>
        <w:spacing w:line="440" w:lineRule="exact"/>
        <w:ind w:firstLine="945" w:firstLineChars="4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②符合下列条款之一的，收入人才简历库备用：</w:t>
      </w:r>
    </w:p>
    <w:p>
      <w:pPr>
        <w:spacing w:line="440" w:lineRule="exact"/>
        <w:ind w:left="420" w:firstLine="420" w:leftChars="20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I 通过各人才招聘网站搜集到的，适合公司业务发展需要，但因客观因素未被录用者；</w:t>
      </w:r>
    </w:p>
    <w:p>
      <w:pPr>
        <w:spacing w:line="440" w:lineRule="exact"/>
        <w:ind w:left="420" w:firstLine="420" w:leftChars="20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II 曾经到公司实习的高校毕业生。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16" w:name="_Toc402510792"/>
      <w:r>
        <w:rPr>
          <w:rFonts w:ascii="微软雅黑" w:eastAsia="微软雅黑" w:hAnsi="微软雅黑" w:cs="微软雅黑" w:hint="eastAsia"/>
          <w:sz w:val="24"/>
        </w:rPr>
        <w:t>3.人员应急响应管理</w:t>
      </w:r>
      <w:bookmarkEnd w:id="16"/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(1)人员应急包括下列情况：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①关键岗位人员流失；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②新项目人员需求产生；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③人员不能满足现有项目的需求；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④其他突发人员紧急变动、需求等情况。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bookmarkStart w:id="17" w:name="_Toc422921415"/>
      <w:bookmarkStart w:id="18" w:name="_Toc422496103"/>
      <w:r>
        <w:rPr>
          <w:rFonts w:ascii="微软雅黑" w:eastAsia="微软雅黑" w:hAnsi="微软雅黑" w:cs="微软雅黑" w:hint="eastAsia"/>
          <w:sz w:val="24"/>
        </w:rPr>
        <w:t>(2)人员应急</w:t>
      </w:r>
      <w:bookmarkEnd w:id="17"/>
      <w:bookmarkEnd w:id="18"/>
      <w:r>
        <w:rPr>
          <w:rFonts w:ascii="微软雅黑" w:eastAsia="微软雅黑" w:hAnsi="微软雅黑" w:cs="微软雅黑" w:hint="eastAsia"/>
          <w:sz w:val="24"/>
        </w:rPr>
        <w:t>响应措施：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①当关键岗位人员产生紧急需求时，具体操作请参见制度《岗位备份制度》；</w:t>
      </w:r>
    </w:p>
    <w:p>
      <w:pPr>
        <w:spacing w:line="440" w:lineRule="exact"/>
        <w:ind w:left="630" w:leftChars="3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②长期与培训机构以及高校建立校企合作关系，建立长期稳定人才输送的渠道，在人员紧急缺失时提供人才保障；</w:t>
      </w:r>
    </w:p>
    <w:p>
      <w:pPr>
        <w:spacing w:line="440" w:lineRule="exact"/>
        <w:ind w:firstLine="525" w:firstLineChars="2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③建立内部人才推荐机制，通过内部员工推荐人才，解决紧急人员的需求；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bookmarkStart w:id="19" w:name="_Toc422496104"/>
      <w:bookmarkStart w:id="20" w:name="_Toc422921416"/>
      <w:r>
        <w:rPr>
          <w:rFonts w:ascii="微软雅黑" w:eastAsia="微软雅黑" w:hAnsi="微软雅黑" w:cs="微软雅黑" w:hint="eastAsia"/>
          <w:sz w:val="24"/>
        </w:rPr>
        <w:t>4.储备人员培养方法</w:t>
      </w:r>
      <w:bookmarkEnd w:id="19"/>
      <w:bookmarkEnd w:id="20"/>
    </w:p>
    <w:p>
      <w:pPr>
        <w:spacing w:line="440" w:lineRule="exact"/>
        <w:ind w:firstLine="630" w:firstLineChars="3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(1)结合公司业务发展，外请相关技术专家、管理专家到公司开展培训；</w:t>
      </w:r>
    </w:p>
    <w:p>
      <w:pPr>
        <w:spacing w:line="440" w:lineRule="exact"/>
        <w:ind w:left="735" w:leftChars="35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(2)针对员工工作需要，组织员工参加外训，重点开展员工业务能力方面的外派培训；</w:t>
      </w:r>
    </w:p>
    <w:p>
      <w:pPr>
        <w:spacing w:line="440" w:lineRule="exact"/>
        <w:ind w:firstLine="630" w:firstLineChars="3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(3)通过内部讲师言传身教的方式开展培训；</w:t>
      </w:r>
    </w:p>
    <w:p>
      <w:pPr>
        <w:spacing w:line="440" w:lineRule="exact"/>
        <w:ind w:firstLine="630" w:firstLineChars="3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(4)进行轮岗学习；</w:t>
      </w:r>
    </w:p>
    <w:p>
      <w:pPr>
        <w:spacing w:line="440" w:lineRule="exact"/>
        <w:ind w:firstLine="630" w:firstLineChars="3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(5)针对员工工作性质，建立网络资源共享，建立员工网上技术交流平台。</w:t>
      </w:r>
    </w:p>
    <w:p>
      <w:pPr>
        <w:spacing w:line="360" w:lineRule="auto"/>
        <w:ind w:left="420" w:left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5.储备人员晋升</w:t>
      </w:r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当发生岗位空缺或新增等情况时，用人部门需向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提出用人需求，在内部人员工作技能符合部门《岗位职责》对招聘职位的要求时，用人部门应当充分遵循“先内部，后外部”的用人政策，优先从储备团队中提拔选用，当内部人员无法满足招聘需求时，再选择外部招聘渠道进行招聘。</w:t>
      </w:r>
    </w:p>
    <w:p>
      <w:pPr>
        <w:pStyle w:val="Heading1"/>
        <w:tabs>
          <w:tab w:val="clear" w:pos="432"/>
        </w:tabs>
        <w:spacing w:before="0" w:after="0"/>
        <w:jc w:val="both"/>
        <w:rPr>
          <w:rFonts w:ascii="微软雅黑" w:eastAsia="微软雅黑" w:hAnsi="微软雅黑" w:cs="微软雅黑"/>
          <w:sz w:val="24"/>
        </w:rPr>
      </w:pPr>
      <w:bookmarkStart w:id="21" w:name="_Toc32190"/>
      <w:bookmarkStart w:id="22" w:name="_Toc433010604"/>
      <w:bookmarkStart w:id="23" w:name="_Toc402511966"/>
      <w:r>
        <w:rPr>
          <w:rFonts w:ascii="微软雅黑" w:eastAsia="微软雅黑" w:hAnsi="微软雅黑" w:cs="微软雅黑" w:hint="eastAsia"/>
          <w:sz w:val="24"/>
        </w:rPr>
        <w:t>第三章 备份方式</w:t>
      </w:r>
      <w:bookmarkEnd w:id="21"/>
      <w:bookmarkEnd w:id="22"/>
      <w:bookmarkEnd w:id="23"/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人员备份通过固定备份、临时备份两个方式进行。固定备份指在公司内部关键岗位的固定备份人员。临时指公司内外部临时备份人员。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1、固定备份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岗位备份：即在上述适用范围的岗位中，将工作职责的相互备份作为一项关键内容，即明确关键岗位的A/B角色人选。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员工技能多样性：有计划地培养员工的专业技能，既保证业务连续性，又提高员工的职业发展与适应性。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2、临时备份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各部门：各部门相同技能领域的相互协作，在相互的业务高峰或紧急需求情况下，协调调配资源。</w:t>
      </w:r>
    </w:p>
    <w:p>
      <w:pPr>
        <w:pStyle w:val="Heading1"/>
        <w:tabs>
          <w:tab w:val="clear" w:pos="432"/>
        </w:tabs>
        <w:spacing w:before="0" w:after="0"/>
        <w:jc w:val="both"/>
        <w:rPr>
          <w:rFonts w:ascii="微软雅黑" w:eastAsia="微软雅黑" w:hAnsi="微软雅黑" w:cs="微软雅黑"/>
          <w:sz w:val="24"/>
        </w:rPr>
      </w:pPr>
      <w:bookmarkStart w:id="24" w:name="_Toc402511967"/>
      <w:bookmarkStart w:id="25" w:name="_Toc433010605"/>
      <w:bookmarkStart w:id="26" w:name="_Toc8201"/>
      <w:r>
        <w:rPr>
          <w:rFonts w:ascii="微软雅黑" w:eastAsia="微软雅黑" w:hAnsi="微软雅黑" w:cs="微软雅黑" w:hint="eastAsia"/>
          <w:sz w:val="24"/>
        </w:rPr>
        <w:t>第四章</w:t>
      </w:r>
      <w:bookmarkEnd w:id="24"/>
      <w:r>
        <w:rPr>
          <w:rFonts w:ascii="微软雅黑" w:eastAsia="微软雅黑" w:hAnsi="微软雅黑" w:cs="微软雅黑" w:hint="eastAsia"/>
          <w:sz w:val="24"/>
        </w:rPr>
        <w:t xml:space="preserve"> 其他</w:t>
      </w:r>
      <w:bookmarkEnd w:id="25"/>
      <w:bookmarkEnd w:id="26"/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1、关于A/B岗位的特殊规定：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1.1 A岗工作人员因休假、学习、出差等原因离岗时，需要向相关领导报告，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1.2 A/B岗工作人员要加强协调配合，A岗位的工作人员因故离岗时，应由B岗位的工作人员代替行使其职责，履行工作职责，完成相关工作任务，避免造成工作的延误，A/B岗责任人要做好业务交接工作，保证不出差错。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1.3 B岗责任人应认真学习相关业务知识和技能，熟悉A岗承办事项的原则规定，切实履行所替代岗位的职责，按规定及时办理相关业务。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1.4 B岗责任人在代行A岗责任期间，不履行或不能正确履行相关职责，造成不良后果，将按照有关规定予以相应的处罚。</w:t>
      </w:r>
    </w:p>
    <w:p>
      <w:pPr>
        <w:spacing w:line="360" w:lineRule="auto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1.5 A岗责任人离开岗位，未交代B岗责任人代行承办业务，造成工作缺位并引起不良后果，由A岗责任人承担相应责任。</w:t>
      </w:r>
    </w:p>
    <w:p>
      <w:pPr>
        <w:pStyle w:val="Heading1"/>
        <w:tabs>
          <w:tab w:val="clear" w:pos="432"/>
        </w:tabs>
        <w:spacing w:before="0" w:after="0"/>
        <w:jc w:val="both"/>
        <w:rPr>
          <w:rFonts w:ascii="微软雅黑" w:eastAsia="微软雅黑" w:hAnsi="微软雅黑" w:cs="微软雅黑" w:hint="eastAsia"/>
          <w:sz w:val="24"/>
        </w:rPr>
      </w:pPr>
      <w:bookmarkStart w:id="27" w:name="_Toc402510794"/>
      <w:r>
        <w:rPr>
          <w:rFonts w:ascii="微软雅黑" w:eastAsia="微软雅黑" w:hAnsi="微软雅黑" w:cs="微软雅黑" w:hint="eastAsia"/>
          <w:sz w:val="24"/>
        </w:rPr>
        <w:t>第五章</w:t>
      </w:r>
      <w:r>
        <w:rPr>
          <w:rFonts w:ascii="微软雅黑" w:eastAsia="微软雅黑" w:hAnsi="微软雅黑" w:cs="微软雅黑" w:hint="eastAsia"/>
          <w:sz w:val="24"/>
        </w:rPr>
        <w:tab/>
      </w:r>
      <w:r>
        <w:rPr>
          <w:rFonts w:ascii="微软雅黑" w:eastAsia="微软雅黑" w:hAnsi="微软雅黑" w:cs="微软雅黑" w:hint="eastAsia"/>
          <w:sz w:val="24"/>
        </w:rPr>
        <w:t>附则</w:t>
      </w:r>
      <w:bookmarkEnd w:id="27"/>
    </w:p>
    <w:p>
      <w:pPr>
        <w:spacing w:line="440" w:lineRule="exact"/>
        <w:ind w:firstLine="420" w:firstLineChars="20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本制度由公司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部修订。解释权属公司</w:t>
      </w:r>
      <w:r>
        <w:rPr>
          <w:rFonts w:ascii="微软雅黑" w:eastAsia="微软雅黑" w:hAnsi="微软雅黑" w:cs="微软雅黑" w:hint="eastAsia"/>
          <w:sz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sz w:val="24"/>
        </w:rPr>
        <w:t>部。</w:t>
      </w:r>
    </w:p>
    <w:p>
      <w:pPr>
        <w:spacing w:line="360" w:lineRule="auto"/>
        <w:ind w:right="480"/>
        <w:jc w:val="right"/>
        <w:rPr>
          <w:rFonts w:ascii="宋体" w:hAnsi="宋体"/>
          <w:sz w:val="24"/>
        </w:rPr>
      </w:pPr>
    </w:p>
    <w:sectPr>
      <w:footerReference w:type="default" r:id="rId9"/>
      <w:pgSz w:w="11906" w:h="16838"/>
      <w:pgMar w:top="1440" w:right="1800" w:bottom="1440" w:left="1800" w:header="851" w:footer="992" w:gutter="0"/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="黑体" w:eastAsia="黑体" w:hAnsi="黑体" w:hint="eastAsia"/>
        <w:b/>
        <w:sz w:val="21"/>
        <w:szCs w:val="21"/>
      </w:rPr>
      <w:t xml:space="preserve">  </w:t>
    </w:r>
    <w:r>
      <w:rPr>
        <w:rFonts w:asciiTheme="minorEastAsia" w:eastAsiaTheme="minorEastAsia" w:hAnsiTheme="minorEastAsia" w:hint="eastAsia"/>
        <w:sz w:val="21"/>
      </w:rPr>
      <w:t xml:space="preserve">            </w:t>
    </w:r>
    <w:r>
      <w:rPr>
        <w:rFonts w:asciiTheme="minorEastAsia" w:eastAsiaTheme="minorEastAsia" w:hAnsiTheme="minorEastAsia"/>
        <w:sz w:val="21"/>
      </w:rPr>
      <w:t xml:space="preserve">                           </w:t>
    </w:r>
    <w:r>
      <w:rPr>
        <w:rFonts w:asciiTheme="minorEastAsia" w:eastAsiaTheme="minorEastAsia" w:hAnsiTheme="minorEastAsia" w:hint="eastAsia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hint="eastAsia"/>
      </w:rPr>
      <w:t xml:space="preserve">                                </w:t>
    </w:r>
    <w:r>
      <w:t xml:space="preserve">           </w:t>
    </w:r>
    <w:r>
      <w:rPr>
        <w:rFonts w:hint="eastAsia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1"/>
    <w:multiLevelType w:val="multilevel"/>
    <w:tmpl w:val="00000011"/>
    <w:lvl w:ilvl="0">
      <w:start w:val="1"/>
      <w:numFmt w:val="decimal"/>
      <w:pStyle w:val="B1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60E1038"/>
    <w:multiLevelType w:val="multilevel"/>
    <w:tmpl w:val="260E1038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 w:val="16"/>
        <w:szCs w:val="16"/>
        <w:u w:val="none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lvlRestart w:val="0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oNotTrackMoves/>
  <w:defaultTabStop w:val="48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locked="1" w:semiHidden="0" w:unhideWhenUsed="0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uiPriority="0"/>
    <w:lsdException w:name="footnote text" w:uiPriority="0"/>
    <w:lsdException w:name="annotation text" w:uiPriority="0"/>
    <w:lsdException w:name="header" w:semiHidden="0" w:uiPriority="0" w:unhideWhenUsed="0" w:qFormat="1"/>
    <w:lsdException w:name="footer" w:semiHidden="0" w:unhideWhenUsed="0" w:qFormat="1"/>
    <w:lsdException w:name="index heading" w:uiPriority="0"/>
    <w:lsdException w:name="caption" w:locked="1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qFormat="1"/>
    <w:lsdException w:name="FollowedHyperlink" w:uiPriority="0"/>
    <w:lsdException w:name="Strong" w:locked="1" w:semiHidden="0" w:uiPriority="22" w:unhideWhenUsed="0" w:qFormat="1"/>
    <w:lsdException w:name="Emphasis" w:locked="1" w:semiHidden="0" w:uiPriority="20" w:unhideWhenUsed="0" w:qFormat="1"/>
    <w:lsdException w:name="Document Map" w:unhideWhenUsed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locked="1" w:semiHidden="0" w:uiPriority="59" w:unhideWhenUsed="0"/>
    <w:lsdException w:name="Table Theme" w:locked="1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tabs>
        <w:tab w:val="left" w:pos="432"/>
      </w:tabs>
      <w:spacing w:before="340" w:after="330" w:line="360" w:lineRule="auto"/>
      <w:jc w:val="center"/>
      <w:outlineLvl w:val="0"/>
    </w:pPr>
    <w:rPr>
      <w:rFonts w:ascii="宋体" w:eastAsia="黑体" w:hAnsi="宋体"/>
      <w:b/>
      <w:bCs/>
      <w:kern w:val="44"/>
      <w:sz w:val="32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60" w:after="260" w:line="416" w:lineRule="auto"/>
      <w:jc w:val="left"/>
      <w:outlineLvl w:val="2"/>
    </w:pPr>
    <w:rPr>
      <w:b/>
      <w:bCs/>
      <w:sz w:val="30"/>
      <w:szCs w:val="32"/>
    </w:rPr>
  </w:style>
  <w:style w:type="paragraph" w:styleId="Heading4">
    <w:name w:val="heading 4"/>
    <w:basedOn w:val="Normal"/>
    <w:next w:val="Normal"/>
    <w:link w:val="4"/>
    <w:autoRedefine/>
    <w:uiPriority w:val="99"/>
    <w:qFormat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jc w:val="left"/>
      <w:outlineLvl w:val="3"/>
    </w:pPr>
    <w:rPr>
      <w:rFonts w:ascii="Arial" w:hAnsi="Arial"/>
      <w:b/>
      <w:bCs/>
      <w:sz w:val="28"/>
    </w:rPr>
  </w:style>
  <w:style w:type="paragraph" w:styleId="Heading5">
    <w:name w:val="heading 5"/>
    <w:basedOn w:val="Normal"/>
    <w:next w:val="Normal"/>
    <w:link w:val="5"/>
    <w:autoRedefine/>
    <w:uiPriority w:val="99"/>
    <w:qFormat/>
    <w:locked/>
    <w:pPr>
      <w:keepNext/>
      <w:keepLines/>
      <w:spacing w:before="280" w:after="290" w:line="376" w:lineRule="auto"/>
      <w:jc w:val="left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autoRedefine/>
    <w:uiPriority w:val="99"/>
    <w:semiHidden/>
    <w:qFormat/>
    <w:rPr>
      <w:rFonts w:ascii="宋体"/>
      <w:sz w:val="18"/>
      <w:szCs w:val="18"/>
    </w:rPr>
  </w:style>
  <w:style w:type="paragraph" w:styleId="BodyText">
    <w:name w:val="Body Text"/>
    <w:basedOn w:val="Normal"/>
    <w:link w:val="a0"/>
    <w:autoRedefine/>
    <w:uiPriority w:val="99"/>
    <w:qFormat/>
    <w:pPr>
      <w:widowControl/>
      <w:jc w:val="left"/>
    </w:pPr>
    <w:rPr>
      <w:rFonts w:ascii="Arial" w:hAnsi="Arial"/>
      <w:kern w:val="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pPr>
      <w:ind w:left="840" w:leftChars="400"/>
    </w:pPr>
  </w:style>
  <w:style w:type="paragraph" w:styleId="BalloonText">
    <w:name w:val="Balloon Text"/>
    <w:basedOn w:val="Normal"/>
    <w:link w:val="a1"/>
    <w:autoRedefine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a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3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="420" w:leftChars="200"/>
    </w:pPr>
  </w:style>
  <w:style w:type="paragraph" w:styleId="Title">
    <w:name w:val="Title"/>
    <w:basedOn w:val="Normal"/>
    <w:link w:val="a4"/>
    <w:autoRedefine/>
    <w:uiPriority w:val="99"/>
    <w:qFormat/>
    <w:locked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1">
    <w:name w:val="标题 1 字符"/>
    <w:link w:val="Heading1"/>
    <w:autoRedefine/>
    <w:uiPriority w:val="99"/>
    <w:qFormat/>
    <w:locked/>
    <w:rPr>
      <w:rFonts w:ascii="宋体" w:eastAsia="黑体" w:hAnsi="宋体"/>
      <w:b/>
      <w:bCs/>
      <w:kern w:val="44"/>
      <w:sz w:val="32"/>
      <w:szCs w:val="24"/>
    </w:rPr>
  </w:style>
  <w:style w:type="character" w:customStyle="1" w:styleId="2">
    <w:name w:val="标题 2 字符"/>
    <w:link w:val="Heading2"/>
    <w:autoRedefine/>
    <w:uiPriority w:val="99"/>
    <w:semiHidden/>
    <w:qFormat/>
    <w:locked/>
    <w:rPr>
      <w:rFonts w:ascii="Cambria" w:eastAsia="宋体" w:hAnsi="Cambria" w:cs="黑体"/>
      <w:b/>
      <w:bCs/>
      <w:sz w:val="32"/>
      <w:szCs w:val="32"/>
    </w:rPr>
  </w:style>
  <w:style w:type="character" w:customStyle="1" w:styleId="3">
    <w:name w:val="标题 3 字符"/>
    <w:link w:val="Heading3"/>
    <w:autoRedefine/>
    <w:uiPriority w:val="99"/>
    <w:semiHidden/>
    <w:qFormat/>
    <w:locked/>
    <w:rPr>
      <w:rFonts w:eastAsia="宋体" w:cs="Times New Roman"/>
      <w:b/>
      <w:bCs/>
      <w:kern w:val="2"/>
      <w:sz w:val="32"/>
      <w:szCs w:val="32"/>
      <w:lang w:val="en-US" w:eastAsia="zh-CN" w:bidi="ar-SA"/>
    </w:rPr>
  </w:style>
  <w:style w:type="character" w:customStyle="1" w:styleId="4">
    <w:name w:val="标题 4 字符"/>
    <w:link w:val="Heading4"/>
    <w:autoRedefine/>
    <w:uiPriority w:val="99"/>
    <w:qFormat/>
    <w:locked/>
    <w:rPr>
      <w:rFonts w:ascii="Arial" w:eastAsia="宋体" w:hAnsi="Arial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5">
    <w:name w:val="标题 5 字符"/>
    <w:link w:val="Heading5"/>
    <w:autoRedefine/>
    <w:uiPriority w:val="9"/>
    <w:semiHidden/>
    <w:qFormat/>
    <w:rPr>
      <w:b/>
      <w:bCs/>
      <w:sz w:val="28"/>
      <w:szCs w:val="28"/>
    </w:rPr>
  </w:style>
  <w:style w:type="character" w:customStyle="1" w:styleId="a">
    <w:name w:val="文档结构图 字符"/>
    <w:link w:val="DocumentMap"/>
    <w:autoRedefine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0">
    <w:name w:val="正文文本 字符"/>
    <w:link w:val="BodyText"/>
    <w:autoRedefine/>
    <w:uiPriority w:val="99"/>
    <w:qFormat/>
    <w:locked/>
    <w:rPr>
      <w:rFonts w:ascii="Arial" w:eastAsia="宋体" w:hAnsi="Arial" w:cs="Times New Roman"/>
      <w:kern w:val="0"/>
      <w:sz w:val="20"/>
      <w:szCs w:val="20"/>
    </w:rPr>
  </w:style>
  <w:style w:type="character" w:customStyle="1" w:styleId="a1">
    <w:name w:val="批注框文本 字符"/>
    <w:link w:val="BalloonText"/>
    <w:autoRedefine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页脚 字符"/>
    <w:link w:val="Footer"/>
    <w:autoRedefine/>
    <w:uiPriority w:val="99"/>
    <w:qFormat/>
    <w:locked/>
    <w:rPr>
      <w:rFonts w:cs="Times New Roman"/>
      <w:sz w:val="18"/>
      <w:szCs w:val="18"/>
    </w:rPr>
  </w:style>
  <w:style w:type="character" w:customStyle="1" w:styleId="a3">
    <w:name w:val="页眉 字符"/>
    <w:link w:val="Header"/>
    <w:autoRedefine/>
    <w:qFormat/>
    <w:locked/>
    <w:rPr>
      <w:rFonts w:cs="Times New Roman"/>
      <w:sz w:val="18"/>
      <w:szCs w:val="18"/>
    </w:rPr>
  </w:style>
  <w:style w:type="character" w:customStyle="1" w:styleId="a4">
    <w:name w:val="标题 字符"/>
    <w:link w:val="Title"/>
    <w:autoRedefine/>
    <w:uiPriority w:val="10"/>
    <w:qFormat/>
    <w:rPr>
      <w:rFonts w:ascii="Cambria" w:hAnsi="Cambria" w:cs="Times New Roman"/>
      <w:b/>
      <w:bCs/>
      <w:sz w:val="32"/>
      <w:szCs w:val="32"/>
    </w:rPr>
  </w:style>
  <w:style w:type="character" w:customStyle="1" w:styleId="a5">
    <w:name w:val="无间隔 字符"/>
    <w:link w:val="NoSpacing"/>
    <w:autoRedefine/>
    <w:qFormat/>
    <w:rPr>
      <w:sz w:val="22"/>
      <w:szCs w:val="22"/>
    </w:rPr>
  </w:style>
  <w:style w:type="paragraph" w:styleId="NoSpacing">
    <w:name w:val="No Spacing"/>
    <w:link w:val="a5"/>
    <w:autoRedefine/>
    <w:qFormat/>
    <w:pPr>
      <w:spacing w:line="360" w:lineRule="auto"/>
      <w:ind w:left="352"/>
      <w:jc w:val="both"/>
    </w:pPr>
    <w:rPr>
      <w:rFonts w:ascii="Times New Roman" w:eastAsia="宋体" w:hAnsi="Times New Roman" w:cs="Times New Roman"/>
      <w:sz w:val="22"/>
      <w:szCs w:val="22"/>
      <w:lang w:val="en-US" w:eastAsia="zh-CN" w:bidi="ar-SA"/>
    </w:rPr>
  </w:style>
  <w:style w:type="paragraph" w:customStyle="1" w:styleId="B1">
    <w:name w:val="首页B1"/>
    <w:basedOn w:val="Normal"/>
    <w:autoRedefine/>
    <w:qFormat/>
    <w:pPr>
      <w:numPr>
        <w:ilvl w:val="0"/>
        <w:numId w:val="2"/>
      </w:numPr>
      <w:spacing w:before="120" w:after="120" w:line="288" w:lineRule="auto"/>
    </w:pPr>
    <w:rPr>
      <w:b/>
      <w:sz w:val="28"/>
    </w:rPr>
  </w:style>
  <w:style w:type="paragraph" w:customStyle="1" w:styleId="TOC10">
    <w:name w:val="TOC 标题1"/>
    <w:basedOn w:val="Heading1"/>
    <w:next w:val="Normal"/>
    <w:autoRedefine/>
    <w:uiPriority w:val="39"/>
    <w:unhideWhenUsed/>
    <w:qFormat/>
    <w:pPr>
      <w:widowControl/>
      <w:tabs>
        <w:tab w:val="clear" w:pos="432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76092" w:themeColor="accent1" w:themeShade="BF"/>
      <w:kern w:val="0"/>
      <w:szCs w:val="32"/>
    </w:rPr>
  </w:style>
  <w:style w:type="paragraph" w:customStyle="1" w:styleId="a6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</w:rPr>
  </w:style>
  <w:style w:type="paragraph" w:customStyle="1" w:styleId="a7">
    <w:name w:val="表内容居中"/>
    <w:basedOn w:val="Normal"/>
    <w:autoRedefine/>
    <w:qFormat/>
    <w:pPr>
      <w:spacing w:line="520" w:lineRule="exact"/>
      <w:jc w:val="center"/>
    </w:pPr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1690</Words>
  <Characters>1755</Characters>
  <Application>Microsoft Office Word</Application>
  <DocSecurity>0</DocSecurity>
  <Lines>16</Lines>
  <Paragraphs>4</Paragraphs>
  <ScaleCrop>false</ScaleCrop>
  <Company>PC</Company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Administrator</dc:creator>
  <cp:lastModifiedBy>高</cp:lastModifiedBy>
  <cp:revision>12</cp:revision>
  <dcterms:created xsi:type="dcterms:W3CDTF">2019-11-30T09:13:00Z</dcterms:created>
  <dcterms:modified xsi:type="dcterms:W3CDTF">2025-11-27T09:04:58Z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063488A37C904FE3AB52084F2F4B2EE2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