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firstLine="0" w:firstLineChars="0"/>
        <w:jc w:val="center"/>
        <w:rPr>
          <w:b/>
          <w:sz w:val="48"/>
          <w:szCs w:val="48"/>
        </w:rPr>
      </w:pPr>
      <w:r>
        <w:rPr>
          <w:rFonts w:ascii="微软雅黑" w:eastAsia="微软雅黑" w:hAnsi="微软雅黑" w:cs="微软雅黑" w:hint="eastAsi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-837565</wp:posOffset>
            </wp:positionH>
            <wp:positionV relativeFrom="paragraph">
              <wp:posOffset>-1163955</wp:posOffset>
            </wp:positionV>
            <wp:extent cx="7776210" cy="11254105"/>
            <wp:effectExtent l="0" t="0" r="15240" b="444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210" cy="1125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ind w:firstLine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</w:p>
    <w:p>
      <w:pPr>
        <w:ind w:firstLine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  <w:t>甘肃国邦信息科技有限公司</w:t>
      </w:r>
    </w:p>
    <w:p>
      <w:pPr>
        <w:ind w:firstLine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</w:p>
    <w:p>
      <w:pPr>
        <w:ind w:firstLine="0" w:firstLineChars="0"/>
        <w:jc w:val="center"/>
        <w:rPr>
          <w:rFonts w:eastAsia="宋体" w:hint="eastAsia"/>
          <w:b/>
          <w:sz w:val="48"/>
          <w:szCs w:val="48"/>
          <w:lang w:eastAsia="zh-CN"/>
        </w:rPr>
      </w:pPr>
      <w:r>
        <w:rPr>
          <w:rFonts w:hint="eastAsia"/>
          <w:b/>
          <w:sz w:val="48"/>
          <w:szCs w:val="48"/>
          <w:lang w:eastAsia="zh-CN"/>
        </w:rPr>
        <w:t>服务</w:t>
      </w:r>
      <w:r>
        <w:rPr>
          <w:rFonts w:hint="eastAsia"/>
          <w:b/>
          <w:sz w:val="48"/>
          <w:szCs w:val="48"/>
          <w:lang w:val="en-US" w:eastAsia="zh-CN"/>
        </w:rPr>
        <w:t>数据</w:t>
      </w:r>
      <w:r>
        <w:rPr>
          <w:rFonts w:hint="eastAsia"/>
          <w:b/>
          <w:sz w:val="48"/>
          <w:szCs w:val="48"/>
          <w:lang w:eastAsia="zh-CN"/>
        </w:rPr>
        <w:t>管理制度</w:t>
      </w: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spacing w:after="156" w:afterLines="50"/>
        <w:ind w:firstLine="0" w:firstLineChars="0"/>
        <w:jc w:val="center"/>
        <w:rPr>
          <w:rFonts w:eastAsia="宋体" w:hint="default"/>
          <w:b/>
          <w:bCs/>
          <w:sz w:val="36"/>
          <w:szCs w:val="36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GSGB-ITSS-</w:t>
      </w:r>
      <w:r>
        <w:rPr>
          <w:rFonts w:ascii="宋体" w:hAnsi="宋体" w:cs="宋体" w:hint="eastAsia"/>
          <w:b/>
          <w:bCs/>
          <w:sz w:val="36"/>
          <w:szCs w:val="36"/>
          <w:lang w:val="en-US" w:eastAsia="zh-CN"/>
        </w:rPr>
        <w:t>11</w:t>
      </w: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-01</w:t>
      </w:r>
    </w:p>
    <w:p>
      <w:pPr>
        <w:spacing w:after="156" w:afterLines="50"/>
        <w:ind w:firstLine="0" w:firstLineChars="0"/>
        <w:rPr>
          <w:sz w:val="36"/>
          <w:szCs w:val="36"/>
        </w:rPr>
      </w:pPr>
    </w:p>
    <w:p>
      <w:pPr>
        <w:spacing w:after="156" w:afterLines="50"/>
        <w:ind w:firstLine="0" w:firstLineChars="0"/>
        <w:rPr>
          <w:sz w:val="36"/>
          <w:szCs w:val="36"/>
        </w:rPr>
      </w:pPr>
    </w:p>
    <w:p>
      <w:pPr>
        <w:spacing w:after="156" w:afterLines="50"/>
        <w:ind w:firstLine="0" w:firstLineChars="0"/>
        <w:rPr>
          <w:sz w:val="36"/>
          <w:szCs w:val="36"/>
        </w:rPr>
      </w:pPr>
    </w:p>
    <w:p>
      <w:pPr>
        <w:tabs>
          <w:tab w:val="left" w:pos="0"/>
        </w:tabs>
        <w:spacing w:line="1000" w:lineRule="exact"/>
        <w:ind w:firstLine="1200" w:firstLineChars="500"/>
        <w:jc w:val="left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eastAsia="zh-CN"/>
        </w:rPr>
        <w:t>胡葛鹏宇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200" w:firstLineChars="5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审核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兰伟东            </w:t>
      </w:r>
    </w:p>
    <w:p>
      <w:pPr>
        <w:tabs>
          <w:tab w:val="left" w:pos="0"/>
        </w:tabs>
        <w:spacing w:line="1000" w:lineRule="exact"/>
        <w:ind w:firstLine="1200" w:firstLineChars="500"/>
        <w:jc w:val="left"/>
        <w:rPr>
          <w:rFonts w:hint="eastAsia"/>
          <w:b/>
          <w:sz w:val="32"/>
          <w:szCs w:val="32"/>
        </w:rPr>
      </w:pPr>
      <w:r>
        <w:rPr>
          <w:rFonts w:hint="eastAsia"/>
          <w:sz w:val="32"/>
          <w:szCs w:val="32"/>
        </w:rPr>
        <w:t>批准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赵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鑫            </w:t>
      </w:r>
    </w:p>
    <w:p>
      <w:pPr>
        <w:tabs>
          <w:tab w:val="left" w:pos="0"/>
        </w:tabs>
        <w:spacing w:before="312" w:beforeLines="100" w:after="312" w:afterLines="100"/>
        <w:ind w:firstLine="0" w:firstLineChars="0"/>
        <w:jc w:val="center"/>
        <w:rPr>
          <w:rFonts w:ascii="黑体" w:eastAsia="黑体" w:hint="eastAsia"/>
          <w:sz w:val="36"/>
          <w:szCs w:val="36"/>
        </w:rPr>
      </w:pPr>
    </w:p>
    <w:p>
      <w:pPr>
        <w:tabs>
          <w:tab w:val="left" w:pos="0"/>
        </w:tabs>
        <w:spacing w:before="312" w:beforeLines="100" w:after="312" w:afterLines="100"/>
        <w:ind w:firstLine="0" w:firstLineChars="0"/>
        <w:jc w:val="center"/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1614"/>
        <w:gridCol w:w="1614"/>
        <w:gridCol w:w="1614"/>
        <w:gridCol w:w="1750"/>
        <w:gridCol w:w="1750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vAlign w:val="center"/>
          </w:tcPr>
          <w:p>
            <w:pPr>
              <w:pStyle w:val="a2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序号</w:t>
            </w:r>
          </w:p>
        </w:tc>
        <w:tc>
          <w:tcPr>
            <w:tcW w:w="810" w:type="pct"/>
            <w:vAlign w:val="center"/>
          </w:tcPr>
          <w:p>
            <w:pPr>
              <w:pStyle w:val="a2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新建/修改</w:t>
            </w:r>
          </w:p>
        </w:tc>
        <w:tc>
          <w:tcPr>
            <w:tcW w:w="810" w:type="pct"/>
            <w:vAlign w:val="center"/>
          </w:tcPr>
          <w:p>
            <w:pPr>
              <w:pStyle w:val="a2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拟制人</w:t>
            </w:r>
          </w:p>
        </w:tc>
        <w:tc>
          <w:tcPr>
            <w:tcW w:w="810" w:type="pct"/>
            <w:vAlign w:val="center"/>
          </w:tcPr>
          <w:p>
            <w:pPr>
              <w:pStyle w:val="a2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审核人</w:t>
            </w:r>
          </w:p>
        </w:tc>
        <w:tc>
          <w:tcPr>
            <w:tcW w:w="878" w:type="pct"/>
            <w:vAlign w:val="center"/>
          </w:tcPr>
          <w:p>
            <w:pPr>
              <w:pStyle w:val="a2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批准人</w:t>
            </w:r>
          </w:p>
        </w:tc>
        <w:tc>
          <w:tcPr>
            <w:tcW w:w="878" w:type="pct"/>
            <w:vAlign w:val="center"/>
          </w:tcPr>
          <w:p>
            <w:pPr>
              <w:pStyle w:val="a2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  <w:tc>
          <w:tcPr>
            <w:tcW w:w="810" w:type="pct"/>
            <w:vAlign w:val="center"/>
          </w:tcPr>
          <w:p>
            <w:pPr>
              <w:pStyle w:val="a3"/>
              <w:spacing w:line="240" w:lineRule="auto"/>
              <w:ind w:firstLine="0" w:firstLineChars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新建</w:t>
            </w:r>
          </w:p>
        </w:tc>
        <w:tc>
          <w:tcPr>
            <w:tcW w:w="810" w:type="pct"/>
            <w:vAlign w:val="center"/>
          </w:tcPr>
          <w:p>
            <w:pPr>
              <w:pStyle w:val="a3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810" w:type="pct"/>
            <w:vAlign w:val="center"/>
          </w:tcPr>
          <w:p>
            <w:pPr>
              <w:pStyle w:val="a3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兰伟东</w:t>
            </w:r>
          </w:p>
        </w:tc>
        <w:tc>
          <w:tcPr>
            <w:tcW w:w="878" w:type="pct"/>
            <w:vAlign w:val="center"/>
          </w:tcPr>
          <w:p>
            <w:pPr>
              <w:pStyle w:val="a3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黄益溪</w:t>
            </w:r>
          </w:p>
        </w:tc>
        <w:tc>
          <w:tcPr>
            <w:tcW w:w="878" w:type="pct"/>
            <w:vAlign w:val="center"/>
          </w:tcPr>
          <w:p>
            <w:pPr>
              <w:pStyle w:val="a3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2025.1.7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</w:tr>
    </w:tbl>
    <w:p>
      <w:pPr>
        <w:rPr>
          <w:rFonts w:ascii="微软雅黑" w:eastAsia="微软雅黑" w:hAnsi="微软雅黑" w:cs="微软雅黑" w:hint="eastAsia"/>
          <w:sz w:val="24"/>
        </w:rPr>
      </w:pPr>
    </w:p>
    <w:p>
      <w:pPr>
        <w:rPr>
          <w:rFonts w:ascii="微软雅黑" w:eastAsia="微软雅黑" w:hAnsi="微软雅黑" w:cs="微软雅黑" w:hint="eastAsia"/>
          <w:sz w:val="24"/>
        </w:rPr>
      </w:pPr>
    </w:p>
    <w:p>
      <w:pPr>
        <w:pStyle w:val="TOC1"/>
        <w:spacing w:line="360" w:lineRule="auto"/>
        <w:jc w:val="center"/>
        <w:rPr>
          <w:rFonts w:ascii="仿宋" w:eastAsia="仿宋" w:hAnsi="仿宋"/>
          <w:sz w:val="32"/>
          <w:szCs w:val="32"/>
        </w:rPr>
      </w:pPr>
    </w:p>
    <w:p>
      <w:pPr>
        <w:pStyle w:val="TOC1"/>
        <w:spacing w:line="360" w:lineRule="auto"/>
        <w:jc w:val="center"/>
        <w:rPr>
          <w:rFonts w:ascii="仿宋" w:eastAsia="仿宋" w:hAnsi="仿宋"/>
          <w:sz w:val="32"/>
          <w:szCs w:val="32"/>
        </w:rPr>
      </w:pPr>
    </w:p>
    <w:p>
      <w:pPr>
        <w:pStyle w:val="TOC1"/>
        <w:spacing w:line="360" w:lineRule="auto"/>
        <w:jc w:val="center"/>
        <w:rPr>
          <w:rFonts w:ascii="仿宋" w:eastAsia="仿宋" w:hAnsi="仿宋"/>
          <w:sz w:val="32"/>
          <w:szCs w:val="32"/>
        </w:rPr>
      </w:pPr>
    </w:p>
    <w:p>
      <w:pPr>
        <w:pStyle w:val="TOC1"/>
        <w:spacing w:line="360" w:lineRule="auto"/>
        <w:jc w:val="center"/>
        <w:rPr>
          <w:rFonts w:ascii="仿宋" w:eastAsia="仿宋" w:hAnsi="仿宋"/>
          <w:sz w:val="32"/>
          <w:szCs w:val="32"/>
        </w:rPr>
      </w:pPr>
    </w:p>
    <w:p>
      <w:pPr>
        <w:pStyle w:val="TOC1"/>
        <w:spacing w:line="360" w:lineRule="auto"/>
        <w:jc w:val="center"/>
        <w:rPr>
          <w:rFonts w:ascii="仿宋" w:eastAsia="仿宋" w:hAnsi="仿宋"/>
          <w:sz w:val="32"/>
          <w:szCs w:val="32"/>
        </w:rPr>
      </w:pPr>
    </w:p>
    <w:p/>
    <w:p>
      <w:pPr>
        <w:pStyle w:val="TOC1"/>
        <w:spacing w:line="360" w:lineRule="auto"/>
        <w:jc w:val="center"/>
        <w:rPr>
          <w:rFonts w:ascii="仿宋" w:eastAsia="仿宋" w:hAnsi="仿宋" w:hint="eastAsia"/>
          <w:sz w:val="32"/>
          <w:szCs w:val="32"/>
        </w:rPr>
      </w:pPr>
    </w:p>
    <w:p>
      <w:pPr>
        <w:pStyle w:val="TOC1"/>
        <w:spacing w:line="360" w:lineRule="auto"/>
        <w:jc w:val="center"/>
        <w:rPr>
          <w:rFonts w:ascii="仿宋" w:eastAsia="仿宋" w:hAnsi="仿宋" w:hint="eastAsia"/>
          <w:sz w:val="32"/>
          <w:szCs w:val="32"/>
        </w:rPr>
      </w:pPr>
    </w:p>
    <w:p>
      <w:pPr>
        <w:pStyle w:val="TOC1"/>
        <w:spacing w:line="360" w:lineRule="auto"/>
        <w:jc w:val="center"/>
        <w:rPr>
          <w:rFonts w:ascii="仿宋" w:eastAsia="仿宋" w:hAnsi="仿宋" w:hint="eastAsia"/>
          <w:sz w:val="32"/>
          <w:szCs w:val="32"/>
        </w:rPr>
      </w:pPr>
    </w:p>
    <w:p>
      <w:pPr>
        <w:pStyle w:val="TOC1"/>
        <w:spacing w:line="360" w:lineRule="auto"/>
        <w:jc w:val="center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目  录</w:t>
      </w:r>
    </w:p>
    <w:p>
      <w:pPr>
        <w:pStyle w:val="TOC1"/>
        <w:tabs>
          <w:tab w:val="right" w:leader="dot" w:pos="9746"/>
        </w:tabs>
      </w:pPr>
      <w:bookmarkStart w:id="0" w:name="_GoBack"/>
      <w:bookmarkEnd w:id="0"/>
      <w:r>
        <w:rPr>
          <w:rFonts w:ascii="微软雅黑" w:eastAsia="微软雅黑" w:hAnsi="微软雅黑" w:cs="微软雅黑" w:hint="eastAsia"/>
          <w:b w:val="0"/>
          <w:sz w:val="24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b w:val="0"/>
          <w:sz w:val="24"/>
          <w:szCs w:val="24"/>
        </w:rPr>
        <w:instrText xml:space="preserve"> TOC \o "1-3" \h \z \u </w:instrText>
      </w:r>
      <w:r>
        <w:rPr>
          <w:rFonts w:ascii="微软雅黑" w:eastAsia="微软雅黑" w:hAnsi="微软雅黑" w:cs="微软雅黑" w:hint="eastAsia"/>
          <w:b w:val="0"/>
          <w:sz w:val="24"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_Toc16864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</w:rPr>
        <w:t xml:space="preserve"> 前言</w:t>
      </w:r>
      <w:r>
        <w:tab/>
      </w:r>
      <w:r>
        <w:fldChar w:fldCharType="begin"/>
      </w:r>
      <w:r>
        <w:instrText xml:space="preserve"> PAGEREF _Toc16864 \h </w:instrText>
      </w:r>
      <w:r>
        <w:fldChar w:fldCharType="separate"/>
      </w:r>
      <w:r>
        <w:t>1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1"/>
        <w:tabs>
          <w:tab w:val="right" w:leader="dot" w:pos="974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_Toc5713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hint="eastAsia"/>
        </w:rPr>
        <w:t>2.目的</w:t>
      </w:r>
      <w:r>
        <w:tab/>
      </w:r>
      <w:r>
        <w:fldChar w:fldCharType="begin"/>
      </w:r>
      <w:r>
        <w:instrText xml:space="preserve"> PAGEREF _Toc5713 \h </w:instrText>
      </w:r>
      <w:r>
        <w:fldChar w:fldCharType="separate"/>
      </w:r>
      <w:r>
        <w:t>1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1"/>
        <w:tabs>
          <w:tab w:val="right" w:leader="dot" w:pos="974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_Toc16753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hint="eastAsia"/>
        </w:rPr>
        <w:t>3. 适用范围</w:t>
      </w:r>
      <w:r>
        <w:tab/>
      </w:r>
      <w:r>
        <w:fldChar w:fldCharType="begin"/>
      </w:r>
      <w:r>
        <w:instrText xml:space="preserve"> PAGEREF _Toc16753 \h </w:instrText>
      </w:r>
      <w:r>
        <w:fldChar w:fldCharType="separate"/>
      </w:r>
      <w:r>
        <w:t>1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1"/>
        <w:tabs>
          <w:tab w:val="right" w:leader="dot" w:pos="974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_Toc3113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hint="eastAsia"/>
        </w:rPr>
        <w:t>4. 角色与职责</w:t>
      </w:r>
      <w:r>
        <w:tab/>
      </w:r>
      <w:r>
        <w:fldChar w:fldCharType="begin"/>
      </w:r>
      <w:r>
        <w:instrText xml:space="preserve"> PAGEREF _Toc3113 \h </w:instrText>
      </w:r>
      <w:r>
        <w:fldChar w:fldCharType="separate"/>
      </w:r>
      <w:r>
        <w:t>1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1"/>
        <w:tabs>
          <w:tab w:val="right" w:leader="dot" w:pos="974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_Toc14184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hint="eastAsia"/>
        </w:rPr>
        <w:t>5. 数据分类与分级</w:t>
      </w:r>
      <w:r>
        <w:tab/>
      </w:r>
      <w:r>
        <w:fldChar w:fldCharType="begin"/>
      </w:r>
      <w:r>
        <w:instrText xml:space="preserve"> PAGEREF _Toc14184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1"/>
        <w:tabs>
          <w:tab w:val="right" w:leader="dot" w:pos="974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_Toc1126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hint="eastAsia"/>
        </w:rPr>
        <w:t>6. 数据全生命周期管理</w:t>
      </w:r>
      <w:r>
        <w:tab/>
      </w:r>
      <w:r>
        <w:fldChar w:fldCharType="begin"/>
      </w:r>
      <w:r>
        <w:instrText xml:space="preserve"> PAGEREF _Toc1126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2"/>
        <w:tabs>
          <w:tab w:val="right" w:leader="dot" w:pos="974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_Toc7790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hint="eastAsia"/>
        </w:rPr>
        <w:t>6.1 数据采集与创建</w:t>
      </w:r>
      <w:r>
        <w:tab/>
      </w:r>
      <w:r>
        <w:fldChar w:fldCharType="begin"/>
      </w:r>
      <w:r>
        <w:instrText xml:space="preserve"> PAGEREF _Toc7790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2"/>
        <w:tabs>
          <w:tab w:val="right" w:leader="dot" w:pos="974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_Toc17851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hint="eastAsia"/>
        </w:rPr>
        <w:t>6.2 数据存储与传输</w:t>
      </w:r>
      <w:r>
        <w:tab/>
      </w:r>
      <w:r>
        <w:fldChar w:fldCharType="begin"/>
      </w:r>
      <w:r>
        <w:instrText xml:space="preserve"> PAGEREF _Toc17851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2"/>
        <w:tabs>
          <w:tab w:val="right" w:leader="dot" w:pos="974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_Toc18003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hint="eastAsia"/>
        </w:rPr>
        <w:t>6.3 数据使用与分析</w:t>
      </w:r>
      <w:r>
        <w:tab/>
      </w:r>
      <w:r>
        <w:fldChar w:fldCharType="begin"/>
      </w:r>
      <w:r>
        <w:instrText xml:space="preserve"> PAGEREF _Toc18003 \h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2"/>
        <w:tabs>
          <w:tab w:val="right" w:leader="dot" w:pos="974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_Toc7424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hint="eastAsia"/>
        </w:rPr>
        <w:t>6.4 数据归档与销毁</w:t>
      </w:r>
      <w:r>
        <w:tab/>
      </w:r>
      <w:r>
        <w:fldChar w:fldCharType="begin"/>
      </w:r>
      <w:r>
        <w:instrText xml:space="preserve"> PAGEREF _Toc7424 \h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1"/>
        <w:tabs>
          <w:tab w:val="right" w:leader="dot" w:pos="974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_Toc7114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hint="eastAsia"/>
        </w:rPr>
        <w:t>7. 数据安全与保密</w:t>
      </w:r>
      <w:r>
        <w:tab/>
      </w:r>
      <w:r>
        <w:fldChar w:fldCharType="begin"/>
      </w:r>
      <w:r>
        <w:instrText xml:space="preserve"> PAGEREF _Toc7114 \h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1"/>
        <w:tabs>
          <w:tab w:val="right" w:leader="dot" w:pos="974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_Toc12909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hint="eastAsia"/>
        </w:rPr>
        <w:t>8. 附则</w:t>
      </w:r>
      <w:r>
        <w:tab/>
      </w:r>
      <w:r>
        <w:fldChar w:fldCharType="begin"/>
      </w:r>
      <w:r>
        <w:instrText xml:space="preserve"> PAGEREF _Toc12909 \h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2"/>
        <w:tabs>
          <w:tab w:val="right" w:leader="dot" w:pos="974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_Toc9012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hint="eastAsia"/>
        </w:rPr>
        <w:t>8.1 生效日期</w:t>
      </w:r>
      <w:r>
        <w:tab/>
      </w:r>
      <w:r>
        <w:fldChar w:fldCharType="begin"/>
      </w:r>
      <w:r>
        <w:instrText xml:space="preserve"> PAGEREF _Toc9012 \h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2"/>
        <w:tabs>
          <w:tab w:val="right" w:leader="dot" w:pos="974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_Toc10683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hint="eastAsia"/>
        </w:rPr>
        <w:t>8.2 解释权</w:t>
      </w:r>
      <w:r>
        <w:tab/>
      </w:r>
      <w:r>
        <w:fldChar w:fldCharType="begin"/>
      </w:r>
      <w:r>
        <w:instrText xml:space="preserve"> PAGEREF _Toc10683 \h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2"/>
        <w:widowControl/>
        <w:tabs>
          <w:tab w:val="left" w:pos="1440"/>
          <w:tab w:val="right" w:leader="dot" w:pos="8869"/>
        </w:tabs>
        <w:spacing w:line="360" w:lineRule="auto"/>
        <w:ind w:left="0"/>
        <w:jc w:val="center"/>
        <w:rPr>
          <w:rFonts w:ascii="黑体" w:eastAsia="黑体" w:hAnsi="黑体"/>
          <w:sz w:val="24"/>
          <w:szCs w:val="24"/>
        </w:rPr>
        <w:sectPr>
          <w:headerReference w:type="default" r:id="rId7"/>
          <w:footerReference w:type="default" r:id="rId8"/>
          <w:pgSz w:w="11906" w:h="16838"/>
          <w:pgMar w:top="1440" w:right="1080" w:bottom="1440" w:left="1080" w:header="851" w:footer="992" w:gutter="0"/>
          <w:cols w:num="1" w:space="720"/>
          <w:docGrid w:type="lines" w:linePitch="312" w:charSpace="0"/>
        </w:sectPr>
      </w:pP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Heading1"/>
        <w:bidi w:val="0"/>
        <w:rPr>
          <w:rFonts w:hint="eastAsia"/>
        </w:rPr>
      </w:pPr>
      <w:bookmarkStart w:id="1" w:name="_Toc16864"/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</w:rPr>
        <w:t xml:space="preserve"> 前言</w:t>
      </w:r>
      <w:bookmarkEnd w:id="1"/>
    </w:p>
    <w:p>
      <w:pPr>
        <w:bidi w:val="0"/>
        <w:rPr>
          <w:rFonts w:hint="eastAsia"/>
        </w:rPr>
      </w:pPr>
      <w:r>
        <w:rPr>
          <w:rFonts w:hint="eastAsia"/>
        </w:rPr>
        <w:t>为规范甘肃国邦信息科技有限公司（以下简称“公司”）在信息技术服务过程中涉及的各项数据的采集、存储、使用、归档与销毁等全生命周期管理，确保数据的准确性、安全性、合规性与可用性，充分发挥数据资产价值，特制定本制度。</w:t>
      </w:r>
    </w:p>
    <w:p>
      <w:pPr>
        <w:pStyle w:val="Heading1"/>
        <w:bidi w:val="0"/>
        <w:rPr>
          <w:rFonts w:hint="eastAsia"/>
        </w:rPr>
      </w:pPr>
      <w:bookmarkStart w:id="2" w:name="_Toc5713"/>
      <w:r>
        <w:rPr>
          <w:rFonts w:hint="eastAsia"/>
        </w:rPr>
        <w:t>2.目的</w:t>
      </w:r>
      <w:bookmarkEnd w:id="2"/>
    </w:p>
    <w:p>
      <w:pPr>
        <w:bidi w:val="0"/>
        <w:rPr>
          <w:rFonts w:hint="eastAsia"/>
        </w:rPr>
      </w:pPr>
      <w:r>
        <w:rPr>
          <w:rFonts w:hint="eastAsia"/>
        </w:rPr>
        <w:t>本制度旨在明确服务数据管理的职责、流程与要求，通过系统化的管理，保障服务数据的完整性、保密性，并基于数据驱动服务改进与决策，支撑公司运维服务能力的持续提升。</w:t>
      </w:r>
    </w:p>
    <w:p>
      <w:pPr>
        <w:pStyle w:val="Heading1"/>
        <w:bidi w:val="0"/>
        <w:rPr>
          <w:rFonts w:hint="eastAsia"/>
        </w:rPr>
      </w:pPr>
      <w:bookmarkStart w:id="3" w:name="_Toc16753"/>
      <w:r>
        <w:rPr>
          <w:rFonts w:hint="eastAsia"/>
        </w:rPr>
        <w:t>3. 适用范围</w:t>
      </w:r>
      <w:bookmarkEnd w:id="3"/>
    </w:p>
    <w:p>
      <w:pPr>
        <w:bidi w:val="0"/>
        <w:rPr>
          <w:rFonts w:hint="eastAsia"/>
        </w:rPr>
      </w:pPr>
      <w:r>
        <w:rPr>
          <w:rFonts w:hint="eastAsia"/>
        </w:rPr>
        <w:t>本制度适用于公司在运维服务活动中产生、处理和使用的一切数据，包括但不限于：</w:t>
      </w:r>
    </w:p>
    <w:p>
      <w:pPr>
        <w:bidi w:val="0"/>
        <w:rPr>
          <w:rFonts w:hint="eastAsia"/>
        </w:rPr>
      </w:pPr>
      <w:r>
        <w:rPr>
          <w:rFonts w:hint="eastAsia"/>
        </w:rPr>
        <w:t>服务过程数据： 事件记录、问题记录、变更申请、发布记录、配置项数据。</w:t>
      </w:r>
    </w:p>
    <w:p>
      <w:pPr>
        <w:bidi w:val="0"/>
        <w:rPr>
          <w:rFonts w:hint="eastAsia"/>
        </w:rPr>
      </w:pPr>
      <w:r>
        <w:rPr>
          <w:rFonts w:hint="eastAsia"/>
        </w:rPr>
        <w:t>服务绩效数据： SLA达成率、事件解决率、客户满意度调查结果等KPI指标。</w:t>
      </w:r>
    </w:p>
    <w:p>
      <w:pPr>
        <w:bidi w:val="0"/>
        <w:rPr>
          <w:rFonts w:hint="eastAsia"/>
        </w:rPr>
      </w:pPr>
      <w:r>
        <w:rPr>
          <w:rFonts w:hint="eastAsia"/>
        </w:rPr>
        <w:t>客户业务数据： 在提供运维服务过程中接触到的客户信息系统中的业务数据。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系统运行数据： 应用日志、系统日志、安全日志、性能监控数据（来自Nacos, Redis, MySQL等）。</w:t>
      </w:r>
    </w:p>
    <w:p>
      <w:pPr>
        <w:pStyle w:val="Heading1"/>
        <w:bidi w:val="0"/>
        <w:rPr>
          <w:rFonts w:hint="eastAsia"/>
        </w:rPr>
      </w:pPr>
      <w:bookmarkStart w:id="4" w:name="_Toc3113"/>
      <w:r>
        <w:rPr>
          <w:rFonts w:hint="eastAsia"/>
        </w:rPr>
        <w:t>4. 角色与职责</w:t>
      </w:r>
      <w:bookmarkEnd w:id="4"/>
    </w:p>
    <w:tbl>
      <w:tblPr>
        <w:tblW w:w="957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8579"/>
      </w:tblGrid>
      <w:tr>
        <w:tblPrEx>
          <w:tblW w:w="9579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2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var(--dsw-font-markdown-table-head)" w:eastAsia="var(--dsw-font-markdown-table-head)" w:hAnsi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ascii="var(--dsw-font-markdown-table-head)" w:eastAsia="var(--dsw-font-markdown-table-head)" w:hAnsi="var(--dsw-font-markdown-table-head)" w:cs="var(--dsw-font-markdown-table-head)" w:hint="default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il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var(--dsw-font-markdown-table-head)" w:eastAsia="var(--dsw-font-markdown-table-head)" w:hAnsi="var(--dsw-font-markdown-table-head)" w:cs="var(--dsw-font-markdown-table-head)" w:hint="default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ascii="var(--dsw-font-markdown-table-head)" w:eastAsia="var(--dsw-font-markdown-table-head)" w:hAnsi="var(--dsw-font-markdown-table-head)" w:cs="var(--dsw-font-markdown-table-head)" w:hint="default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il"/>
                <w:lang w:val="en-US" w:eastAsia="zh-CN"/>
              </w:rPr>
              <w:t>核心职责</w:t>
            </w:r>
          </w:p>
        </w:tc>
      </w:tr>
      <w:tr>
        <w:tblPrEx>
          <w:tblW w:w="9579" w:type="dxa"/>
          <w:tblInd w:w="0" w:type="dxa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1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var(--dsw-font-markdown-table)" w:eastAsia="var(--dsw-font-markdown-table)" w:hAnsi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Strong"/>
                <w:rFonts w:ascii="var(--dsw-font-markdown-table)" w:eastAsia="var(--dsw-font-markdown-table)" w:hAnsi="var(--dsw-font-markdown-table)" w:cs="var(--dsw-font-markdown-table)" w:hint="default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il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var(--dsw-font-markdown-table)" w:eastAsia="var(--dsw-font-markdown-table)" w:hAnsi="var(--dsw-font-markdown-table)" w:cs="var(--dsw-font-markdown-table)" w:hint="default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Strong"/>
                <w:rFonts w:ascii="var(--dsw-font-markdown-table)" w:eastAsia="var(--dsw-font-markdown-table)" w:hAnsi="var(--dsw-font-markdown-table)" w:cs="var(--dsw-font-markdown-table)" w:hint="default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il"/>
                <w:lang w:val="en-US" w:eastAsia="zh-CN"/>
              </w:rPr>
              <w:t>服务数据管理的归口部门。</w:t>
            </w:r>
            <w:r>
              <w:rPr>
                <w:rFonts w:ascii="var(--dsw-font-markdown-table)" w:eastAsia="var(--dsw-font-markdown-table)" w:hAnsi="var(--dsw-font-markdown-table)" w:cs="var(--dsw-font-markdown-table)" w:hint="default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il"/>
                <w:lang w:val="en-US" w:eastAsia="zh-CN"/>
              </w:rPr>
              <w:t> 负责服务过程数据与系统运行数据的采集、存储、备份、日常使用与安全管理。</w:t>
            </w:r>
          </w:p>
        </w:tc>
      </w:tr>
      <w:tr>
        <w:tblPrEx>
          <w:tblW w:w="9579" w:type="dxa"/>
          <w:tblInd w:w="0" w:type="dxa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var(--dsw-font-markdown-table)" w:eastAsia="var(--dsw-font-markdown-table)" w:hAnsi="var(--dsw-font-markdown-table)" w:cs="var(--dsw-font-markdown-table)" w:hint="default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Strong"/>
                <w:rFonts w:ascii="var(--dsw-font-markdown-table)" w:eastAsia="var(--dsw-font-markdown-table)" w:hAnsi="var(--dsw-font-markdown-table)" w:cs="var(--dsw-font-markdown-table)" w:hint="default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il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var(--dsw-font-markdown-table)" w:eastAsia="var(--dsw-font-markdown-table)" w:hAnsi="var(--dsw-font-markdown-table)" w:cs="var(--dsw-font-markdown-table)" w:hint="default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ascii="var(--dsw-font-markdown-table)" w:eastAsia="var(--dsw-font-markdown-table)" w:hAnsi="var(--dsw-font-markdown-table)" w:cs="var(--dsw-font-markdown-table)" w:hint="default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il"/>
                <w:lang w:val="en-US" w:eastAsia="zh-CN"/>
              </w:rPr>
              <w:t>负责在应用系统中实现数据管理的技术要求，如日志规范、数据接口、数据脱敏等。</w:t>
            </w:r>
          </w:p>
        </w:tc>
      </w:tr>
      <w:tr>
        <w:tblPrEx>
          <w:tblW w:w="9579" w:type="dxa"/>
          <w:tblInd w:w="0" w:type="dxa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var(--dsw-font-markdown-table)" w:eastAsia="var(--dsw-font-markdown-table)" w:hAnsi="var(--dsw-font-markdown-table)" w:cs="var(--dsw-font-markdown-table)" w:hint="default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Strong"/>
                <w:rFonts w:ascii="var(--dsw-font-markdown-table)" w:eastAsia="var(--dsw-font-markdown-table)" w:hAnsi="var(--dsw-font-markdown-table)" w:cs="var(--dsw-font-markdown-table)" w:hint="default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il"/>
                <w:lang w:val="en-US" w:eastAsia="zh-CN"/>
              </w:rPr>
              <w:t>质量部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var(--dsw-font-markdown-table)" w:eastAsia="var(--dsw-font-markdown-table)" w:hAnsi="var(--dsw-font-markdown-table)" w:cs="var(--dsw-font-markdown-table)" w:hint="default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ascii="var(--dsw-font-markdown-table)" w:eastAsia="var(--dsw-font-markdown-table)" w:hAnsi="var(--dsw-font-markdown-table)" w:cs="var(--dsw-font-markdown-table)" w:hint="default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il"/>
                <w:lang w:val="en-US" w:eastAsia="zh-CN"/>
              </w:rPr>
              <w:t>负责服务绩效数据的收集、分析与报告；监督本制度的执行。</w:t>
            </w:r>
          </w:p>
        </w:tc>
      </w:tr>
      <w:tr>
        <w:tblPrEx>
          <w:tblW w:w="9579" w:type="dxa"/>
          <w:tblInd w:w="0" w:type="dxa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var(--dsw-font-markdown-table)" w:eastAsia="var(--dsw-font-markdown-table)" w:hAnsi="var(--dsw-font-markdown-table)" w:cs="var(--dsw-font-markdown-table)" w:hint="default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Strong"/>
                <w:rFonts w:ascii="var(--dsw-font-markdown-table)" w:eastAsia="var(--dsw-font-markdown-table)" w:hAnsi="var(--dsw-font-markdown-table)" w:cs="var(--dsw-font-markdown-table)" w:hint="default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il"/>
                <w:lang w:val="en-US" w:eastAsia="zh-CN"/>
              </w:rPr>
              <w:t>人力部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var(--dsw-font-markdown-table)" w:eastAsia="var(--dsw-font-markdown-table)" w:hAnsi="var(--dsw-font-markdown-table)" w:cs="var(--dsw-font-markdown-table)" w:hint="default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ascii="var(--dsw-font-markdown-table)" w:eastAsia="var(--dsw-font-markdown-table)" w:hAnsi="var(--dsw-font-markdown-table)" w:cs="var(--dsw-font-markdown-table)" w:hint="default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il"/>
                <w:lang w:val="en-US" w:eastAsia="zh-CN"/>
              </w:rPr>
              <w:t>负责组织员工数据安全与保密意识的培训。</w:t>
            </w:r>
          </w:p>
        </w:tc>
      </w:tr>
      <w:tr>
        <w:tblPrEx>
          <w:tblW w:w="9579" w:type="dxa"/>
          <w:tblInd w:w="0" w:type="dxa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var(--dsw-font-markdown-table)" w:eastAsia="var(--dsw-font-markdown-table)" w:hAnsi="var(--dsw-font-markdown-table)" w:cs="var(--dsw-font-markdown-table)" w:hint="default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Strong"/>
                <w:rFonts w:ascii="var(--dsw-font-markdown-table)" w:eastAsia="var(--dsw-font-markdown-table)" w:hAnsi="var(--dsw-font-markdown-table)" w:cs="var(--dsw-font-markdown-table)" w:hint="default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il"/>
                <w:lang w:val="en-US" w:eastAsia="zh-CN"/>
              </w:rPr>
              <w:t>全体员工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var(--dsw-font-markdown-table)" w:eastAsia="var(--dsw-font-markdown-table)" w:hAnsi="var(--dsw-font-markdown-table)" w:cs="var(--dsw-font-markdown-table)" w:hint="default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ascii="var(--dsw-font-markdown-table)" w:eastAsia="var(--dsw-font-markdown-table)" w:hAnsi="var(--dsw-font-markdown-table)" w:cs="var(--dsw-font-markdown-table)" w:hint="default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il"/>
                <w:lang w:val="en-US" w:eastAsia="zh-CN"/>
              </w:rPr>
              <w:t>负有保护服务数据安全保密的责任，必须遵守本制度及相关规定。</w:t>
            </w:r>
          </w:p>
        </w:tc>
      </w:tr>
    </w:tbl>
    <w:p>
      <w:pPr>
        <w:ind w:left="0" w:firstLine="0" w:leftChars="0" w:firstLineChars="0"/>
        <w:rPr>
          <w:rFonts w:hint="eastAsia"/>
        </w:rPr>
      </w:pPr>
    </w:p>
    <w:p>
      <w:pPr>
        <w:pStyle w:val="Heading1"/>
        <w:bidi w:val="0"/>
        <w:rPr>
          <w:rFonts w:hint="eastAsia"/>
        </w:rPr>
      </w:pPr>
      <w:bookmarkStart w:id="5" w:name="_Toc14184"/>
      <w:r>
        <w:rPr>
          <w:rFonts w:hint="eastAsia"/>
        </w:rPr>
        <w:t>5. 数据分类与分级</w:t>
      </w:r>
      <w:bookmarkEnd w:id="5"/>
    </w:p>
    <w:p>
      <w:pPr>
        <w:bidi w:val="0"/>
        <w:rPr>
          <w:rFonts w:hint="eastAsia"/>
        </w:rPr>
      </w:pPr>
      <w:r>
        <w:rPr>
          <w:rFonts w:hint="eastAsia"/>
        </w:rPr>
        <w:t>为确保数据得到适当级别的保护，对服务数据进行分类和分级管理：</w:t>
      </w:r>
    </w:p>
    <w:p>
      <w:pPr>
        <w:bidi w:val="0"/>
        <w:rPr>
          <w:rFonts w:hint="eastAsia"/>
        </w:rPr>
      </w:pPr>
      <w:r>
        <w:drawing>
          <wp:inline distT="0" distB="0" distL="114300" distR="114300">
            <wp:extent cx="6182995" cy="2700020"/>
            <wp:effectExtent l="0" t="0" r="825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rPr>
          <w:rFonts w:hint="eastAsia"/>
        </w:rPr>
      </w:pPr>
      <w:bookmarkStart w:id="6" w:name="_Toc1126"/>
      <w:r>
        <w:rPr>
          <w:rFonts w:hint="eastAsia"/>
        </w:rPr>
        <w:t>6. 数据全生命周期管理</w:t>
      </w:r>
      <w:bookmarkEnd w:id="6"/>
    </w:p>
    <w:p>
      <w:pPr>
        <w:pStyle w:val="Heading2"/>
        <w:bidi w:val="0"/>
        <w:rPr>
          <w:rFonts w:hint="eastAsia"/>
        </w:rPr>
      </w:pPr>
      <w:bookmarkStart w:id="7" w:name="_Toc7790"/>
      <w:r>
        <w:rPr>
          <w:rFonts w:hint="eastAsia"/>
        </w:rPr>
        <w:t>6.1 数据采集与创建</w:t>
      </w:r>
      <w:bookmarkEnd w:id="7"/>
    </w:p>
    <w:p>
      <w:pPr>
        <w:bidi w:val="0"/>
        <w:rPr>
          <w:rFonts w:hint="eastAsia"/>
        </w:rPr>
      </w:pPr>
      <w:r>
        <w:rPr>
          <w:rFonts w:hint="eastAsia"/>
        </w:rPr>
        <w:t>数据采集必须遵循“最小化”原则，仅收集服务所必需的数据。</w:t>
      </w:r>
    </w:p>
    <w:p>
      <w:pPr>
        <w:bidi w:val="0"/>
        <w:rPr>
          <w:rFonts w:hint="eastAsia"/>
        </w:rPr>
      </w:pPr>
      <w:r>
        <w:rPr>
          <w:rFonts w:hint="eastAsia"/>
        </w:rPr>
        <w:t>所有服务过程数据应在运维管理平台（如禅道）中及时、准确地创建。</w:t>
      </w:r>
    </w:p>
    <w:p>
      <w:pPr>
        <w:pStyle w:val="Heading2"/>
        <w:bidi w:val="0"/>
        <w:rPr>
          <w:rFonts w:hint="eastAsia"/>
        </w:rPr>
      </w:pPr>
      <w:bookmarkStart w:id="8" w:name="_Toc17851"/>
      <w:r>
        <w:rPr>
          <w:rFonts w:hint="eastAsia"/>
        </w:rPr>
        <w:t>6.2 数据存储与传输</w:t>
      </w:r>
      <w:bookmarkEnd w:id="8"/>
    </w:p>
    <w:p>
      <w:pPr>
        <w:bidi w:val="0"/>
        <w:rPr>
          <w:rFonts w:hint="eastAsia"/>
        </w:rPr>
      </w:pPr>
      <w:r>
        <w:rPr>
          <w:rFonts w:hint="eastAsia"/>
        </w:rPr>
        <w:t>存储加密： 高度敏感的客户业务数据在存储时必须进行加密。</w:t>
      </w:r>
    </w:p>
    <w:p>
      <w:pPr>
        <w:bidi w:val="0"/>
        <w:rPr>
          <w:rFonts w:hint="eastAsia"/>
        </w:rPr>
      </w:pPr>
      <w:r>
        <w:rPr>
          <w:rFonts w:hint="eastAsia"/>
        </w:rPr>
        <w:t>访问控制： 依据“最小权限原则”分配数据访问权限，严格管理管理员账户。</w:t>
      </w:r>
    </w:p>
    <w:p>
      <w:pPr>
        <w:bidi w:val="0"/>
        <w:rPr>
          <w:rFonts w:hint="eastAsia"/>
        </w:rPr>
      </w:pPr>
      <w:r>
        <w:rPr>
          <w:rFonts w:hint="eastAsia"/>
        </w:rPr>
        <w:t>传输安全： 通过公网传输敏感数据时，必须使用加密通道（如HTTPS, VPN）。</w:t>
      </w:r>
    </w:p>
    <w:p>
      <w:pPr>
        <w:pStyle w:val="Heading2"/>
        <w:bidi w:val="0"/>
        <w:rPr>
          <w:rFonts w:hint="eastAsia"/>
        </w:rPr>
      </w:pPr>
      <w:bookmarkStart w:id="9" w:name="_Toc18003"/>
      <w:r>
        <w:rPr>
          <w:rFonts w:hint="eastAsia"/>
        </w:rPr>
        <w:t>6.3 数据使用与分析</w:t>
      </w:r>
      <w:bookmarkEnd w:id="9"/>
    </w:p>
    <w:p>
      <w:pPr>
        <w:bidi w:val="0"/>
        <w:rPr>
          <w:rFonts w:hint="eastAsia"/>
        </w:rPr>
      </w:pPr>
      <w:r>
        <w:rPr>
          <w:rFonts w:hint="eastAsia"/>
        </w:rPr>
        <w:t>脱敏处理： 在测试、开发或演示环境中使用的生产数据，必须进行脱敏处理。</w:t>
      </w:r>
    </w:p>
    <w:p>
      <w:pPr>
        <w:bidi w:val="0"/>
        <w:rPr>
          <w:rFonts w:hint="eastAsia"/>
        </w:rPr>
      </w:pPr>
      <w:r>
        <w:rPr>
          <w:rFonts w:hint="eastAsia"/>
        </w:rPr>
        <w:t>合规使用： 禁止将服务数据用于与服务无关的用途，严禁私自复制、传播客户业务数据。</w:t>
      </w:r>
    </w:p>
    <w:p>
      <w:pPr>
        <w:bidi w:val="0"/>
        <w:rPr>
          <w:rFonts w:hint="eastAsia"/>
        </w:rPr>
      </w:pPr>
      <w:r>
        <w:rPr>
          <w:rFonts w:hint="eastAsia"/>
        </w:rPr>
        <w:t>数据分析： 鼓励对服务绩效数据、运行数据进行分析，以识别改进机会，生成《服务数据统计分析报告》。</w:t>
      </w:r>
    </w:p>
    <w:p>
      <w:pPr>
        <w:pStyle w:val="Heading2"/>
        <w:bidi w:val="0"/>
        <w:rPr>
          <w:rFonts w:hint="eastAsia"/>
        </w:rPr>
      </w:pPr>
      <w:bookmarkStart w:id="10" w:name="_Toc7424"/>
      <w:r>
        <w:rPr>
          <w:rFonts w:hint="eastAsia"/>
        </w:rPr>
        <w:t>6.4 数据归档与销毁</w:t>
      </w:r>
      <w:bookmarkEnd w:id="10"/>
    </w:p>
    <w:p>
      <w:pPr>
        <w:bidi w:val="0"/>
        <w:rPr>
          <w:rFonts w:hint="eastAsia"/>
        </w:rPr>
      </w:pPr>
      <w:r>
        <w:rPr>
          <w:rFonts w:hint="eastAsia"/>
        </w:rPr>
        <w:t>归档： 对于超过保存期限的活跃数据，应将其迁移至归档数据库或备份系统，并确保可检索。</w:t>
      </w:r>
    </w:p>
    <w:p>
      <w:pPr>
        <w:bidi w:val="0"/>
        <w:rPr>
          <w:rFonts w:hint="eastAsia"/>
        </w:rPr>
      </w:pPr>
      <w:r>
        <w:rPr>
          <w:rFonts w:hint="eastAsia"/>
        </w:rPr>
        <w:t>销毁： 数据销毁必须彻底且不可恢复。物理存储介质销毁需保留记录。</w:t>
      </w:r>
    </w:p>
    <w:p>
      <w:pPr>
        <w:bidi w:val="0"/>
        <w:rPr>
          <w:rFonts w:hint="eastAsia"/>
        </w:rPr>
      </w:pPr>
      <w:r>
        <w:rPr>
          <w:rFonts w:hint="eastAsia"/>
        </w:rPr>
        <w:t>保存期限： 服务过程数据保存期限不少于2年；系统日志数据保存期限不少于6个月。具体期限应在《服务水平协议（SLA）》中明确。</w:t>
      </w:r>
    </w:p>
    <w:p>
      <w:pPr>
        <w:bidi w:val="0"/>
        <w:rPr>
          <w:rFonts w:hint="eastAsia"/>
        </w:rPr>
      </w:pPr>
    </w:p>
    <w:p>
      <w:pPr>
        <w:pStyle w:val="Heading1"/>
        <w:bidi w:val="0"/>
        <w:rPr>
          <w:rFonts w:hint="eastAsia"/>
        </w:rPr>
      </w:pPr>
      <w:bookmarkStart w:id="11" w:name="_Toc7114"/>
      <w:r>
        <w:rPr>
          <w:rFonts w:hint="eastAsia"/>
        </w:rPr>
        <w:t>7. 数据安全与保密</w:t>
      </w:r>
      <w:bookmarkEnd w:id="11"/>
    </w:p>
    <w:p>
      <w:pPr>
        <w:bidi w:val="0"/>
        <w:rPr>
          <w:rFonts w:hint="eastAsia"/>
        </w:rPr>
      </w:pPr>
      <w:r>
        <w:rPr>
          <w:rFonts w:hint="eastAsia"/>
        </w:rPr>
        <w:t>所有员工入职时应签署《保密协议》。</w:t>
      </w:r>
    </w:p>
    <w:p>
      <w:pPr>
        <w:bidi w:val="0"/>
        <w:rPr>
          <w:rFonts w:hint="eastAsia"/>
        </w:rPr>
      </w:pPr>
      <w:r>
        <w:rPr>
          <w:rFonts w:hint="eastAsia"/>
        </w:rPr>
        <w:t>定期对员工进行数据安全与隐私保护培训。</w:t>
      </w:r>
    </w:p>
    <w:p>
      <w:pPr>
        <w:bidi w:val="0"/>
        <w:rPr>
          <w:rFonts w:hint="eastAsia"/>
        </w:rPr>
      </w:pPr>
      <w:r>
        <w:rPr>
          <w:rFonts w:hint="eastAsia"/>
        </w:rPr>
        <w:t>发生数据泄露事件时，应立即启动《信息安全事件管理程序》。</w:t>
      </w:r>
    </w:p>
    <w:p>
      <w:pPr>
        <w:pStyle w:val="Heading1"/>
        <w:bidi w:val="0"/>
        <w:rPr>
          <w:rFonts w:hint="eastAsia"/>
        </w:rPr>
      </w:pPr>
      <w:bookmarkStart w:id="12" w:name="_Toc12909"/>
      <w:r>
        <w:rPr>
          <w:rFonts w:hint="eastAsia"/>
        </w:rPr>
        <w:t>8. 附则</w:t>
      </w:r>
      <w:bookmarkEnd w:id="12"/>
    </w:p>
    <w:p>
      <w:pPr>
        <w:pStyle w:val="Heading2"/>
        <w:bidi w:val="0"/>
        <w:rPr>
          <w:rFonts w:hint="eastAsia"/>
        </w:rPr>
      </w:pPr>
      <w:bookmarkStart w:id="13" w:name="_Toc9012"/>
      <w:r>
        <w:rPr>
          <w:rFonts w:hint="eastAsia"/>
        </w:rPr>
        <w:t>8.1 生效日期</w:t>
      </w:r>
      <w:bookmarkEnd w:id="13"/>
    </w:p>
    <w:p>
      <w:pPr>
        <w:bidi w:val="0"/>
        <w:rPr>
          <w:rFonts w:hint="eastAsia"/>
        </w:rPr>
      </w:pPr>
      <w:r>
        <w:rPr>
          <w:rFonts w:hint="eastAsia"/>
        </w:rPr>
        <w:t>本制度自批准发布之日起正式生效。</w:t>
      </w:r>
    </w:p>
    <w:p>
      <w:pPr>
        <w:pStyle w:val="Heading2"/>
        <w:bidi w:val="0"/>
        <w:rPr>
          <w:rFonts w:hint="eastAsia"/>
        </w:rPr>
      </w:pPr>
      <w:bookmarkStart w:id="14" w:name="_Toc10683"/>
      <w:r>
        <w:rPr>
          <w:rFonts w:hint="eastAsia"/>
        </w:rPr>
        <w:t>8.2 解释权</w:t>
      </w:r>
      <w:bookmarkEnd w:id="14"/>
    </w:p>
    <w:p>
      <w:pPr>
        <w:bidi w:val="0"/>
        <w:rPr>
          <w:rFonts w:hint="eastAsia"/>
        </w:rPr>
      </w:pPr>
      <w:r>
        <w:rPr>
          <w:rFonts w:hint="eastAsia"/>
        </w:rPr>
        <w:t>本制度的最终解释权归甘肃国邦信息科技有限公司运维部所有。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附件：</w:t>
      </w:r>
    </w:p>
    <w:p>
      <w:pPr>
        <w:bidi w:val="0"/>
        <w:rPr>
          <w:rFonts w:hint="eastAsia"/>
        </w:rPr>
      </w:pPr>
      <w:r>
        <w:rPr>
          <w:rFonts w:hint="eastAsia"/>
        </w:rPr>
        <w:t>《数据分类分级清单》</w:t>
      </w:r>
    </w:p>
    <w:p>
      <w:pPr>
        <w:bidi w:val="0"/>
        <w:rPr>
          <w:rFonts w:hint="eastAsia"/>
        </w:rPr>
      </w:pPr>
      <w:r>
        <w:rPr>
          <w:rFonts w:hint="eastAsia"/>
        </w:rPr>
        <w:t>《数据备份与恢复记录表》</w:t>
      </w:r>
    </w:p>
    <w:p>
      <w:pPr>
        <w:bidi w:val="0"/>
      </w:pPr>
      <w:r>
        <w:rPr>
          <w:rFonts w:hint="eastAsia"/>
        </w:rPr>
        <w:t>《数据销毁记录表》</w:t>
      </w:r>
    </w:p>
    <w:sectPr>
      <w:footerReference w:type="default" r:id="rId10"/>
      <w:pgSz w:w="11906" w:h="16838"/>
      <w:pgMar w:top="1440" w:right="1080" w:bottom="1440" w:left="1080" w:header="851" w:footer="992" w:gutter="0"/>
      <w:pgNumType w:fmt="decimal" w:start="1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4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distribute"/>
    </w:pPr>
    <w:r>
      <w:rPr>
        <w:rFonts w:asciiTheme="minorEastAsia" w:eastAsiaTheme="minorEastAsia" w:hAnsiTheme="minorEastAsia" w:hint="eastAsia"/>
        <w:szCs w:val="24"/>
      </w:rPr>
      <w:t xml:space="preserve">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">
    <w:nsid w:val="3C1D5901"/>
    <w:multiLevelType w:val="multilevel"/>
    <w:tmpl w:val="3C1D5901"/>
    <w:lvl w:ilvl="0">
      <w:start w:val="1"/>
      <w:numFmt w:val="decimal"/>
      <w:pStyle w:val="B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TrackMove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Y2NTkyOGM2YjI2OTQwZmM2MmQxMjNhNGM5MGQ4MGQ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uiPriority="0" w:unhideWhenUsed="0" w:qFormat="1"/>
    <w:lsdException w:name="footer" w:semiHidden="0" w:unhideWhenUsed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 w:semiHidden="0" w:uiPriority="0" w:unhideWhenUsed="0" w:qFormat="1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0" w:unhideWhenUsed="0" w:qFormat="1"/>
    <w:lsdException w:name="Closing"/>
    <w:lsdException w:name="Signature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 w:qFormat="1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0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/>
    <w:lsdException w:name="Strong" w:semiHidden="0" w:uiPriority="0" w:unhideWhenUsed="0" w:qFormat="1"/>
    <w:lsdException w:name="Emphasis" w:semiHidden="0" w:uiPriority="20" w:unhideWhenUsed="0" w:qFormat="1"/>
    <w:lsdException w:name="Document Map" w:qFormat="1"/>
    <w:lsdException w:name="Plain Text"/>
    <w:lsdException w:name="E-mail Signature"/>
    <w:lsdException w:name="Normal (Web)" w:semiHidden="0" w:unhideWhenUsed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uiPriority="0" w:unhideWhenUsed="0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spacing w:line="360" w:lineRule="auto"/>
      <w:ind w:firstLine="480" w:firstLineChars="200"/>
      <w:jc w:val="both"/>
    </w:pPr>
    <w:rPr>
      <w:rFonts w:ascii="Calibri" w:eastAsia="宋体" w:hAnsi="Calibri" w:cs="Arial"/>
      <w:kern w:val="2"/>
      <w:sz w:val="24"/>
      <w:szCs w:val="22"/>
      <w:lang w:val="en-US" w:eastAsia="zh-CN" w:bidi="ar-SA"/>
    </w:rPr>
  </w:style>
  <w:style w:type="paragraph" w:styleId="Heading1">
    <w:name w:val="heading 1"/>
    <w:basedOn w:val="Normal"/>
    <w:next w:val="Normal"/>
    <w:autoRedefine/>
    <w:qFormat/>
    <w:pPr>
      <w:keepNext/>
      <w:keepLines/>
      <w:spacing w:before="100" w:after="90" w:line="480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0" w:after="20" w:line="360" w:lineRule="auto"/>
      <w:outlineLvl w:val="1"/>
    </w:pPr>
    <w:rPr>
      <w:rFonts w:ascii="Cambria" w:eastAsia="黑体" w:hAnsi="Cambria" w:cs="Times New Roman"/>
      <w:b/>
      <w:bCs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5" w:lineRule="auto"/>
      <w:outlineLvl w:val="2"/>
    </w:pPr>
    <w:rPr>
      <w:rFonts w:eastAsia="黑体"/>
      <w:b/>
      <w:bCs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7" w:lineRule="auto"/>
      <w:outlineLvl w:val="3"/>
    </w:pPr>
    <w:rPr>
      <w:rFonts w:ascii="Cambria" w:hAnsi="Cambria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qFormat/>
    <w:pPr>
      <w:widowControl/>
      <w:numPr>
        <w:ilvl w:val="0"/>
        <w:numId w:val="1"/>
      </w:numPr>
      <w:spacing w:after="200" w:line="252" w:lineRule="auto"/>
      <w:contextualSpacing/>
      <w:jc w:val="left"/>
    </w:pPr>
    <w:rPr>
      <w:rFonts w:ascii="Cambria" w:hAnsi="Cambria" w:cs="Times New Roman"/>
      <w:kern w:val="0"/>
      <w:sz w:val="22"/>
      <w:lang w:eastAsia="en-US" w:bidi="en-US"/>
    </w:rPr>
  </w:style>
  <w:style w:type="paragraph" w:styleId="DocumentMap">
    <w:name w:val="Document Map"/>
    <w:basedOn w:val="Normal"/>
    <w:link w:val="a1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BodyText">
    <w:name w:val="Body Text"/>
    <w:basedOn w:val="Normal"/>
    <w:autoRedefine/>
    <w:qFormat/>
    <w:pPr>
      <w:spacing w:after="120"/>
    </w:pPr>
  </w:style>
  <w:style w:type="paragraph" w:styleId="BodyTextIndent">
    <w:name w:val="Body Text Indent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qFormat/>
    <w:pPr>
      <w:tabs>
        <w:tab w:val="right" w:leader="dot" w:pos="8364"/>
      </w:tabs>
      <w:ind w:left="400" w:leftChars="400"/>
    </w:pPr>
    <w:rPr>
      <w:rFonts w:eastAsia="微软雅黑"/>
    </w:rPr>
  </w:style>
  <w:style w:type="paragraph" w:styleId="BalloonText">
    <w:name w:val="Balloon Text"/>
    <w:basedOn w:val="Normal"/>
    <w:autoRedefine/>
    <w:qFormat/>
    <w:rPr>
      <w:sz w:val="18"/>
      <w:szCs w:val="18"/>
    </w:rPr>
  </w:style>
  <w:style w:type="paragraph" w:styleId="Footer">
    <w:name w:val="footer"/>
    <w:basedOn w:val="Normal"/>
    <w:link w:val="a0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  <w:pPr>
      <w:spacing w:before="120" w:after="120"/>
      <w:jc w:val="left"/>
    </w:pPr>
    <w:rPr>
      <w:rFonts w:cs="黑体"/>
      <w:b/>
      <w:bCs/>
      <w:caps/>
      <w:sz w:val="20"/>
      <w:szCs w:val="20"/>
    </w:rPr>
  </w:style>
  <w:style w:type="paragraph" w:styleId="Subtitle">
    <w:name w:val="Subtitle"/>
    <w:basedOn w:val="Normal"/>
    <w:next w:val="Normal"/>
    <w:autoRedefine/>
    <w:qFormat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TOC2">
    <w:name w:val="toc 2"/>
    <w:basedOn w:val="Normal"/>
    <w:next w:val="Normal"/>
    <w:autoRedefine/>
    <w:uiPriority w:val="39"/>
    <w:qFormat/>
    <w:pPr>
      <w:ind w:left="210"/>
      <w:jc w:val="left"/>
    </w:pPr>
    <w:rPr>
      <w:rFonts w:cs="黑体"/>
      <w:smallCaps/>
      <w:sz w:val="20"/>
      <w:szCs w:val="20"/>
    </w:rPr>
  </w:style>
  <w:style w:type="paragraph" w:styleId="NormalWeb">
    <w:name w:val="Normal (Web)"/>
    <w:basedOn w:val="Normal"/>
    <w:autoRedefine/>
    <w:uiPriority w:val="99"/>
    <w:qFormat/>
    <w:pPr>
      <w:spacing w:line="360" w:lineRule="auto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autoRedefine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character" w:styleId="Strong">
    <w:name w:val="Strong"/>
    <w:autoRedefine/>
    <w:qFormat/>
    <w:rPr>
      <w:b/>
      <w:bCs/>
    </w:rPr>
  </w:style>
  <w:style w:type="character" w:styleId="Hyperlink">
    <w:name w:val="Hyperlink"/>
    <w:basedOn w:val="DefaultParagraphFont"/>
    <w:autoRedefine/>
    <w:uiPriority w:val="99"/>
    <w:qFormat/>
    <w:rPr>
      <w:color w:val="0000FF"/>
      <w:u w:val="single"/>
    </w:rPr>
  </w:style>
  <w:style w:type="paragraph" w:customStyle="1" w:styleId="1">
    <w:name w:val="列出段落1"/>
    <w:basedOn w:val="Normal"/>
    <w:autoRedefine/>
    <w:qFormat/>
    <w:pPr>
      <w:ind w:firstLine="200" w:firstLineChars="200"/>
    </w:pPr>
  </w:style>
  <w:style w:type="paragraph" w:customStyle="1" w:styleId="10">
    <w:name w:val="纯文本1"/>
    <w:basedOn w:val="Normal"/>
    <w:autoRedefine/>
    <w:qFormat/>
    <w:pPr>
      <w:spacing w:before="60" w:after="60"/>
    </w:pPr>
    <w:rPr>
      <w:rFonts w:ascii="宋体"/>
      <w:szCs w:val="21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a">
    <w:name w:val="普通文本"/>
    <w:basedOn w:val="Normal"/>
    <w:autoRedefine/>
    <w:qFormat/>
    <w:pPr>
      <w:autoSpaceDE w:val="0"/>
      <w:autoSpaceDN w:val="0"/>
      <w:adjustRightInd w:val="0"/>
    </w:pPr>
    <w:rPr>
      <w:rFonts w:ascii="宋体" w:cs="宋体"/>
      <w:szCs w:val="21"/>
    </w:rPr>
  </w:style>
  <w:style w:type="paragraph" w:customStyle="1" w:styleId="11">
    <w:name w:val="无间隔1"/>
    <w:autoRedefine/>
    <w:qFormat/>
    <w:rPr>
      <w:rFonts w:ascii="Calibri" w:eastAsia="宋体" w:hAnsi="Calibri" w:cs="Arial"/>
      <w:kern w:val="2"/>
      <w:sz w:val="22"/>
      <w:szCs w:val="22"/>
      <w:lang w:val="en-US" w:eastAsia="zh-CN" w:bidi="ar-SA"/>
    </w:rPr>
  </w:style>
  <w:style w:type="paragraph" w:styleId="ListParagraph">
    <w:name w:val="List Paragraph"/>
    <w:basedOn w:val="Normal"/>
    <w:autoRedefine/>
    <w:uiPriority w:val="34"/>
    <w:qFormat/>
    <w:pPr>
      <w:ind w:firstLine="420" w:firstLineChars="200"/>
    </w:p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rFonts w:ascii="Calibri" w:hAnsi="Calibri" w:cs="Arial"/>
      <w:kern w:val="2"/>
      <w:sz w:val="18"/>
      <w:szCs w:val="18"/>
    </w:rPr>
  </w:style>
  <w:style w:type="paragraph" w:customStyle="1" w:styleId="3">
    <w:name w:val="标题3"/>
    <w:basedOn w:val="Normal"/>
    <w:autoRedefine/>
    <w:qFormat/>
    <w:pPr>
      <w:spacing w:line="360" w:lineRule="auto"/>
      <w:jc w:val="left"/>
      <w:outlineLvl w:val="2"/>
    </w:pPr>
    <w:rPr>
      <w:rFonts w:ascii="宋体" w:hAnsi="宋体" w:cs="Times New Roman"/>
      <w:b/>
      <w:sz w:val="24"/>
      <w:szCs w:val="24"/>
    </w:rPr>
  </w:style>
  <w:style w:type="character" w:customStyle="1" w:styleId="a1">
    <w:name w:val="文档结构图 字符"/>
    <w:basedOn w:val="DefaultParagraphFont"/>
    <w:link w:val="DocumentMap"/>
    <w:autoRedefine/>
    <w:uiPriority w:val="99"/>
    <w:semiHidden/>
    <w:qFormat/>
    <w:rPr>
      <w:rFonts w:ascii="宋体" w:hAnsi="Calibri" w:cs="Arial"/>
      <w:kern w:val="2"/>
      <w:sz w:val="18"/>
      <w:szCs w:val="18"/>
    </w:rPr>
  </w:style>
  <w:style w:type="paragraph" w:customStyle="1" w:styleId="B1">
    <w:name w:val="首页B1"/>
    <w:basedOn w:val="Normal"/>
    <w:autoRedefine/>
    <w:qFormat/>
    <w:pPr>
      <w:numPr>
        <w:ilvl w:val="0"/>
        <w:numId w:val="2"/>
      </w:numPr>
      <w:spacing w:before="120" w:after="120" w:line="288" w:lineRule="auto"/>
    </w:pPr>
    <w:rPr>
      <w:rFonts w:ascii="Times New Roman" w:hAnsi="Times New Roman" w:cs="Times New Roman"/>
      <w:b/>
      <w:sz w:val="28"/>
      <w:szCs w:val="24"/>
    </w:rPr>
  </w:style>
  <w:style w:type="paragraph" w:customStyle="1" w:styleId="a2">
    <w:name w:val="表头"/>
    <w:basedOn w:val="Normal"/>
    <w:autoRedefine/>
    <w:qFormat/>
    <w:pPr>
      <w:spacing w:line="520" w:lineRule="exact"/>
      <w:jc w:val="center"/>
    </w:pPr>
    <w:rPr>
      <w:rFonts w:ascii="黑体" w:eastAsia="黑体" w:hAnsi="微软雅黑"/>
      <w:sz w:val="24"/>
      <w:szCs w:val="24"/>
    </w:rPr>
  </w:style>
  <w:style w:type="paragraph" w:customStyle="1" w:styleId="a3">
    <w:name w:val="表内容居中"/>
    <w:basedOn w:val="Normal"/>
    <w:autoRedefine/>
    <w:qFormat/>
    <w:pPr>
      <w:spacing w:line="520" w:lineRule="exact"/>
      <w:jc w:val="center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060F119-CC37-4C33-B93E-6D940C8209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2686</Words>
  <Characters>2809</Characters>
  <Application>Microsoft Office Word</Application>
  <DocSecurity>0</DocSecurity>
  <Lines>28</Lines>
  <Paragraphs>8</Paragraphs>
  <ScaleCrop>false</ScaleCrop>
  <Company>Microsoft</Company>
  <LinksUpToDate>false</LinksUpToDate>
  <CharactersWithSpaces>2899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高</cp:lastModifiedBy>
  <cp:revision>19</cp:revision>
  <dcterms:created xsi:type="dcterms:W3CDTF">2019-03-06T01:57:00Z</dcterms:created>
  <dcterms:modified xsi:type="dcterms:W3CDTF">2025-11-27T10:48:40Z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297D89740FB94E80938912CC945452D8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