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ind w:firstLine="0" w:firstLineChars="0"/>
        <w:jc w:val="center"/>
        <w:rPr>
          <w:b/>
          <w:sz w:val="48"/>
          <w:szCs w:val="48"/>
        </w:rPr>
      </w:pPr>
      <w:r>
        <w:rPr>
          <w:rFonts w:ascii="微软雅黑" w:eastAsia="微软雅黑" w:hAnsi="微软雅黑" w:cs="微软雅黑" w:hint="eastAsi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-1233805</wp:posOffset>
            </wp:positionH>
            <wp:positionV relativeFrom="paragraph">
              <wp:posOffset>-1224915</wp:posOffset>
            </wp:positionV>
            <wp:extent cx="7776210" cy="11254105"/>
            <wp:effectExtent l="0" t="0" r="15240" b="444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6210" cy="11254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ind w:firstLine="0" w:firstLineChars="0"/>
        <w:jc w:val="center"/>
        <w:rPr>
          <w:b/>
          <w:sz w:val="48"/>
          <w:szCs w:val="48"/>
        </w:rPr>
      </w:pPr>
    </w:p>
    <w:p>
      <w:pPr>
        <w:ind w:firstLine="0" w:firstLineChars="0"/>
        <w:jc w:val="center"/>
        <w:rPr>
          <w:b/>
          <w:sz w:val="48"/>
          <w:szCs w:val="48"/>
        </w:rPr>
      </w:pPr>
    </w:p>
    <w:p>
      <w:pPr>
        <w:ind w:firstLine="0" w:firstLineChars="0"/>
        <w:jc w:val="center"/>
        <w:rPr>
          <w:b/>
          <w:sz w:val="48"/>
          <w:szCs w:val="48"/>
        </w:rPr>
      </w:pPr>
    </w:p>
    <w:p>
      <w:pPr>
        <w:ind w:firstLine="0" w:firstLineChars="0"/>
        <w:jc w:val="center"/>
        <w:rPr>
          <w:rFonts w:ascii="微软雅黑" w:eastAsia="微软雅黑" w:hAnsi="微软雅黑" w:cs="微软雅黑" w:hint="eastAsia"/>
          <w:b/>
          <w:bCs/>
          <w:sz w:val="52"/>
          <w:szCs w:val="52"/>
          <w:lang w:val="en-US" w:eastAsia="zh-CN"/>
        </w:rPr>
      </w:pPr>
    </w:p>
    <w:p>
      <w:pPr>
        <w:ind w:firstLine="0" w:firstLineChars="0"/>
        <w:jc w:val="center"/>
        <w:rPr>
          <w:rFonts w:ascii="微软雅黑" w:eastAsia="微软雅黑" w:hAnsi="微软雅黑" w:cs="微软雅黑" w:hint="eastAsia"/>
          <w:b/>
          <w:bCs/>
          <w:sz w:val="52"/>
          <w:szCs w:val="52"/>
          <w:lang w:val="en-US" w:eastAsia="zh-CN"/>
        </w:rPr>
      </w:pPr>
      <w:r>
        <w:rPr>
          <w:rFonts w:ascii="微软雅黑" w:eastAsia="微软雅黑" w:hAnsi="微软雅黑" w:cs="微软雅黑" w:hint="eastAsia"/>
          <w:b/>
          <w:bCs/>
          <w:sz w:val="52"/>
          <w:szCs w:val="52"/>
          <w:lang w:val="en-US" w:eastAsia="zh-CN"/>
        </w:rPr>
        <w:t>甘肃国邦信息科技有限公司</w:t>
      </w:r>
    </w:p>
    <w:p>
      <w:pPr>
        <w:ind w:firstLine="0" w:firstLineChars="0"/>
        <w:jc w:val="center"/>
        <w:rPr>
          <w:rFonts w:ascii="微软雅黑" w:eastAsia="微软雅黑" w:hAnsi="微软雅黑" w:cs="微软雅黑" w:hint="eastAsia"/>
          <w:b/>
          <w:bCs/>
          <w:sz w:val="52"/>
          <w:szCs w:val="52"/>
          <w:lang w:val="en-US" w:eastAsia="zh-CN"/>
        </w:rPr>
      </w:pPr>
    </w:p>
    <w:p>
      <w:pPr>
        <w:ind w:firstLine="0" w:firstLineChars="0"/>
        <w:jc w:val="center"/>
        <w:rPr>
          <w:rFonts w:eastAsia="宋体" w:hint="eastAsia"/>
          <w:b/>
          <w:sz w:val="48"/>
          <w:szCs w:val="48"/>
          <w:lang w:eastAsia="zh-CN"/>
        </w:rPr>
      </w:pPr>
      <w:r>
        <w:rPr>
          <w:rFonts w:hint="eastAsia"/>
          <w:b/>
          <w:sz w:val="48"/>
          <w:szCs w:val="48"/>
          <w:lang w:val="en-US" w:eastAsia="zh-CN"/>
        </w:rPr>
        <w:t>备品备件</w:t>
      </w:r>
      <w:r>
        <w:rPr>
          <w:rFonts w:hint="eastAsia"/>
          <w:b/>
          <w:sz w:val="48"/>
          <w:szCs w:val="48"/>
          <w:lang w:eastAsia="zh-CN"/>
        </w:rPr>
        <w:t>应用情况说明</w:t>
      </w:r>
    </w:p>
    <w:p>
      <w:pPr>
        <w:ind w:firstLine="0" w:firstLineChars="0"/>
        <w:jc w:val="center"/>
        <w:rPr>
          <w:b/>
          <w:sz w:val="48"/>
          <w:szCs w:val="48"/>
        </w:rPr>
      </w:pPr>
    </w:p>
    <w:p>
      <w:pPr>
        <w:spacing w:after="156" w:afterLines="50"/>
        <w:ind w:firstLine="0" w:firstLineChars="0"/>
        <w:jc w:val="center"/>
        <w:rPr>
          <w:rFonts w:eastAsia="宋体" w:hint="default"/>
          <w:b/>
          <w:bCs/>
          <w:sz w:val="36"/>
          <w:szCs w:val="36"/>
          <w:lang w:val="en-US" w:eastAsia="zh-CN"/>
        </w:rPr>
      </w:pPr>
      <w:r>
        <w:rPr>
          <w:rFonts w:ascii="宋体" w:eastAsia="宋体" w:hAnsi="宋体" w:cs="宋体" w:hint="eastAsia"/>
          <w:b/>
          <w:bCs/>
          <w:sz w:val="36"/>
          <w:szCs w:val="36"/>
          <w:lang w:val="en-US" w:eastAsia="zh-CN"/>
        </w:rPr>
        <w:t>GSGB-ITSS-</w:t>
      </w:r>
      <w:r>
        <w:rPr>
          <w:rFonts w:ascii="宋体" w:hAnsi="宋体" w:cs="宋体" w:hint="eastAsia"/>
          <w:b/>
          <w:bCs/>
          <w:sz w:val="36"/>
          <w:szCs w:val="36"/>
          <w:lang w:val="en-US" w:eastAsia="zh-CN"/>
        </w:rPr>
        <w:t>10</w:t>
      </w:r>
      <w:r>
        <w:rPr>
          <w:rFonts w:ascii="宋体" w:eastAsia="宋体" w:hAnsi="宋体" w:cs="宋体" w:hint="eastAsia"/>
          <w:b/>
          <w:bCs/>
          <w:sz w:val="36"/>
          <w:szCs w:val="36"/>
          <w:lang w:val="en-US" w:eastAsia="zh-CN"/>
        </w:rPr>
        <w:t>-0</w:t>
      </w:r>
      <w:r>
        <w:rPr>
          <w:rFonts w:ascii="宋体" w:hAnsi="宋体" w:cs="宋体" w:hint="eastAsia"/>
          <w:b/>
          <w:bCs/>
          <w:sz w:val="36"/>
          <w:szCs w:val="36"/>
          <w:lang w:val="en-US" w:eastAsia="zh-CN"/>
        </w:rPr>
        <w:t>2</w:t>
      </w:r>
    </w:p>
    <w:p>
      <w:pPr>
        <w:spacing w:after="156" w:afterLines="50"/>
        <w:ind w:firstLine="0" w:firstLineChars="0"/>
        <w:rPr>
          <w:sz w:val="36"/>
          <w:szCs w:val="36"/>
        </w:rPr>
      </w:pPr>
    </w:p>
    <w:p>
      <w:pPr>
        <w:spacing w:after="156" w:afterLines="50"/>
        <w:ind w:firstLine="0" w:firstLineChars="0"/>
        <w:rPr>
          <w:sz w:val="36"/>
          <w:szCs w:val="36"/>
        </w:rPr>
      </w:pPr>
    </w:p>
    <w:p>
      <w:pPr>
        <w:spacing w:after="156" w:afterLines="50"/>
        <w:ind w:firstLine="0" w:firstLineChars="0"/>
        <w:rPr>
          <w:sz w:val="36"/>
          <w:szCs w:val="36"/>
        </w:rPr>
      </w:pPr>
    </w:p>
    <w:p>
      <w:pPr>
        <w:tabs>
          <w:tab w:val="left" w:pos="0"/>
        </w:tabs>
        <w:spacing w:line="1000" w:lineRule="exact"/>
        <w:ind w:firstLine="1200" w:firstLineChars="500"/>
        <w:jc w:val="left"/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拟制</w:t>
      </w:r>
      <w:r>
        <w:rPr>
          <w:rFonts w:hint="eastAsia"/>
          <w:sz w:val="32"/>
          <w:szCs w:val="32"/>
          <w:lang w:eastAsia="zh-CN"/>
        </w:rPr>
        <w:t>人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  <w:u w:val="single"/>
        </w:rPr>
        <w:t xml:space="preserve">         </w:t>
      </w:r>
      <w:r>
        <w:rPr>
          <w:rFonts w:hint="eastAsia"/>
          <w:sz w:val="32"/>
          <w:szCs w:val="32"/>
          <w:u w:val="single"/>
          <w:lang w:eastAsia="zh-CN"/>
        </w:rPr>
        <w:t>胡葛鹏宇</w:t>
      </w:r>
      <w:r>
        <w:rPr>
          <w:rFonts w:hint="eastAsia"/>
          <w:sz w:val="32"/>
          <w:szCs w:val="32"/>
          <w:u w:val="single"/>
        </w:rPr>
        <w:t xml:space="preserve">            </w:t>
      </w:r>
    </w:p>
    <w:p>
      <w:pPr>
        <w:tabs>
          <w:tab w:val="left" w:pos="0"/>
        </w:tabs>
        <w:spacing w:line="1000" w:lineRule="exact"/>
        <w:ind w:firstLine="1200" w:firstLineChars="500"/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审核</w:t>
      </w:r>
      <w:r>
        <w:rPr>
          <w:rFonts w:hint="eastAsia"/>
          <w:sz w:val="32"/>
          <w:szCs w:val="32"/>
          <w:lang w:eastAsia="zh-CN"/>
        </w:rPr>
        <w:t>人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  <w:u w:val="single"/>
        </w:rPr>
        <w:t xml:space="preserve">         </w:t>
      </w:r>
      <w:r>
        <w:rPr>
          <w:rFonts w:hint="eastAsia"/>
          <w:sz w:val="32"/>
          <w:szCs w:val="32"/>
          <w:u w:val="single"/>
          <w:lang w:val="en-US" w:eastAsia="zh-CN"/>
        </w:rPr>
        <w:t>兰伟东</w:t>
      </w:r>
      <w:r>
        <w:rPr>
          <w:rFonts w:hint="eastAsia"/>
          <w:sz w:val="32"/>
          <w:szCs w:val="32"/>
          <w:u w:val="single"/>
        </w:rPr>
        <w:t xml:space="preserve">            </w:t>
      </w:r>
    </w:p>
    <w:p>
      <w:pPr>
        <w:tabs>
          <w:tab w:val="left" w:pos="0"/>
        </w:tabs>
        <w:spacing w:line="1000" w:lineRule="exact"/>
        <w:ind w:firstLine="1200" w:firstLineChars="500"/>
        <w:jc w:val="left"/>
        <w:rPr>
          <w:rFonts w:hint="eastAsia"/>
          <w:b/>
          <w:sz w:val="32"/>
          <w:szCs w:val="32"/>
        </w:rPr>
      </w:pPr>
      <w:r>
        <w:rPr>
          <w:rFonts w:hint="eastAsia"/>
          <w:sz w:val="32"/>
          <w:szCs w:val="32"/>
        </w:rPr>
        <w:t>批准</w:t>
      </w:r>
      <w:r>
        <w:rPr>
          <w:rFonts w:hint="eastAsia"/>
          <w:sz w:val="32"/>
          <w:szCs w:val="32"/>
          <w:lang w:eastAsia="zh-CN"/>
        </w:rPr>
        <w:t>人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  <w:u w:val="single"/>
        </w:rPr>
        <w:t xml:space="preserve">         赵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鑫            </w:t>
      </w:r>
    </w:p>
    <w:p>
      <w:pPr>
        <w:tabs>
          <w:tab w:val="left" w:pos="0"/>
        </w:tabs>
        <w:spacing w:before="312" w:beforeLines="100" w:after="312" w:afterLines="100"/>
        <w:ind w:firstLine="0" w:firstLineChars="0"/>
        <w:jc w:val="center"/>
        <w:rPr>
          <w:rFonts w:ascii="黑体" w:eastAsia="黑体" w:hint="eastAsia"/>
          <w:sz w:val="36"/>
          <w:szCs w:val="36"/>
        </w:rPr>
      </w:pPr>
    </w:p>
    <w:p>
      <w:pPr>
        <w:tabs>
          <w:tab w:val="left" w:pos="0"/>
        </w:tabs>
        <w:spacing w:before="312" w:beforeLines="100" w:after="312" w:afterLines="100"/>
        <w:ind w:firstLine="0" w:firstLineChars="0"/>
        <w:jc w:val="center"/>
        <w:rPr>
          <w:rFonts w:ascii="黑体" w:eastAsia="黑体" w:hint="eastAsia"/>
          <w:sz w:val="36"/>
          <w:szCs w:val="36"/>
        </w:rPr>
      </w:pPr>
      <w:r>
        <w:rPr>
          <w:rFonts w:ascii="黑体" w:eastAsia="黑体" w:hint="eastAsia"/>
          <w:sz w:val="36"/>
          <w:szCs w:val="36"/>
        </w:rPr>
        <w:t>修改记录</w:t>
      </w:r>
    </w:p>
    <w:tbl>
      <w:tblPr>
        <w:tblStyle w:val="TableNormal"/>
        <w:tblW w:w="4997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1381"/>
        <w:gridCol w:w="1381"/>
        <w:gridCol w:w="1381"/>
        <w:gridCol w:w="1497"/>
        <w:gridCol w:w="1497"/>
      </w:tblGrid>
      <w:tr>
        <w:tblPrEx>
          <w:tblW w:w="4997" w:type="pct"/>
          <w:jc w:val="center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  <w:jc w:val="center"/>
        </w:trPr>
        <w:tc>
          <w:tcPr>
            <w:tcW w:w="810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eastAsia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序号</w:t>
            </w:r>
          </w:p>
        </w:tc>
        <w:tc>
          <w:tcPr>
            <w:tcW w:w="810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eastAsia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新建/修改</w:t>
            </w:r>
          </w:p>
        </w:tc>
        <w:tc>
          <w:tcPr>
            <w:tcW w:w="810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default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拟制人</w:t>
            </w:r>
          </w:p>
        </w:tc>
        <w:tc>
          <w:tcPr>
            <w:tcW w:w="810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default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审核人</w:t>
            </w:r>
          </w:p>
        </w:tc>
        <w:tc>
          <w:tcPr>
            <w:tcW w:w="878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default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批准人</w:t>
            </w:r>
          </w:p>
        </w:tc>
        <w:tc>
          <w:tcPr>
            <w:tcW w:w="878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eastAsia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日期</w:t>
            </w: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1.0</w:t>
            </w:r>
          </w:p>
        </w:tc>
        <w:tc>
          <w:tcPr>
            <w:tcW w:w="810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新建</w:t>
            </w:r>
          </w:p>
        </w:tc>
        <w:tc>
          <w:tcPr>
            <w:tcW w:w="810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胡葛鹏宇</w:t>
            </w:r>
          </w:p>
        </w:tc>
        <w:tc>
          <w:tcPr>
            <w:tcW w:w="810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兰伟东</w:t>
            </w:r>
          </w:p>
        </w:tc>
        <w:tc>
          <w:tcPr>
            <w:tcW w:w="878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黄益溪</w:t>
            </w:r>
          </w:p>
        </w:tc>
        <w:tc>
          <w:tcPr>
            <w:tcW w:w="878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2025.11.15</w:t>
            </w: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</w:tbl>
    <w:p>
      <w:pPr>
        <w:rPr>
          <w:rFonts w:ascii="微软雅黑" w:eastAsia="微软雅黑" w:hAnsi="微软雅黑" w:cs="微软雅黑" w:hint="eastAsia"/>
          <w:sz w:val="24"/>
        </w:rPr>
      </w:pPr>
    </w:p>
    <w:p>
      <w:pPr>
        <w:rPr>
          <w:rFonts w:ascii="微软雅黑" w:eastAsia="微软雅黑" w:hAnsi="微软雅黑" w:cs="微软雅黑" w:hint="eastAsia"/>
          <w:sz w:val="24"/>
        </w:rPr>
      </w:pPr>
    </w:p>
    <w:p>
      <w:pPr>
        <w:rPr>
          <w:rFonts w:ascii="黑体" w:hAnsi="黑体"/>
          <w:b/>
          <w:sz w:val="32"/>
          <w:szCs w:val="32"/>
        </w:rPr>
        <w:sectPr>
          <w:headerReference w:type="default" r:id="rId7"/>
          <w:footerReference w:type="default" r:id="rId8"/>
          <w:pgSz w:w="11906" w:h="16838"/>
          <w:pgMar w:top="1560" w:right="1800" w:bottom="1440" w:left="1800" w:header="851" w:footer="992" w:gutter="0"/>
          <w:cols w:num="1" w:space="720"/>
          <w:docGrid w:type="lines" w:linePitch="312" w:charSpace="0"/>
        </w:sectPr>
      </w:pPr>
    </w:p>
    <w:p>
      <w:pPr>
        <w:pStyle w:val="TOC1"/>
        <w:spacing w:line="480" w:lineRule="auto"/>
        <w:jc w:val="center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目  录</w:t>
      </w:r>
    </w:p>
    <w:p>
      <w:pPr>
        <w:pStyle w:val="TOC1"/>
        <w:tabs>
          <w:tab w:val="right" w:leader="dot" w:pos="8306"/>
        </w:tabs>
      </w:pPr>
      <w:bookmarkStart w:id="0" w:name="_GoBack"/>
      <w:bookmarkEnd w:id="0"/>
      <w:r>
        <w:rPr>
          <w:rFonts w:ascii="黑体" w:eastAsia="黑体" w:hAnsi="黑体"/>
          <w:sz w:val="24"/>
          <w:szCs w:val="24"/>
        </w:rPr>
        <w:fldChar w:fldCharType="begin"/>
      </w:r>
      <w:r>
        <w:rPr>
          <w:rFonts w:ascii="黑体" w:eastAsia="黑体" w:hAnsi="黑体"/>
          <w:sz w:val="24"/>
          <w:szCs w:val="24"/>
        </w:rPr>
        <w:instrText xml:space="preserve">TOC \o "1-5" \h \u </w:instrText>
      </w:r>
      <w:r>
        <w:rPr>
          <w:rFonts w:ascii="黑体" w:eastAsia="黑体" w:hAnsi="黑体"/>
          <w:sz w:val="24"/>
          <w:szCs w:val="24"/>
        </w:rPr>
        <w:fldChar w:fldCharType="separate"/>
      </w: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_Toc26860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1. 概述</w:t>
      </w:r>
      <w:r>
        <w:tab/>
      </w:r>
      <w:r>
        <w:fldChar w:fldCharType="begin"/>
      </w:r>
      <w:r>
        <w:instrText xml:space="preserve"> PAGEREF _Toc26860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1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_Toc28679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2. 备件库管理组织与职责</w:t>
      </w:r>
      <w:r>
        <w:tab/>
      </w:r>
      <w:r>
        <w:fldChar w:fldCharType="begin"/>
      </w:r>
      <w:r>
        <w:instrText xml:space="preserve"> PAGEREF _Toc28679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1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_Toc25614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3. 备件库管理制度与规范</w:t>
      </w:r>
      <w:r>
        <w:tab/>
      </w:r>
      <w:r>
        <w:fldChar w:fldCharType="begin"/>
      </w:r>
      <w:r>
        <w:instrText xml:space="preserve"> PAGEREF _Toc25614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1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_Toc36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4. 备件管理流程</w:t>
      </w:r>
      <w:r>
        <w:tab/>
      </w:r>
      <w:r>
        <w:fldChar w:fldCharType="begin"/>
      </w:r>
      <w:r>
        <w:instrText xml:space="preserve"> PAGEREF _Toc36 \h </w:instrText>
      </w:r>
      <w:r>
        <w:fldChar w:fldCharType="separate"/>
      </w:r>
      <w:r>
        <w:t>2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_Toc18130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4.1 备件计划与采购</w:t>
      </w:r>
      <w:r>
        <w:tab/>
      </w:r>
      <w:r>
        <w:fldChar w:fldCharType="begin"/>
      </w:r>
      <w:r>
        <w:instrText xml:space="preserve"> PAGEREF _Toc18130 \h </w:instrText>
      </w:r>
      <w:r>
        <w:fldChar w:fldCharType="separate"/>
      </w:r>
      <w:r>
        <w:t>2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_Toc22437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4.2 备件入库与存储</w:t>
      </w:r>
      <w:r>
        <w:tab/>
      </w:r>
      <w:r>
        <w:fldChar w:fldCharType="begin"/>
      </w:r>
      <w:r>
        <w:instrText xml:space="preserve"> PAGEREF _Toc22437 \h </w:instrText>
      </w:r>
      <w:r>
        <w:fldChar w:fldCharType="separate"/>
      </w:r>
      <w:r>
        <w:t>2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_Toc5514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4.3 备件领用与出库</w:t>
      </w:r>
      <w:r>
        <w:tab/>
      </w:r>
      <w:r>
        <w:fldChar w:fldCharType="begin"/>
      </w:r>
      <w:r>
        <w:instrText xml:space="preserve"> PAGEREF _Toc5514 \h </w:instrText>
      </w:r>
      <w:r>
        <w:fldChar w:fldCharType="separate"/>
      </w:r>
      <w:r>
        <w:t>2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_Toc28143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4.4 备件检测与报废</w:t>
      </w:r>
      <w:r>
        <w:tab/>
      </w:r>
      <w:r>
        <w:fldChar w:fldCharType="begin"/>
      </w:r>
      <w:r>
        <w:instrText xml:space="preserve"> PAGEREF _Toc28143 \h </w:instrText>
      </w:r>
      <w:r>
        <w:fldChar w:fldCharType="separate"/>
      </w:r>
      <w:r>
        <w:t>2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1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_Toc17653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5. 供应商管理</w:t>
      </w:r>
      <w:r>
        <w:tab/>
      </w:r>
      <w:r>
        <w:fldChar w:fldCharType="begin"/>
      </w:r>
      <w:r>
        <w:instrText xml:space="preserve"> PAGEREF _Toc17653 \h </w:instrText>
      </w:r>
      <w:r>
        <w:fldChar w:fldCharType="separate"/>
      </w:r>
      <w:r>
        <w:t>2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1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_Toc7150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6. 备件库应用效果评估</w:t>
      </w:r>
      <w:r>
        <w:tab/>
      </w:r>
      <w:r>
        <w:fldChar w:fldCharType="begin"/>
      </w:r>
      <w:r>
        <w:instrText xml:space="preserve"> PAGEREF _Toc7150 \h </w:instrText>
      </w:r>
      <w:r>
        <w:fldChar w:fldCharType="separate"/>
      </w:r>
      <w:r>
        <w:t>3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widowControl/>
        <w:tabs>
          <w:tab w:val="left" w:pos="1440"/>
          <w:tab w:val="right" w:leader="dot" w:pos="8869"/>
        </w:tabs>
        <w:spacing w:line="480" w:lineRule="auto"/>
        <w:ind w:left="0"/>
        <w:rPr>
          <w:rFonts w:ascii="黑体" w:eastAsia="黑体" w:hAnsi="黑体"/>
          <w:sz w:val="24"/>
          <w:szCs w:val="24"/>
        </w:rPr>
        <w:sectPr>
          <w:pgSz w:w="11906" w:h="16838"/>
          <w:pgMar w:top="1560" w:right="1800" w:bottom="1440" w:left="1800" w:header="851" w:footer="992" w:gutter="0"/>
          <w:cols w:num="1" w:space="720"/>
          <w:docGrid w:type="lines" w:linePitch="312" w:charSpace="0"/>
        </w:sectPr>
      </w:pPr>
      <w:r>
        <w:rPr>
          <w:rFonts w:ascii="黑体" w:eastAsia="黑体" w:hAnsi="黑体"/>
          <w:szCs w:val="24"/>
        </w:rPr>
        <w:fldChar w:fldCharType="end"/>
      </w:r>
    </w:p>
    <w:p>
      <w:pPr>
        <w:pStyle w:val="Heading1"/>
        <w:bidi w:val="0"/>
        <w:rPr>
          <w:rFonts w:hint="eastAsia"/>
          <w:lang w:val="en-US" w:eastAsia="zh-CN"/>
        </w:rPr>
      </w:pPr>
      <w:bookmarkStart w:id="1" w:name="_Toc26860"/>
      <w:r>
        <w:rPr>
          <w:rFonts w:hint="eastAsia"/>
          <w:lang w:val="en-US" w:eastAsia="zh-CN"/>
        </w:rPr>
        <w:t>1. 概述</w:t>
      </w:r>
      <w:bookmarkEnd w:id="1"/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甘肃国邦信息科技有限公司（以下简称“公司”）为保障运维服务的及时性与可靠性，确保在设备出现故障时能够快速进行更换与修复，最大程度减少对客户业务的影响，建立了规范的备品备件管理体系。公司通过制定完善的备件管理策略、设立备件库、优化供应链协作，实现了对备品备件的有效管控，为履行服务级别协议（SLA）中关于故障修复时间的承诺提供了坚实的物质保障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本说明旨在详细阐述公司备品备件的管理组织、制度流程、供应商管理以及实际应用效果，证明公司备件管理能力符合ITSS运维服务能力要求。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</w:p>
    <w:p>
      <w:pPr>
        <w:pStyle w:val="Heading1"/>
        <w:bidi w:val="0"/>
        <w:rPr>
          <w:rFonts w:hint="eastAsia"/>
          <w:lang w:val="en-US" w:eastAsia="zh-CN"/>
        </w:rPr>
      </w:pPr>
      <w:bookmarkStart w:id="2" w:name="_Toc28679"/>
      <w:r>
        <w:rPr>
          <w:rFonts w:hint="eastAsia"/>
          <w:lang w:val="en-US" w:eastAsia="zh-CN"/>
        </w:rPr>
        <w:t>2. 备件库管理组织与职责</w:t>
      </w:r>
      <w:bookmarkEnd w:id="2"/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公司备件库的管理由运维管理部统筹负责，并得到采购部的协同支持。其具体职责划分如下：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运维管理部：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负责根据运维项目需求及历史故障数据，制定备件需求计划。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负责备件库的日常管理，包括备件的接收、入库、存储、盘点、领用、返修与报废。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负责提出备件采购申请，并参与备件技术规格的确认。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负责定期对备件状态进行检测，确保其可用性。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采购部：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负责根据经审批的采购申请，执行备件采购工作。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负责供应商的开发、引入、日常管理及定期评估。</w:t>
      </w:r>
    </w:p>
    <w:p>
      <w:pPr>
        <w:pStyle w:val="Heading1"/>
        <w:bidi w:val="0"/>
        <w:rPr>
          <w:rFonts w:hint="eastAsia"/>
          <w:lang w:val="en-US" w:eastAsia="zh-CN"/>
        </w:rPr>
      </w:pPr>
      <w:bookmarkStart w:id="3" w:name="_Toc25614"/>
      <w:r>
        <w:rPr>
          <w:rFonts w:hint="eastAsia"/>
          <w:lang w:val="en-US" w:eastAsia="zh-CN"/>
        </w:rPr>
        <w:t>3. 备件库管理制度与规范</w:t>
      </w:r>
      <w:bookmarkEnd w:id="3"/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为确保备件管理工作有章可循，公司制定并执行以下核心制度与规范：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《运维备件管理规范》：明确了备件管理的总则、职责、备件分类与编码规则、库存策略、库房环境要求、备件响应级别定义等。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《备件采购管理制度》：规定了采购流程、采购人员职责、库存策略、紧急采购预案等。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《供应商管理制度》：涵盖供应商的引入、评价、分级与淘汰机制。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备件出入库制度：详细规定了备件送货、验收、入库、出库等环节的操作规范与记录要求。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备件检测与报废制度：明确了定期对备件进行功能性检测的要求，以及对废旧、失效备件的报废流程与标准。对于国家强制规定检定的设备，严格按要求送专业机构检测并保留报告。</w:t>
      </w:r>
    </w:p>
    <w:p>
      <w:pPr>
        <w:pStyle w:val="Heading1"/>
        <w:bidi w:val="0"/>
        <w:rPr>
          <w:rFonts w:hint="eastAsia"/>
          <w:lang w:val="en-US" w:eastAsia="zh-CN"/>
        </w:rPr>
      </w:pPr>
      <w:bookmarkStart w:id="4" w:name="_Toc36"/>
      <w:r>
        <w:rPr>
          <w:rFonts w:hint="eastAsia"/>
          <w:lang w:val="en-US" w:eastAsia="zh-CN"/>
        </w:rPr>
        <w:t>4. 备件管理流程</w:t>
      </w:r>
      <w:bookmarkEnd w:id="4"/>
    </w:p>
    <w:p>
      <w:pPr>
        <w:pStyle w:val="Heading2"/>
        <w:bidi w:val="0"/>
        <w:rPr>
          <w:rFonts w:hint="eastAsia"/>
          <w:lang w:val="en-US" w:eastAsia="zh-CN"/>
        </w:rPr>
      </w:pPr>
      <w:bookmarkStart w:id="5" w:name="_Toc18130"/>
      <w:r>
        <w:rPr>
          <w:rFonts w:hint="eastAsia"/>
          <w:lang w:val="en-US" w:eastAsia="zh-CN"/>
        </w:rPr>
        <w:t>4.1 备件计划与采购</w:t>
      </w:r>
      <w:bookmarkEnd w:id="5"/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运维项目组根据合同SLA要求及设备故障率分析，制定备件储备清单与采购计划，经审批后由采购部执行。计划中明确了关键设备、主要设备与次要设备的备件储备策略。</w:t>
      </w:r>
    </w:p>
    <w:p>
      <w:pPr>
        <w:pStyle w:val="Heading2"/>
        <w:bidi w:val="0"/>
        <w:rPr>
          <w:rFonts w:hint="eastAsia"/>
          <w:lang w:val="en-US" w:eastAsia="zh-CN"/>
        </w:rPr>
      </w:pPr>
      <w:bookmarkStart w:id="6" w:name="_Toc22437"/>
      <w:r>
        <w:rPr>
          <w:rFonts w:hint="eastAsia"/>
          <w:lang w:val="en-US" w:eastAsia="zh-CN"/>
        </w:rPr>
        <w:t>4.2 备件入库与存储</w:t>
      </w:r>
      <w:bookmarkEnd w:id="6"/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采购的备件到货后，库管员依据《出入库制度》进行核对、验收，并办理入库手续。备件库实行分区、分类管理，环境满足温湿度及防尘等基本要求，确保备件存储安全。</w:t>
      </w:r>
    </w:p>
    <w:p>
      <w:pPr>
        <w:pStyle w:val="Heading2"/>
        <w:bidi w:val="0"/>
        <w:rPr>
          <w:rFonts w:hint="eastAsia"/>
          <w:lang w:val="en-US" w:eastAsia="zh-CN"/>
        </w:rPr>
      </w:pPr>
      <w:bookmarkStart w:id="7" w:name="_Toc5514"/>
      <w:r>
        <w:rPr>
          <w:rFonts w:hint="eastAsia"/>
          <w:lang w:val="en-US" w:eastAsia="zh-CN"/>
        </w:rPr>
        <w:t>4.3 备件领用与出库</w:t>
      </w:r>
      <w:bookmarkEnd w:id="7"/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运维工程师在处理故障需要更换备件时，通过ITSM系统提交领用申请，经审批后由库管员按单发料，并在系统中更新库存信息。所有出库操作均保留完整的领用记录，确保可追溯。</w:t>
      </w:r>
    </w:p>
    <w:p>
      <w:pPr>
        <w:pStyle w:val="Heading2"/>
        <w:bidi w:val="0"/>
        <w:rPr>
          <w:rFonts w:hint="eastAsia"/>
          <w:lang w:val="en-US" w:eastAsia="zh-CN"/>
        </w:rPr>
      </w:pPr>
      <w:bookmarkStart w:id="8" w:name="_Toc28143"/>
      <w:r>
        <w:rPr>
          <w:rFonts w:hint="eastAsia"/>
          <w:lang w:val="en-US" w:eastAsia="zh-CN"/>
        </w:rPr>
        <w:t>4.4 备件检测与报废</w:t>
      </w:r>
      <w:bookmarkEnd w:id="8"/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公司定期（如每季度）对库存备件，特别是关键备件进行可用性检查，并形成《备品备件可用性检查记录》。对检测不合格或已报废的备件，严格按照报废流程进行处理，并及时从库存中清除，同时启动补充采购流程。</w:t>
      </w:r>
    </w:p>
    <w:p>
      <w:pPr>
        <w:pStyle w:val="Heading1"/>
        <w:bidi w:val="0"/>
        <w:rPr>
          <w:rFonts w:hint="eastAsia"/>
          <w:lang w:val="en-US" w:eastAsia="zh-CN"/>
        </w:rPr>
      </w:pPr>
      <w:bookmarkStart w:id="9" w:name="_Toc17653"/>
      <w:r>
        <w:rPr>
          <w:rFonts w:hint="eastAsia"/>
          <w:lang w:val="en-US" w:eastAsia="zh-CN"/>
        </w:rPr>
        <w:t>5. 供应商管理</w:t>
      </w:r>
      <w:bookmarkEnd w:id="9"/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公司建立了合格的供应商名录，并对供应商实行常态化管理。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供应商引入：新供应商需经过技术、商务、质量等多方面的综合评估，填写《供应商引入评价表》后方可纳入名录。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供应商评估：采购部牵头，至少每年对现有供应商进行一次再评价，评估内容包括产品质量、交货及时性、价格水平、售后服务等，并根据评估结果更新《合格供应商台账》。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通过有效的供应商管理，确保了备件来源的可靠性与稳定性。</w:t>
      </w:r>
    </w:p>
    <w:p>
      <w:pPr>
        <w:pStyle w:val="Heading1"/>
        <w:bidi w:val="0"/>
        <w:rPr>
          <w:rFonts w:hint="eastAsia"/>
          <w:lang w:val="en-US" w:eastAsia="zh-CN"/>
        </w:rPr>
      </w:pPr>
      <w:bookmarkStart w:id="10" w:name="_Toc7150"/>
      <w:r>
        <w:rPr>
          <w:rFonts w:hint="eastAsia"/>
          <w:lang w:val="en-US" w:eastAsia="zh-CN"/>
        </w:rPr>
        <w:t>6. 备件库应用效果评估</w:t>
      </w:r>
      <w:bookmarkEnd w:id="10"/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公司备品备件管理体系的建立与有效运行，取得了显著的应用效果：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支撑SLA有效达成：完备的备件储备是快速响应故障、实现SLA目标的关键。2025年上半年，所有运维项目的备件支持均满足SLA要求，未因备件缺失导致故障处理超时。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管理过程规范可溯：通过规范的流程与制度，实现了备件从计划、采购、入库、存储、领用到报废的全生命周期管理。抽查2025年度的备件出入库单、检测记录等，均符合管理制度要求，记录完整清晰。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资源利用高效经济：通过合理的库存策略与定期盘点，避免了备件的过度储备与资金占用，同时通过供应商管理控制了采购成本与质量风险。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应急保障能力提升：在面对紧急故障时，规范的备件库能够提供快速、准确的物资支持，显著提升了公司的应急响应与业务连续性保障能力。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综上所述，甘肃国邦信息科技有限公司已建立起一套系统、规范、高效的备品备件管理体系。该体系与公司的运维服务流程紧密结合，有效支撑了服务交付的质量与效率，完全符合ITSS对资源管理的能力要求。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</w:p>
    <w:sectPr>
      <w:footerReference w:type="default" r:id="rId9"/>
      <w:pgSz w:w="11906" w:h="16838"/>
      <w:pgMar w:top="1560" w:right="1800" w:bottom="1440" w:left="1800" w:header="851" w:footer="992" w:gutter="0"/>
      <w:pgNumType w:fmt="decimal" w:start="1"/>
      <w:cols w:num="1"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pBdr>
        <w:top w:val="single" w:sz="4" w:space="1" w:color="auto"/>
      </w:pBd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pBdr>
        <w:top w:val="single" w:sz="4" w:space="1" w:color="auto"/>
      </w:pBdr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o:spid="_x0000_s2049" type="#_x0000_t202" style="height:2in;margin-left:0;margin-top:0;mso-height-relative:page;mso-position-horizontal:center;mso-position-horizontal-relative:margin;mso-width-relative:page;mso-wrap-style:none;position:absolute;width:2in;z-index:251658240" coordsize="21600,21600" filled="f" stroked="f">
          <v:stroke joinstyle="miter"/>
          <o:lock v:ext="edit" aspectratio="f"/>
          <v:textbox style="mso-fit-shape-to-text:t" inset="0,0,0,0">
            <w:txbxContent>
              <w:p>
                <w:pPr>
                  <w:pStyle w:val="Footer"/>
                  <w:rPr>
                    <w:rFonts w:eastAsia="宋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both"/>
    </w:pPr>
    <w:r>
      <w:rPr>
        <w:rFonts w:asciiTheme="minorEastAsia" w:eastAsiaTheme="minorEastAsia" w:hAnsiTheme="minorEastAsia" w:hint="eastAsia"/>
        <w:szCs w:val="24"/>
      </w:rPr>
      <w:t xml:space="preserve">                </w:t>
    </w:r>
    <w:r>
      <w:rPr>
        <w:rFonts w:asciiTheme="minorEastAsia" w:eastAsiaTheme="minorEastAsia" w:hAnsiTheme="minorEastAsia"/>
        <w:szCs w:val="24"/>
      </w:rPr>
      <w:t xml:space="preserve">                         </w:t>
    </w:r>
    <w:r>
      <w:rPr>
        <w:rFonts w:asciiTheme="minorEastAsia" w:eastAsiaTheme="minorEastAsia" w:hAnsiTheme="minorEastAsia" w:hint="eastAsia"/>
        <w:szCs w:val="24"/>
      </w:rPr>
      <w:t xml:space="preserve">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U5YTk2NWU3OTRhNTU0YjZlNWE0ODExMjY4YzM0MTgifQ=="/>
  </w:docVar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uiPriority="39" w:qFormat="1"/>
    <w:lsdException w:name="toc 5" w:uiPriority="39" w:qFormat="1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0" w:uiPriority="0" w:unhideWhenUsed="0" w:qFormat="1"/>
    <w:lsdException w:name="footnote text"/>
    <w:lsdException w:name="annotation text"/>
    <w:lsdException w:name="header" w:semiHidden="0" w:uiPriority="0" w:unhideWhenUsed="0" w:qFormat="1"/>
    <w:lsdException w:name="footer" w:semiHidden="0" w:unhideWhenUsed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 w:semiHidden="0" w:uiPriority="0" w:unhideWhenUsed="0" w:qFormat="1"/>
    <w:lsdException w:name="List Bullet" w:semiHidden="0" w:uiPriority="0" w:unhideWhenUsed="0" w:qFormat="1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0" w:unhideWhenUsed="0" w:qFormat="1"/>
    <w:lsdException w:name="Closing"/>
    <w:lsdException w:name="Signature"/>
    <w:lsdException w:name="Default Paragraph Font" w:uiPriority="1" w:qFormat="1"/>
    <w:lsdException w:name="Body Text" w:semiHidden="0" w:uiPriority="0" w:unhideWhenUsed="0" w:qFormat="1"/>
    <w:lsdException w:name="Body Text Indent" w:semiHidden="0" w:uiPriority="0" w:unhideWhenUsed="0" w:qFormat="1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0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unhideWhenUsed="0" w:qFormat="1"/>
    <w:lsdException w:name="FollowedHyperlink"/>
    <w:lsdException w:name="Strong" w:semiHidden="0" w:uiPriority="0" w:unhideWhenUsed="0" w:qFormat="1"/>
    <w:lsdException w:name="Emphasis" w:semiHidden="0" w:uiPriority="20" w:unhideWhenUsed="0" w:qFormat="1"/>
    <w:lsdException w:name="Document Map" w:qFormat="1"/>
    <w:lsdException w:name="Plain Text"/>
    <w:lsdException w:name="E-mail Signature"/>
    <w:lsdException w:name="Normal (Web)" w:semiHidden="0" w:unhideWhenUsed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semiHidden="0" w:uiPriority="0" w:unhideWhenUsed="0" w:qFormat="1"/>
    <w:lsdException w:name="Table Grid" w:semiHidden="0" w:uiPriority="5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spacing w:line="360" w:lineRule="auto"/>
      <w:ind w:firstLine="420" w:firstLineChars="200"/>
      <w:jc w:val="both"/>
    </w:pPr>
    <w:rPr>
      <w:rFonts w:ascii="Calibri" w:eastAsia="宋体" w:hAnsi="Calibri" w:cs="Arial"/>
      <w:kern w:val="2"/>
      <w:sz w:val="24"/>
      <w:szCs w:val="22"/>
      <w:lang w:val="en-US" w:eastAsia="zh-CN" w:bidi="ar-SA"/>
    </w:rPr>
  </w:style>
  <w:style w:type="paragraph" w:styleId="Heading1">
    <w:name w:val="heading 1"/>
    <w:basedOn w:val="Normal"/>
    <w:next w:val="Normal"/>
    <w:autoRedefine/>
    <w:qFormat/>
    <w:pPr>
      <w:keepNext/>
      <w:keepLines/>
      <w:spacing w:line="480" w:lineRule="auto"/>
      <w:outlineLvl w:val="0"/>
    </w:pPr>
    <w:rPr>
      <w:rFonts w:eastAsia="黑体"/>
      <w:b/>
      <w:bCs/>
      <w:kern w:val="44"/>
      <w:sz w:val="30"/>
      <w:szCs w:val="44"/>
    </w:rPr>
  </w:style>
  <w:style w:type="paragraph" w:styleId="Heading2">
    <w:name w:val="heading 2"/>
    <w:basedOn w:val="Normal"/>
    <w:next w:val="Normal"/>
    <w:autoRedefine/>
    <w:qFormat/>
    <w:pPr>
      <w:keepNext/>
      <w:keepLines/>
      <w:spacing w:before="20" w:after="20" w:line="360" w:lineRule="auto"/>
      <w:outlineLvl w:val="1"/>
    </w:pPr>
    <w:rPr>
      <w:rFonts w:ascii="Cambria" w:eastAsia="黑体" w:hAnsi="Cambria"/>
      <w:b/>
      <w:bCs/>
      <w:szCs w:val="32"/>
    </w:rPr>
  </w:style>
  <w:style w:type="paragraph" w:styleId="Heading3">
    <w:name w:val="heading 3"/>
    <w:basedOn w:val="Normal"/>
    <w:next w:val="Normal"/>
    <w:autoRedefine/>
    <w:qFormat/>
    <w:pPr>
      <w:keepNext/>
      <w:keepLines/>
      <w:spacing w:line="360" w:lineRule="auto"/>
      <w:ind w:firstLine="0" w:firstLineChars="0"/>
      <w:jc w:val="center"/>
      <w:outlineLvl w:val="2"/>
    </w:pPr>
    <w:rPr>
      <w:rFonts w:eastAsia="宋体"/>
      <w:b/>
      <w:bCs/>
      <w:szCs w:val="32"/>
    </w:rPr>
  </w:style>
  <w:style w:type="paragraph" w:styleId="Heading4">
    <w:name w:val="heading 4"/>
    <w:basedOn w:val="a"/>
    <w:next w:val="a"/>
    <w:autoRedefine/>
    <w:qFormat/>
    <w:pPr>
      <w:keepNext/>
      <w:keepLines/>
      <w:spacing w:line="240" w:lineRule="auto"/>
      <w:outlineLvl w:val="3"/>
    </w:pPr>
    <w:rPr>
      <w:rFonts w:ascii="Cambria" w:hAnsi="Cambria"/>
      <w:bCs/>
      <w:sz w:val="21"/>
      <w:szCs w:val="28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DefaultParagraphFont">
    <w:name w:val="Default Paragraph Font"/>
    <w:autoRedefine/>
    <w:uiPriority w:val="1"/>
    <w:semiHidden/>
    <w:unhideWhenUsed/>
    <w:qFormat/>
  </w:style>
  <w:style w:type="table" w:default="1" w:styleId="TableNormal">
    <w:name w:val="Normal Table"/>
    <w:autoRedefine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">
    <w:name w:val="正常"/>
    <w:autoRedefine/>
    <w:qFormat/>
    <w:pPr>
      <w:widowControl w:val="0"/>
      <w:jc w:val="center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NormalIndent">
    <w:name w:val="Normal Indent"/>
    <w:basedOn w:val="Normal"/>
    <w:autoRedefine/>
    <w:qFormat/>
    <w:pPr>
      <w:ind w:firstLine="420"/>
    </w:pPr>
  </w:style>
  <w:style w:type="paragraph" w:styleId="ListBullet">
    <w:name w:val="List Bullet"/>
    <w:basedOn w:val="Normal"/>
    <w:qFormat/>
    <w:pPr>
      <w:widowControl/>
      <w:numPr>
        <w:ilvl w:val="0"/>
        <w:numId w:val="1"/>
      </w:numPr>
      <w:spacing w:after="200" w:line="252" w:lineRule="auto"/>
      <w:contextualSpacing/>
      <w:jc w:val="left"/>
    </w:pPr>
    <w:rPr>
      <w:rFonts w:ascii="Cambria" w:hAnsi="Cambria" w:cs="Times New Roman"/>
      <w:kern w:val="0"/>
      <w:sz w:val="22"/>
      <w:lang w:eastAsia="en-US" w:bidi="en-US"/>
    </w:rPr>
  </w:style>
  <w:style w:type="paragraph" w:styleId="DocumentMap">
    <w:name w:val="Document Map"/>
    <w:basedOn w:val="Normal"/>
    <w:link w:val="a2"/>
    <w:autoRedefine/>
    <w:uiPriority w:val="99"/>
    <w:semiHidden/>
    <w:unhideWhenUsed/>
    <w:qFormat/>
    <w:rPr>
      <w:rFonts w:ascii="宋体"/>
      <w:sz w:val="18"/>
      <w:szCs w:val="18"/>
    </w:rPr>
  </w:style>
  <w:style w:type="paragraph" w:styleId="BodyText">
    <w:name w:val="Body Text"/>
    <w:basedOn w:val="Normal"/>
    <w:autoRedefine/>
    <w:qFormat/>
    <w:pPr>
      <w:spacing w:after="120"/>
    </w:pPr>
  </w:style>
  <w:style w:type="paragraph" w:styleId="BodyTextIndent">
    <w:name w:val="Body Text Indent"/>
    <w:basedOn w:val="Normal"/>
    <w:autoRedefine/>
    <w:qFormat/>
    <w:pPr>
      <w:widowControl/>
      <w:spacing w:before="100" w:beforeAutospacing="1" w:after="100" w:afterAutospacing="1"/>
      <w:jc w:val="left"/>
    </w:pPr>
    <w:rPr>
      <w:rFonts w:ascii="宋体" w:cs="宋体"/>
      <w:kern w:val="0"/>
      <w:sz w:val="24"/>
      <w:szCs w:val="24"/>
    </w:rPr>
  </w:style>
  <w:style w:type="paragraph" w:styleId="TOC5">
    <w:name w:val="toc 5"/>
    <w:basedOn w:val="Normal"/>
    <w:next w:val="Normal"/>
    <w:autoRedefine/>
    <w:uiPriority w:val="39"/>
    <w:semiHidden/>
    <w:unhideWhenUsed/>
    <w:qFormat/>
    <w:pPr>
      <w:ind w:left="1680" w:leftChars="800"/>
    </w:pPr>
  </w:style>
  <w:style w:type="paragraph" w:styleId="TOC3">
    <w:name w:val="toc 3"/>
    <w:basedOn w:val="Normal"/>
    <w:next w:val="Normal"/>
    <w:autoRedefine/>
    <w:uiPriority w:val="39"/>
    <w:qFormat/>
    <w:pPr>
      <w:tabs>
        <w:tab w:val="right" w:leader="dot" w:pos="8364"/>
      </w:tabs>
      <w:ind w:left="400" w:leftChars="400"/>
    </w:pPr>
    <w:rPr>
      <w:rFonts w:eastAsia="微软雅黑"/>
    </w:rPr>
  </w:style>
  <w:style w:type="paragraph" w:styleId="BalloonText">
    <w:name w:val="Balloon Text"/>
    <w:basedOn w:val="Normal"/>
    <w:autoRedefine/>
    <w:qFormat/>
    <w:rPr>
      <w:sz w:val="18"/>
      <w:szCs w:val="18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qFormat/>
    <w:pPr>
      <w:spacing w:before="120" w:after="120"/>
      <w:jc w:val="left"/>
    </w:pPr>
    <w:rPr>
      <w:rFonts w:cs="黑体"/>
      <w:b/>
      <w:bCs/>
      <w:cap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qFormat/>
    <w:pPr>
      <w:ind w:left="1260" w:leftChars="600"/>
    </w:pPr>
  </w:style>
  <w:style w:type="paragraph" w:styleId="Subtitle">
    <w:name w:val="Subtitle"/>
    <w:basedOn w:val="Normal"/>
    <w:next w:val="Normal"/>
    <w:autoRedefine/>
    <w:qFormat/>
    <w:pPr>
      <w:spacing w:before="240" w:after="60" w:line="312" w:lineRule="auto"/>
      <w:jc w:val="center"/>
      <w:outlineLvl w:val="1"/>
    </w:pPr>
    <w:rPr>
      <w:rFonts w:ascii="Cambria" w:hAnsi="Cambria" w:cs="Times New Roman"/>
      <w:b/>
      <w:bCs/>
      <w:kern w:val="28"/>
      <w:sz w:val="32"/>
      <w:szCs w:val="32"/>
    </w:rPr>
  </w:style>
  <w:style w:type="paragraph" w:styleId="List">
    <w:name w:val="List"/>
    <w:basedOn w:val="Normal"/>
    <w:autoRedefine/>
    <w:qFormat/>
    <w:pPr>
      <w:ind w:left="200" w:hanging="200" w:hangingChars="200"/>
    </w:pPr>
  </w:style>
  <w:style w:type="paragraph" w:styleId="TOC2">
    <w:name w:val="toc 2"/>
    <w:basedOn w:val="Normal"/>
    <w:next w:val="Normal"/>
    <w:uiPriority w:val="39"/>
    <w:qFormat/>
    <w:pPr>
      <w:ind w:left="210"/>
      <w:jc w:val="left"/>
    </w:pPr>
    <w:rPr>
      <w:rFonts w:cs="黑体"/>
      <w:smallCaps/>
      <w:sz w:val="20"/>
      <w:szCs w:val="20"/>
    </w:rPr>
  </w:style>
  <w:style w:type="paragraph" w:styleId="NormalWeb">
    <w:name w:val="Normal (Web)"/>
    <w:basedOn w:val="Normal"/>
    <w:uiPriority w:val="99"/>
    <w:qFormat/>
    <w:pPr>
      <w:spacing w:line="360" w:lineRule="auto"/>
    </w:pPr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qFormat/>
    <w:pPr>
      <w:spacing w:before="240" w:after="60"/>
      <w:jc w:val="center"/>
      <w:outlineLvl w:val="0"/>
    </w:pPr>
    <w:rPr>
      <w:rFonts w:ascii="Cambria" w:hAnsi="Cambria" w:cs="Times New Roman"/>
      <w:b/>
      <w:bCs/>
      <w:sz w:val="32"/>
      <w:szCs w:val="32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paragraph" w:customStyle="1" w:styleId="1">
    <w:name w:val="列出段落1"/>
    <w:basedOn w:val="Normal"/>
    <w:qFormat/>
    <w:pPr>
      <w:ind w:firstLine="200" w:firstLineChars="200"/>
    </w:pPr>
  </w:style>
  <w:style w:type="paragraph" w:customStyle="1" w:styleId="10">
    <w:name w:val="纯文本1"/>
    <w:basedOn w:val="Normal"/>
    <w:qFormat/>
    <w:pPr>
      <w:spacing w:before="60" w:after="60"/>
    </w:pPr>
    <w:rPr>
      <w:rFonts w:ascii="宋体"/>
      <w:szCs w:val="21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sz w:val="24"/>
      <w:szCs w:val="24"/>
      <w:lang w:val="en-US" w:eastAsia="zh-CN" w:bidi="ar-SA"/>
    </w:rPr>
  </w:style>
  <w:style w:type="paragraph" w:customStyle="1" w:styleId="a0">
    <w:name w:val="普通文本"/>
    <w:basedOn w:val="Normal"/>
    <w:qFormat/>
    <w:pPr>
      <w:autoSpaceDE w:val="0"/>
      <w:autoSpaceDN w:val="0"/>
      <w:adjustRightInd w:val="0"/>
    </w:pPr>
    <w:rPr>
      <w:rFonts w:ascii="宋体" w:cs="宋体"/>
      <w:szCs w:val="21"/>
    </w:rPr>
  </w:style>
  <w:style w:type="paragraph" w:customStyle="1" w:styleId="11">
    <w:name w:val="无间隔1"/>
    <w:qFormat/>
    <w:rPr>
      <w:rFonts w:ascii="Calibri" w:eastAsia="宋体" w:hAnsi="Calibri" w:cs="Arial"/>
      <w:kern w:val="2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character" w:customStyle="1" w:styleId="a1">
    <w:name w:val="页脚 字符"/>
    <w:basedOn w:val="DefaultParagraphFont"/>
    <w:link w:val="Footer"/>
    <w:uiPriority w:val="99"/>
    <w:qFormat/>
    <w:rPr>
      <w:rFonts w:ascii="Calibri" w:hAnsi="Calibri" w:cs="Arial"/>
      <w:kern w:val="2"/>
      <w:sz w:val="18"/>
      <w:szCs w:val="18"/>
    </w:rPr>
  </w:style>
  <w:style w:type="paragraph" w:customStyle="1" w:styleId="3">
    <w:name w:val="标题3"/>
    <w:basedOn w:val="Normal"/>
    <w:qFormat/>
    <w:pPr>
      <w:spacing w:line="360" w:lineRule="auto"/>
      <w:jc w:val="left"/>
      <w:outlineLvl w:val="2"/>
    </w:pPr>
    <w:rPr>
      <w:rFonts w:ascii="宋体" w:hAnsi="宋体" w:cs="Times New Roman"/>
      <w:b/>
      <w:sz w:val="24"/>
      <w:szCs w:val="24"/>
    </w:rPr>
  </w:style>
  <w:style w:type="character" w:customStyle="1" w:styleId="a2">
    <w:name w:val="文档结构图 字符"/>
    <w:basedOn w:val="DefaultParagraphFont"/>
    <w:link w:val="DocumentMap"/>
    <w:uiPriority w:val="99"/>
    <w:semiHidden/>
    <w:qFormat/>
    <w:rPr>
      <w:rFonts w:ascii="宋体" w:hAnsi="Calibri" w:cs="Arial"/>
      <w:kern w:val="2"/>
      <w:sz w:val="18"/>
      <w:szCs w:val="18"/>
    </w:rPr>
  </w:style>
  <w:style w:type="paragraph" w:customStyle="1" w:styleId="a3">
    <w:name w:val="*正文"/>
    <w:basedOn w:val="Normal"/>
    <w:qFormat/>
    <w:pPr>
      <w:ind w:firstLine="200" w:firstLineChars="200"/>
    </w:pPr>
  </w:style>
  <w:style w:type="paragraph" w:customStyle="1" w:styleId="a4">
    <w:name w:val="表头"/>
    <w:basedOn w:val="Normal"/>
    <w:qFormat/>
    <w:pPr>
      <w:spacing w:line="520" w:lineRule="exact"/>
      <w:jc w:val="center"/>
    </w:pPr>
    <w:rPr>
      <w:rFonts w:ascii="黑体" w:eastAsia="黑体" w:hAnsi="微软雅黑"/>
      <w:sz w:val="24"/>
      <w:szCs w:val="24"/>
    </w:rPr>
  </w:style>
  <w:style w:type="paragraph" w:customStyle="1" w:styleId="a5">
    <w:name w:val="表内容居中"/>
    <w:basedOn w:val="Normal"/>
    <w:qFormat/>
    <w:pPr>
      <w:spacing w:line="520" w:lineRule="exact"/>
      <w:jc w:val="center"/>
    </w:pPr>
    <w:rPr>
      <w:sz w:val="24"/>
      <w:szCs w:val="24"/>
    </w:rPr>
  </w:style>
  <w:style w:type="paragraph" w:customStyle="1" w:styleId="30">
    <w:name w:val="样式3"/>
    <w:basedOn w:val="List"/>
    <w:qFormat/>
    <w:pPr>
      <w:keepNext w:val="0"/>
      <w:ind w:left="0" w:firstLine="0" w:firstLineChars="0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jpeg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5DEBEA-CC87-4B84-9831-8EA9AA7F91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257</Words>
  <Characters>365</Characters>
  <Application>Microsoft Office Word</Application>
  <DocSecurity>0</DocSecurity>
  <Lines>42</Lines>
  <Paragraphs>11</Paragraphs>
  <ScaleCrop>false</ScaleCrop>
  <Company>Microsoft</Company>
  <LinksUpToDate>false</LinksUpToDate>
  <CharactersWithSpaces>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高</cp:lastModifiedBy>
  <cp:revision>21</cp:revision>
  <dcterms:created xsi:type="dcterms:W3CDTF">2019-03-04T09:01:00Z</dcterms:created>
  <dcterms:modified xsi:type="dcterms:W3CDTF">2025-11-27T16:40:16Z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E7C5EAB1546442CBA330423247C73DB4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eyJoZGlkIjoiYjNkMjBiZWMwOTdhZGQ2MWQ5ZDY4YmViMWU1MzUxNjMiLCJ1c2VySWQiOiIxNTUxODc1Nzk4In0=</vt:lpwstr>
  </property>
</Properties>
</file>