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tabs>
          <w:tab w:val="left" w:pos="0"/>
        </w:tabs>
        <w:spacing w:line="1000" w:lineRule="exact"/>
        <w:ind w:left="0" w:firstLine="720" w:leftChars="0" w:firstLineChars="300"/>
        <w:jc w:val="lef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-1300480</wp:posOffset>
            </wp:positionH>
            <wp:positionV relativeFrom="paragraph">
              <wp:posOffset>-1228090</wp:posOffset>
            </wp:positionV>
            <wp:extent cx="7776210" cy="11254105"/>
            <wp:effectExtent l="0" t="0" r="15240" b="444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6210" cy="1125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val="left" w:pos="0"/>
        </w:tabs>
        <w:spacing w:line="1000" w:lineRule="exact"/>
        <w:ind w:left="0" w:firstLine="720" w:leftChars="0" w:firstLineChars="300"/>
        <w:jc w:val="left"/>
        <w:rPr>
          <w:rFonts w:ascii="微软雅黑" w:eastAsia="微软雅黑" w:hAnsi="微软雅黑" w:cs="微软雅黑" w:hint="eastAsia"/>
        </w:rPr>
      </w:pPr>
    </w:p>
    <w:p>
      <w:pPr>
        <w:tabs>
          <w:tab w:val="left" w:pos="0"/>
        </w:tabs>
        <w:spacing w:line="1000" w:lineRule="exact"/>
        <w:ind w:left="0" w:firstLine="720" w:leftChars="0" w:firstLineChars="300"/>
        <w:jc w:val="left"/>
        <w:rPr>
          <w:rFonts w:ascii="微软雅黑" w:eastAsia="微软雅黑" w:hAnsi="微软雅黑" w:cs="微软雅黑" w:hint="eastAsia"/>
          <w:lang w:val="en-US" w:eastAsia="zh-CN"/>
        </w:rPr>
      </w:pPr>
    </w:p>
    <w:p>
      <w:pPr>
        <w:tabs>
          <w:tab w:val="left" w:pos="0"/>
        </w:tabs>
        <w:spacing w:line="1000" w:lineRule="exact"/>
        <w:ind w:left="0" w:firstLine="720" w:leftChars="0" w:firstLineChars="300"/>
        <w:jc w:val="left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  <w:t>甘肃国邦信息科技有限公司</w:t>
      </w:r>
    </w:p>
    <w:p>
      <w:pPr>
        <w:tabs>
          <w:tab w:val="left" w:pos="0"/>
        </w:tabs>
        <w:spacing w:line="1000" w:lineRule="exact"/>
        <w:ind w:left="0" w:firstLine="720" w:leftChars="0" w:firstLineChars="300"/>
        <w:jc w:val="left"/>
        <w:rPr>
          <w:rFonts w:hint="eastAsia"/>
          <w:b/>
          <w:sz w:val="48"/>
          <w:szCs w:val="48"/>
          <w:lang w:val="en-US" w:eastAsia="zh-CN"/>
        </w:rPr>
      </w:pPr>
    </w:p>
    <w:p>
      <w:pPr>
        <w:tabs>
          <w:tab w:val="left" w:pos="0"/>
        </w:tabs>
        <w:spacing w:line="1000" w:lineRule="exact"/>
        <w:ind w:left="0" w:firstLine="0" w:leftChars="0" w:firstLineChars="0"/>
        <w:jc w:val="center"/>
        <w:rPr>
          <w:rFonts w:hint="eastAsia"/>
          <w:b/>
          <w:sz w:val="48"/>
          <w:szCs w:val="48"/>
          <w:lang w:val="en-US" w:eastAsia="zh-CN"/>
        </w:rPr>
      </w:pPr>
      <w:r>
        <w:rPr>
          <w:rFonts w:hint="eastAsia"/>
          <w:b/>
          <w:sz w:val="48"/>
          <w:szCs w:val="48"/>
          <w:lang w:val="en-US" w:eastAsia="zh-CN"/>
        </w:rPr>
        <w:t>服务交付规范</w:t>
      </w:r>
    </w:p>
    <w:p>
      <w:pPr>
        <w:tabs>
          <w:tab w:val="left" w:pos="0"/>
        </w:tabs>
        <w:spacing w:line="1000" w:lineRule="exact"/>
        <w:ind w:left="0" w:firstLine="0" w:leftChars="0" w:firstLineChars="0"/>
        <w:jc w:val="center"/>
        <w:rPr>
          <w:rFonts w:hint="eastAsia"/>
          <w:b/>
          <w:sz w:val="48"/>
          <w:szCs w:val="48"/>
          <w:lang w:val="en-US" w:eastAsia="zh-CN"/>
        </w:rPr>
      </w:pPr>
    </w:p>
    <w:p>
      <w:pPr>
        <w:tabs>
          <w:tab w:val="left" w:pos="0"/>
        </w:tabs>
        <w:spacing w:line="1000" w:lineRule="exact"/>
        <w:ind w:left="0" w:firstLine="0" w:leftChars="0" w:firstLineChars="0"/>
        <w:jc w:val="center"/>
        <w:rPr>
          <w:rFonts w:ascii="宋体" w:hAnsi="宋体" w:cs="宋体" w:hint="eastAsia"/>
          <w:b/>
          <w:bCs/>
          <w:sz w:val="36"/>
          <w:szCs w:val="36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  <w:t>GSGB-ITSS-</w:t>
      </w:r>
      <w:r>
        <w:rPr>
          <w:rFonts w:ascii="宋体" w:hAnsi="宋体" w:cs="宋体" w:hint="eastAsia"/>
          <w:b/>
          <w:bCs/>
          <w:sz w:val="36"/>
          <w:szCs w:val="36"/>
          <w:lang w:val="en-US" w:eastAsia="zh-CN"/>
        </w:rPr>
        <w:t>10</w:t>
      </w:r>
      <w:r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  <w:t>-0</w:t>
      </w:r>
      <w:r>
        <w:rPr>
          <w:rFonts w:ascii="宋体" w:hAnsi="宋体" w:cs="宋体" w:hint="eastAsia"/>
          <w:b/>
          <w:bCs/>
          <w:sz w:val="36"/>
          <w:szCs w:val="36"/>
          <w:lang w:val="en-US" w:eastAsia="zh-CN"/>
        </w:rPr>
        <w:t>2</w:t>
      </w:r>
    </w:p>
    <w:p>
      <w:pPr>
        <w:tabs>
          <w:tab w:val="left" w:pos="0"/>
        </w:tabs>
        <w:spacing w:line="1000" w:lineRule="exact"/>
        <w:ind w:left="0" w:firstLine="720" w:leftChars="0" w:firstLineChars="300"/>
        <w:jc w:val="left"/>
        <w:rPr>
          <w:rFonts w:ascii="宋体" w:hAnsi="宋体" w:cs="宋体" w:hint="eastAsia"/>
          <w:b/>
          <w:bCs/>
          <w:sz w:val="36"/>
          <w:szCs w:val="36"/>
          <w:lang w:val="en-US" w:eastAsia="zh-CN"/>
        </w:rPr>
      </w:pPr>
    </w:p>
    <w:p>
      <w:pPr>
        <w:tabs>
          <w:tab w:val="left" w:pos="0"/>
        </w:tabs>
        <w:spacing w:line="1000" w:lineRule="exact"/>
        <w:ind w:left="0" w:firstLine="720" w:leftChars="0" w:firstLineChars="300"/>
        <w:jc w:val="left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拟制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eastAsia="zh-CN"/>
        </w:rPr>
        <w:t>胡葛鹏宇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left="0" w:firstLine="720" w:leftChars="0" w:firstLineChars="30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审核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val="en-US" w:eastAsia="zh-CN"/>
        </w:rPr>
        <w:t>兰伟东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before="312" w:beforeLines="100" w:after="312" w:afterLines="100"/>
        <w:ind w:firstLine="720" w:firstLineChars="300"/>
        <w:jc w:val="both"/>
        <w:rPr>
          <w:rFonts w:eastAsia="宋体"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</w:rPr>
        <w:t>批准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赵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鑫            </w:t>
      </w:r>
    </w:p>
    <w:p>
      <w:pPr>
        <w:rPr>
          <w:rFonts w:ascii="黑体" w:eastAsia="黑体" w:hint="eastAsia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br w:type="page"/>
      </w:r>
    </w:p>
    <w:p>
      <w:pPr>
        <w:tabs>
          <w:tab w:val="left" w:pos="0"/>
        </w:tabs>
        <w:spacing w:before="312" w:beforeLines="100" w:after="312" w:afterLines="100"/>
        <w:ind w:firstLine="0" w:firstLineChars="0"/>
        <w:jc w:val="center"/>
        <w:rPr>
          <w:rFonts w:ascii="黑体" w:eastAsia="黑体" w:hint="eastAsia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修改记录</w:t>
      </w:r>
    </w:p>
    <w:tbl>
      <w:tblPr>
        <w:tblStyle w:val="TableNormal"/>
        <w:tblW w:w="499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381"/>
        <w:gridCol w:w="1381"/>
        <w:gridCol w:w="1381"/>
        <w:gridCol w:w="1497"/>
        <w:gridCol w:w="1497"/>
      </w:tblGrid>
      <w:tr>
        <w:tblPrEx>
          <w:tblW w:w="4997" w:type="pct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序号</w:t>
            </w:r>
          </w:p>
        </w:tc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新建/修改</w:t>
            </w:r>
          </w:p>
        </w:tc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拟制人</w:t>
            </w:r>
          </w:p>
        </w:tc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审核人</w:t>
            </w:r>
          </w:p>
        </w:tc>
        <w:tc>
          <w:tcPr>
            <w:tcW w:w="878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批准人</w:t>
            </w:r>
          </w:p>
        </w:tc>
        <w:tc>
          <w:tcPr>
            <w:tcW w:w="878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日期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1.0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新建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胡葛鹏宇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兰伟东</w:t>
            </w:r>
          </w:p>
        </w:tc>
        <w:tc>
          <w:tcPr>
            <w:tcW w:w="878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黄益溪</w:t>
            </w:r>
          </w:p>
        </w:tc>
        <w:tc>
          <w:tcPr>
            <w:tcW w:w="878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2025.1.7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</w:tbl>
    <w:p>
      <w:pPr>
        <w:rPr>
          <w:rFonts w:ascii="黑体" w:eastAsia="宋体" w:hAnsi="黑体" w:hint="eastAsia"/>
          <w:b/>
          <w:sz w:val="32"/>
          <w:szCs w:val="32"/>
          <w:lang w:eastAsia="zh-CN"/>
        </w:rPr>
      </w:pPr>
    </w:p>
    <w:p>
      <w:pPr>
        <w:rPr>
          <w:rFonts w:ascii="黑体" w:eastAsia="宋体" w:hAnsi="黑体" w:hint="eastAsia"/>
          <w:b/>
          <w:sz w:val="32"/>
          <w:szCs w:val="32"/>
          <w:lang w:eastAsia="zh-CN"/>
        </w:rPr>
        <w:sectPr>
          <w:headerReference w:type="default" r:id="rId7"/>
          <w:footerReference w:type="default" r:id="rId8"/>
          <w:pgSz w:w="11906" w:h="16838"/>
          <w:pgMar w:top="1560" w:right="1800" w:bottom="1440" w:left="1800" w:header="851" w:footer="992" w:gutter="0"/>
          <w:cols w:num="1" w:space="720"/>
          <w:docGrid w:type="lines" w:linePitch="312" w:charSpace="0"/>
        </w:sectPr>
      </w:pPr>
    </w:p>
    <w:p>
      <w:pPr>
        <w:pStyle w:val="TOC1"/>
        <w:spacing w:line="480" w:lineRule="auto"/>
        <w:jc w:val="center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目  录</w:t>
      </w:r>
      <w:bookmarkStart w:id="0" w:name="_GoBack"/>
      <w:bookmarkEnd w:id="0"/>
    </w:p>
    <w:p>
      <w:pPr>
        <w:pStyle w:val="TOC1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 w:val="24"/>
          <w:szCs w:val="24"/>
        </w:rPr>
        <w:fldChar w:fldCharType="begin"/>
      </w:r>
      <w:r>
        <w:rPr>
          <w:rFonts w:ascii="黑体" w:eastAsia="黑体" w:hAnsi="黑体"/>
          <w:sz w:val="24"/>
          <w:szCs w:val="24"/>
        </w:rPr>
        <w:instrText xml:space="preserve">TOC \o "1-5" \h \u </w:instrText>
      </w:r>
      <w:r>
        <w:rPr>
          <w:rFonts w:ascii="黑体" w:eastAsia="黑体" w:hAnsi="黑体"/>
          <w:sz w:val="24"/>
          <w:szCs w:val="24"/>
        </w:rPr>
        <w:fldChar w:fldCharType="separate"/>
      </w: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_Toc7277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1. 概述</w:t>
      </w:r>
      <w:r>
        <w:tab/>
      </w:r>
      <w:r>
        <w:fldChar w:fldCharType="begin"/>
      </w:r>
      <w:r>
        <w:instrText xml:space="preserve"> PAGEREF _Toc7277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_Toc32206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1.1 目的</w:t>
      </w:r>
      <w:r>
        <w:tab/>
      </w:r>
      <w:r>
        <w:fldChar w:fldCharType="begin"/>
      </w:r>
      <w:r>
        <w:instrText xml:space="preserve"> PAGEREF _Toc32206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_Toc27084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1.2 范围</w:t>
      </w:r>
      <w:r>
        <w:tab/>
      </w:r>
      <w:r>
        <w:fldChar w:fldCharType="begin"/>
      </w:r>
      <w:r>
        <w:instrText xml:space="preserve"> PAGEREF _Toc27084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_Toc10716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1.3 基本原则</w:t>
      </w:r>
      <w:r>
        <w:tab/>
      </w:r>
      <w:r>
        <w:fldChar w:fldCharType="begin"/>
      </w:r>
      <w:r>
        <w:instrText xml:space="preserve"> PAGEREF _Toc10716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_Toc66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2. 服务交付策划</w:t>
      </w:r>
      <w:r>
        <w:tab/>
      </w:r>
      <w:r>
        <w:fldChar w:fldCharType="begin"/>
      </w:r>
      <w:r>
        <w:instrText xml:space="preserve"> PAGEREF _Toc66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_Toc4417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2.1 交付方案制定</w:t>
      </w:r>
      <w:r>
        <w:tab/>
      </w:r>
      <w:r>
        <w:fldChar w:fldCharType="begin"/>
      </w:r>
      <w:r>
        <w:instrText xml:space="preserve"> PAGEREF _Toc4417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_Toc23011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2.2 策划评审</w:t>
      </w:r>
      <w:r>
        <w:tab/>
      </w:r>
      <w:r>
        <w:fldChar w:fldCharType="begin"/>
      </w:r>
      <w:r>
        <w:instrText xml:space="preserve"> PAGEREF _Toc23011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_Toc9358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 服务交付实施</w:t>
      </w:r>
      <w:r>
        <w:tab/>
      </w:r>
      <w:r>
        <w:fldChar w:fldCharType="begin"/>
      </w:r>
      <w:r>
        <w:instrText xml:space="preserve"> PAGEREF _Toc9358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_Toc20615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3.1 资源准备与启动</w:t>
      </w:r>
      <w:r>
        <w:tab/>
      </w:r>
      <w:r>
        <w:fldChar w:fldCharType="begin"/>
      </w:r>
      <w:r>
        <w:instrText xml:space="preserve"> PAGEREF _Toc20615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_Toc31651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3.2 过程执行与记录</w:t>
      </w:r>
      <w:r>
        <w:tab/>
      </w:r>
      <w:r>
        <w:fldChar w:fldCharType="begin"/>
      </w:r>
      <w:r>
        <w:instrText xml:space="preserve"> PAGEREF _Toc31651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_Toc13414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3.3 沟通与协调</w:t>
      </w:r>
      <w:r>
        <w:tab/>
      </w:r>
      <w:r>
        <w:fldChar w:fldCharType="begin"/>
      </w:r>
      <w:r>
        <w:instrText xml:space="preserve"> PAGEREF _Toc13414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_Toc17991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4. 服务交付检查</w:t>
      </w:r>
      <w:r>
        <w:tab/>
      </w:r>
      <w:r>
        <w:fldChar w:fldCharType="begin"/>
      </w:r>
      <w:r>
        <w:instrText xml:space="preserve"> PAGEREF _Toc17991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_Toc23769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4.1 日常监控</w:t>
      </w:r>
      <w:r>
        <w:tab/>
      </w:r>
      <w:r>
        <w:fldChar w:fldCharType="begin"/>
      </w:r>
      <w:r>
        <w:instrText xml:space="preserve"> PAGEREF _Toc23769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_Toc29296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4.2 定期评估</w:t>
      </w:r>
      <w:r>
        <w:tab/>
      </w:r>
      <w:r>
        <w:fldChar w:fldCharType="begin"/>
      </w:r>
      <w:r>
        <w:instrText xml:space="preserve"> PAGEREF _Toc29296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_Toc11254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5. 服务交付改进</w:t>
      </w:r>
      <w:r>
        <w:tab/>
      </w:r>
      <w:r>
        <w:fldChar w:fldCharType="begin"/>
      </w:r>
      <w:r>
        <w:instrText xml:space="preserve"> PAGEREF _Toc11254 \h </w:instrText>
      </w:r>
      <w:r>
        <w:fldChar w:fldCharType="separate"/>
      </w:r>
      <w:r>
        <w:t>3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_Toc15855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5.1 改进识别</w:t>
      </w:r>
      <w:r>
        <w:tab/>
      </w:r>
      <w:r>
        <w:fldChar w:fldCharType="begin"/>
      </w:r>
      <w:r>
        <w:instrText xml:space="preserve"> PAGEREF _Toc15855 \h </w:instrText>
      </w:r>
      <w:r>
        <w:fldChar w:fldCharType="separate"/>
      </w:r>
      <w:r>
        <w:t>3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_Toc1047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5.2 改进实施与验证</w:t>
      </w:r>
      <w:r>
        <w:tab/>
      </w:r>
      <w:r>
        <w:fldChar w:fldCharType="begin"/>
      </w:r>
      <w:r>
        <w:instrText xml:space="preserve"> PAGEREF _Toc1047 \h </w:instrText>
      </w:r>
      <w:r>
        <w:fldChar w:fldCharType="separate"/>
      </w:r>
      <w:r>
        <w:t>3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_Toc22106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6. 例行操作规范</w:t>
      </w:r>
      <w:r>
        <w:tab/>
      </w:r>
      <w:r>
        <w:fldChar w:fldCharType="begin"/>
      </w:r>
      <w:r>
        <w:instrText xml:space="preserve"> PAGEREF _Toc22106 \h </w:instrText>
      </w:r>
      <w:r>
        <w:fldChar w:fldCharType="separate"/>
      </w:r>
      <w:r>
        <w:t>3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_Toc26253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6.1 操作计划</w:t>
      </w:r>
      <w:r>
        <w:tab/>
      </w:r>
      <w:r>
        <w:fldChar w:fldCharType="begin"/>
      </w:r>
      <w:r>
        <w:instrText xml:space="preserve"> PAGEREF _Toc26253 \h </w:instrText>
      </w:r>
      <w:r>
        <w:fldChar w:fldCharType="separate"/>
      </w:r>
      <w:r>
        <w:t>3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_Toc365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6.2 操作执行</w:t>
      </w:r>
      <w:r>
        <w:tab/>
      </w:r>
      <w:r>
        <w:fldChar w:fldCharType="begin"/>
      </w:r>
      <w:r>
        <w:instrText xml:space="preserve"> PAGEREF _Toc365 \h </w:instrText>
      </w:r>
      <w:r>
        <w:fldChar w:fldCharType="separate"/>
      </w:r>
      <w:r>
        <w:t>3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_Toc27926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6.3 操作记录与报告</w:t>
      </w:r>
      <w:r>
        <w:tab/>
      </w:r>
      <w:r>
        <w:fldChar w:fldCharType="begin"/>
      </w:r>
      <w:r>
        <w:instrText xml:space="preserve"> PAGEREF _Toc27926 \h </w:instrText>
      </w:r>
      <w:r>
        <w:fldChar w:fldCharType="separate"/>
      </w:r>
      <w:r>
        <w:t>3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_Toc22833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7. 响应支持规范</w:t>
      </w:r>
      <w:r>
        <w:tab/>
      </w:r>
      <w:r>
        <w:fldChar w:fldCharType="begin"/>
      </w:r>
      <w:r>
        <w:instrText xml:space="preserve"> PAGEREF _Toc22833 \h </w:instrText>
      </w:r>
      <w:r>
        <w:fldChar w:fldCharType="separate"/>
      </w:r>
      <w:r>
        <w:t>4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_Toc7114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7.1 受理与响应</w:t>
      </w:r>
      <w:r>
        <w:tab/>
      </w:r>
      <w:r>
        <w:fldChar w:fldCharType="begin"/>
      </w:r>
      <w:r>
        <w:instrText xml:space="preserve"> PAGEREF _Toc7114 \h </w:instrText>
      </w:r>
      <w:r>
        <w:fldChar w:fldCharType="separate"/>
      </w:r>
      <w:r>
        <w:t>4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_Toc17073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7.2 处理与升级</w:t>
      </w:r>
      <w:r>
        <w:tab/>
      </w:r>
      <w:r>
        <w:fldChar w:fldCharType="begin"/>
      </w:r>
      <w:r>
        <w:instrText xml:space="preserve"> PAGEREF _Toc17073 \h </w:instrText>
      </w:r>
      <w:r>
        <w:fldChar w:fldCharType="separate"/>
      </w:r>
      <w:r>
        <w:t>4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_Toc14230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7.3 关闭与回访</w:t>
      </w:r>
      <w:r>
        <w:tab/>
      </w:r>
      <w:r>
        <w:fldChar w:fldCharType="begin"/>
      </w:r>
      <w:r>
        <w:instrText xml:space="preserve"> PAGEREF _Toc14230 \h </w:instrText>
      </w:r>
      <w:r>
        <w:fldChar w:fldCharType="separate"/>
      </w:r>
      <w:r>
        <w:t>4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_Toc15110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8. 附则</w:t>
      </w:r>
      <w:r>
        <w:tab/>
      </w:r>
      <w:r>
        <w:fldChar w:fldCharType="begin"/>
      </w:r>
      <w:r>
        <w:instrText xml:space="preserve"> PAGEREF _Toc15110 \h </w:instrText>
      </w:r>
      <w:r>
        <w:fldChar w:fldCharType="separate"/>
      </w:r>
      <w:r>
        <w:t>4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_Toc28041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8.1 解释权</w:t>
      </w:r>
      <w:r>
        <w:tab/>
      </w:r>
      <w:r>
        <w:fldChar w:fldCharType="begin"/>
      </w:r>
      <w:r>
        <w:instrText xml:space="preserve"> PAGEREF _Toc28041 \h </w:instrText>
      </w:r>
      <w:r>
        <w:fldChar w:fldCharType="separate"/>
      </w:r>
      <w:r>
        <w:t>4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_Toc13816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8.2 生效日期</w:t>
      </w:r>
      <w:r>
        <w:tab/>
      </w:r>
      <w:r>
        <w:fldChar w:fldCharType="begin"/>
      </w:r>
      <w:r>
        <w:instrText xml:space="preserve"> PAGEREF _Toc13816 \h </w:instrText>
      </w:r>
      <w:r>
        <w:fldChar w:fldCharType="separate"/>
      </w:r>
      <w:r>
        <w:t>4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keepNext w:val="0"/>
        <w:keepLines w:val="0"/>
        <w:pageBreakBefore w:val="0"/>
        <w:widowControl/>
        <w:tabs>
          <w:tab w:val="left" w:pos="1440"/>
          <w:tab w:val="right" w:leader="dot" w:pos="88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 w:firstLineChars="0"/>
        <w:textAlignment w:val="auto"/>
        <w:rPr>
          <w:rFonts w:ascii="黑体" w:eastAsia="黑体" w:hAnsi="黑体"/>
          <w:sz w:val="24"/>
          <w:szCs w:val="24"/>
        </w:rPr>
        <w:sectPr>
          <w:pgSz w:w="11906" w:h="16838"/>
          <w:pgMar w:top="1560" w:right="1800" w:bottom="1440" w:left="1800" w:header="851" w:footer="992" w:gutter="0"/>
          <w:cols w:num="1" w:space="720"/>
          <w:docGrid w:type="lines" w:linePitch="312" w:charSpace="0"/>
        </w:sectPr>
      </w:pPr>
      <w:r>
        <w:rPr>
          <w:rFonts w:ascii="黑体" w:eastAsia="黑体" w:hAnsi="黑体"/>
          <w:szCs w:val="24"/>
        </w:rPr>
        <w:fldChar w:fldCharType="end"/>
      </w:r>
    </w:p>
    <w:p>
      <w:pPr>
        <w:pStyle w:val="Heading1"/>
        <w:bidi w:val="0"/>
        <w:rPr>
          <w:rFonts w:hint="eastAsia"/>
          <w:lang w:val="en-US" w:eastAsia="zh-CN"/>
        </w:rPr>
      </w:pPr>
      <w:bookmarkStart w:id="1" w:name="_Toc7277"/>
      <w:r>
        <w:rPr>
          <w:rFonts w:hint="eastAsia"/>
          <w:lang w:val="en-US" w:eastAsia="zh-CN"/>
        </w:rPr>
        <w:t>1. 概述</w:t>
      </w:r>
      <w:bookmarkEnd w:id="1"/>
    </w:p>
    <w:p>
      <w:pPr>
        <w:pStyle w:val="Heading2"/>
        <w:bidi w:val="0"/>
        <w:rPr>
          <w:rFonts w:hint="eastAsia"/>
          <w:lang w:val="en-US" w:eastAsia="zh-CN"/>
        </w:rPr>
      </w:pPr>
      <w:bookmarkStart w:id="2" w:name="_Toc32206"/>
      <w:r>
        <w:rPr>
          <w:rFonts w:hint="eastAsia"/>
          <w:lang w:val="en-US" w:eastAsia="zh-CN"/>
        </w:rPr>
        <w:t>1.1 目的</w:t>
      </w:r>
      <w:bookmarkEnd w:id="2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为规范甘肃国邦信息科技有限公司（以下简称"公司"）运维服务的交付过程，确保服务能够按照服务级别协议（SLA）的要求，以一致的、可控的、高质量的方式交付给客户，特制定本规范。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3" w:name="_Toc27084"/>
      <w:r>
        <w:rPr>
          <w:rFonts w:hint="eastAsia"/>
          <w:lang w:val="en-US" w:eastAsia="zh-CN"/>
        </w:rPr>
        <w:t>1.2 范围</w:t>
      </w:r>
      <w:bookmarkEnd w:id="3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本规范适用于公司所有运维服务项目的交付活动，包括交付前的策划、交付中的实施与监控、交付后的检查与改进等全过程。涉及的角色包括项目经理、运维工程师、服务台、质量管控人员等。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4" w:name="_Toc10716"/>
      <w:r>
        <w:rPr>
          <w:rFonts w:hint="eastAsia"/>
          <w:lang w:val="en-US" w:eastAsia="zh-CN"/>
        </w:rPr>
        <w:t>1.3 基本原则</w:t>
      </w:r>
      <w:bookmarkEnd w:id="4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客户导向原则：以满足客户业务需求和SLA要求为交付活动的核心目标。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过程可控原则：通过标准化的流程和工具，确保交付过程的可视、可控、可追溯。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持续改进原则：基于监控数据和客户反馈，持续优化交付方法和效率。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质量保证原则：将质量管理活动嵌入交付全过程，确保服务成果符合预期标准。</w:t>
      </w:r>
    </w:p>
    <w:p>
      <w:pPr>
        <w:pStyle w:val="Heading1"/>
        <w:bidi w:val="0"/>
        <w:rPr>
          <w:rFonts w:hint="eastAsia"/>
          <w:lang w:val="en-US" w:eastAsia="zh-CN"/>
        </w:rPr>
      </w:pPr>
      <w:bookmarkStart w:id="5" w:name="_Toc66"/>
      <w:r>
        <w:rPr>
          <w:rFonts w:hint="eastAsia"/>
          <w:lang w:val="en-US" w:eastAsia="zh-CN"/>
        </w:rPr>
        <w:t>2. 服务交付策划</w:t>
      </w:r>
      <w:bookmarkEnd w:id="5"/>
    </w:p>
    <w:p>
      <w:pPr>
        <w:pStyle w:val="Heading2"/>
        <w:bidi w:val="0"/>
        <w:rPr>
          <w:rFonts w:hint="eastAsia"/>
          <w:lang w:val="en-US" w:eastAsia="zh-CN"/>
        </w:rPr>
      </w:pPr>
      <w:bookmarkStart w:id="6" w:name="_Toc4417"/>
      <w:r>
        <w:rPr>
          <w:rFonts w:hint="eastAsia"/>
          <w:lang w:val="en-US" w:eastAsia="zh-CN"/>
        </w:rPr>
        <w:t>2.1 交付方案制定</w:t>
      </w:r>
      <w:bookmarkEnd w:id="6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在服务项目启动或合同签订后，项目经理应组织制定《项目交付方案》。该方案应至少包含：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项目背景与服务目标。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服务范围、服务目录及具体的SLA指标。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组织架构与人员角色职责。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交付流程与工作规范（引用本规范及相关过程文件）。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使用的资源计划，包括人员、工具、备件、知识等。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沟通汇报机制（频率、内容、对象）。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风险识别与应对措施。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验收标准与方式。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7" w:name="_Toc23011"/>
      <w:r>
        <w:rPr>
          <w:rFonts w:hint="eastAsia"/>
          <w:lang w:val="en-US" w:eastAsia="zh-CN"/>
        </w:rPr>
        <w:t>2.2 策划评审</w:t>
      </w:r>
      <w:bookmarkEnd w:id="7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《项目交付方案》需经过运维管理部经理审核，必要时组织客户代表及相关技术专家进行评审，确保其可行性并能全面覆盖合同与SLA要求。</w:t>
      </w:r>
    </w:p>
    <w:p>
      <w:pPr>
        <w:pStyle w:val="Heading1"/>
        <w:bidi w:val="0"/>
        <w:rPr>
          <w:rFonts w:hint="eastAsia"/>
          <w:lang w:val="en-US" w:eastAsia="zh-CN"/>
        </w:rPr>
      </w:pPr>
      <w:bookmarkStart w:id="8" w:name="_Toc9358"/>
      <w:r>
        <w:rPr>
          <w:rFonts w:hint="eastAsia"/>
          <w:lang w:val="en-US" w:eastAsia="zh-CN"/>
        </w:rPr>
        <w:t>3. 服务交付实施</w:t>
      </w:r>
      <w:bookmarkEnd w:id="8"/>
    </w:p>
    <w:p>
      <w:pPr>
        <w:pStyle w:val="Heading2"/>
        <w:bidi w:val="0"/>
        <w:rPr>
          <w:rFonts w:hint="eastAsia"/>
          <w:lang w:val="en-US" w:eastAsia="zh-CN"/>
        </w:rPr>
      </w:pPr>
      <w:bookmarkStart w:id="9" w:name="_Toc20615"/>
      <w:r>
        <w:rPr>
          <w:rFonts w:hint="eastAsia"/>
          <w:lang w:val="en-US" w:eastAsia="zh-CN"/>
        </w:rPr>
        <w:t>3.1 资源准备与启动</w:t>
      </w:r>
      <w:bookmarkEnd w:id="9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根据交付方案，确保所需人员、技术、资源（如备件库、知识库、运维工具权限）在服务开始前准备就绪。召开项目启动会，向所有项目成员明确交付目标与要求。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10" w:name="_Toc31651"/>
      <w:r>
        <w:rPr>
          <w:rFonts w:hint="eastAsia"/>
          <w:lang w:val="en-US" w:eastAsia="zh-CN"/>
        </w:rPr>
        <w:t>3.2 过程执行与记录</w:t>
      </w:r>
      <w:bookmarkEnd w:id="10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服务请求与事件处理：严格按照《事件管理程序》和《服务台应用情况说明》执行，所有活动均需在“网强ITSM流程管理软件”中记录。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问题、变更、发布管理：遵循对应的管理程序，确保过程规范、记录完整。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例行操作：按照《运维交付例行操作手册》及本项目制定的巡检、维护计划执行，并保存操作记录。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服务报告：按照《服务报告管理程序》定期编制和提交服务报告，向客户和管理层汇报服务达成情况。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11" w:name="_Toc13414"/>
      <w:r>
        <w:rPr>
          <w:rFonts w:hint="eastAsia"/>
          <w:lang w:val="en-US" w:eastAsia="zh-CN"/>
        </w:rPr>
        <w:t>3.3 沟通与协调</w:t>
      </w:r>
      <w:bookmarkEnd w:id="11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项目经理负责建立与客户及相关方的沟通渠道，定期沟通服务状态，及时处理客户反馈。</w:t>
      </w:r>
    </w:p>
    <w:p>
      <w:pPr>
        <w:pStyle w:val="Heading1"/>
        <w:bidi w:val="0"/>
        <w:rPr>
          <w:rFonts w:hint="eastAsia"/>
          <w:lang w:val="en-US" w:eastAsia="zh-CN"/>
        </w:rPr>
      </w:pPr>
      <w:bookmarkStart w:id="12" w:name="_Toc17991"/>
      <w:r>
        <w:rPr>
          <w:rFonts w:hint="eastAsia"/>
          <w:lang w:val="en-US" w:eastAsia="zh-CN"/>
        </w:rPr>
        <w:t>4. 服务交付检查</w:t>
      </w:r>
      <w:bookmarkEnd w:id="12"/>
    </w:p>
    <w:p>
      <w:pPr>
        <w:pStyle w:val="Heading2"/>
        <w:bidi w:val="0"/>
        <w:rPr>
          <w:rFonts w:hint="eastAsia"/>
          <w:lang w:val="en-US" w:eastAsia="zh-CN"/>
        </w:rPr>
      </w:pPr>
      <w:bookmarkStart w:id="13" w:name="_Toc23769"/>
      <w:r>
        <w:rPr>
          <w:rFonts w:hint="eastAsia"/>
          <w:lang w:val="en-US" w:eastAsia="zh-CN"/>
        </w:rPr>
        <w:t>4.1 日常监控</w:t>
      </w:r>
      <w:bookmarkEnd w:id="13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SLA监控：通过运维工具实时监控SLA关键指标的达成情况，如事件响应时间、解决时间等。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质量检查：质量管控部定期或不定期对项目交付过程进行抽查，检查其是否符合交付方案及相关流程要求。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14" w:name="_Toc29296"/>
      <w:r>
        <w:rPr>
          <w:rFonts w:hint="eastAsia"/>
          <w:lang w:val="en-US" w:eastAsia="zh-CN"/>
        </w:rPr>
        <w:t>4.2 定期评估</w:t>
      </w:r>
      <w:bookmarkEnd w:id="14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服务报告分析：结合月度/季度服务报告，分析SLA达成情况、趋势及存在的问题。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客户满意度调查：按照《运维满意度管理程序》定期开展客户满意度调查，收集客户对服务交付的直接反馈。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内部评审：在管理评审和内部审核中，将服务交付的有效性作为重要输入进行评价。</w:t>
      </w:r>
    </w:p>
    <w:p>
      <w:pPr>
        <w:pStyle w:val="Heading1"/>
        <w:bidi w:val="0"/>
        <w:rPr>
          <w:rFonts w:hint="eastAsia"/>
          <w:lang w:val="en-US" w:eastAsia="zh-CN"/>
        </w:rPr>
      </w:pPr>
      <w:bookmarkStart w:id="15" w:name="_Toc11254"/>
      <w:r>
        <w:rPr>
          <w:rFonts w:hint="eastAsia"/>
          <w:lang w:val="en-US" w:eastAsia="zh-CN"/>
        </w:rPr>
        <w:t>5. 服务交付改进</w:t>
      </w:r>
      <w:bookmarkEnd w:id="15"/>
    </w:p>
    <w:p>
      <w:pPr>
        <w:pStyle w:val="Heading2"/>
        <w:bidi w:val="0"/>
        <w:rPr>
          <w:rFonts w:hint="eastAsia"/>
          <w:lang w:val="en-US" w:eastAsia="zh-CN"/>
        </w:rPr>
      </w:pPr>
      <w:bookmarkStart w:id="16" w:name="_Toc15855"/>
      <w:r>
        <w:rPr>
          <w:rFonts w:hint="eastAsia"/>
          <w:lang w:val="en-US" w:eastAsia="zh-CN"/>
        </w:rPr>
        <w:t>5.1 改进识别</w:t>
      </w:r>
      <w:bookmarkEnd w:id="16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通过对服务交付检查结果（如未达成的SLA、客户投诉或建议、内审发现的不符合项）进行分析，识别改进机会。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17" w:name="_Toc1047"/>
      <w:r>
        <w:rPr>
          <w:rFonts w:hint="eastAsia"/>
          <w:lang w:val="en-US" w:eastAsia="zh-CN"/>
        </w:rPr>
        <w:t>5.2 改进实施与验证</w:t>
      </w:r>
      <w:bookmarkEnd w:id="17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针对识别的改进项，制定《服务交付改进计划》，明确改进措施、责任人、时间表和验证标准。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由项目经理负责推动改进措施的实施，质量管控部对改进效果进行跟踪和验证。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有效的改进措施应被标准化，并更新到相应的交付方案、操作手册或流程文件中。</w:t>
      </w:r>
    </w:p>
    <w:p>
      <w:pPr>
        <w:pStyle w:val="Heading1"/>
        <w:bidi w:val="0"/>
        <w:rPr>
          <w:rFonts w:hint="eastAsia"/>
          <w:lang w:val="en-US" w:eastAsia="zh-CN"/>
        </w:rPr>
      </w:pPr>
      <w:bookmarkStart w:id="18" w:name="_Toc22106"/>
      <w:r>
        <w:rPr>
          <w:rFonts w:hint="eastAsia"/>
          <w:lang w:val="en-US" w:eastAsia="zh-CN"/>
        </w:rPr>
        <w:t>6. 例行操作规范</w:t>
      </w:r>
      <w:bookmarkEnd w:id="18"/>
    </w:p>
    <w:p>
      <w:pPr>
        <w:pStyle w:val="Heading2"/>
        <w:bidi w:val="0"/>
        <w:rPr>
          <w:rFonts w:hint="eastAsia"/>
          <w:lang w:val="en-US" w:eastAsia="zh-CN"/>
        </w:rPr>
      </w:pPr>
      <w:bookmarkStart w:id="19" w:name="_Toc26253"/>
      <w:r>
        <w:rPr>
          <w:rFonts w:hint="eastAsia"/>
          <w:lang w:val="en-US" w:eastAsia="zh-CN"/>
        </w:rPr>
        <w:t>6.1 操作计划</w:t>
      </w:r>
      <w:bookmarkEnd w:id="19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各项目需制定《例行操作计划》，明确各项操作任务的周期、内容、执行人、检查标准及输出物（如巡检报告）。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20" w:name="_Toc365"/>
      <w:r>
        <w:rPr>
          <w:rFonts w:hint="eastAsia"/>
          <w:lang w:val="en-US" w:eastAsia="zh-CN"/>
        </w:rPr>
        <w:t>6.2 操作执行</w:t>
      </w:r>
      <w:bookmarkEnd w:id="20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运维工程师需严格按照计划及《运维交付例行操作手册》执行操作，操作过程应：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遵守安全规范。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对系统运行状态进行判断并记录。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发现异常时，按预设流程进行处置和上报。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21" w:name="_Toc27926"/>
      <w:r>
        <w:rPr>
          <w:rFonts w:hint="eastAsia"/>
          <w:lang w:val="en-US" w:eastAsia="zh-CN"/>
        </w:rPr>
        <w:t>6.3 操作记录与报告</w:t>
      </w:r>
      <w:bookmarkEnd w:id="21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所有例行操作均需保留清晰、完整的记录，并按规定格式生成操作报告，经审核后归档。</w:t>
      </w:r>
    </w:p>
    <w:p>
      <w:pPr>
        <w:pStyle w:val="Heading1"/>
        <w:bidi w:val="0"/>
        <w:rPr>
          <w:rFonts w:hint="eastAsia"/>
          <w:lang w:val="en-US" w:eastAsia="zh-CN"/>
        </w:rPr>
      </w:pPr>
      <w:bookmarkStart w:id="22" w:name="_Toc22833"/>
      <w:r>
        <w:rPr>
          <w:rFonts w:hint="eastAsia"/>
          <w:lang w:val="en-US" w:eastAsia="zh-CN"/>
        </w:rPr>
        <w:t>7. 响应支持规范</w:t>
      </w:r>
      <w:bookmarkEnd w:id="22"/>
    </w:p>
    <w:p>
      <w:pPr>
        <w:pStyle w:val="Heading2"/>
        <w:bidi w:val="0"/>
        <w:rPr>
          <w:rFonts w:hint="eastAsia"/>
          <w:lang w:val="en-US" w:eastAsia="zh-CN"/>
        </w:rPr>
      </w:pPr>
      <w:bookmarkStart w:id="23" w:name="_Toc7114"/>
      <w:r>
        <w:rPr>
          <w:rFonts w:hint="eastAsia"/>
          <w:lang w:val="en-US" w:eastAsia="zh-CN"/>
        </w:rPr>
        <w:t>7.1 受理与响应</w:t>
      </w:r>
      <w:bookmarkEnd w:id="23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所有服务请求通过统一服务台热线（0816-2469374）等渠道受理。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服务台根据《事件管理程序》进行记录、分类和初步处理，并确保在SLA约定的时间内响应。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24" w:name="_Toc17073"/>
      <w:r>
        <w:rPr>
          <w:rFonts w:hint="eastAsia"/>
          <w:lang w:val="en-US" w:eastAsia="zh-CN"/>
        </w:rPr>
        <w:t>7.2 处理与升级</w:t>
      </w:r>
      <w:bookmarkEnd w:id="24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工程师接到派单后，应及时处理并在系统中更新状态。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若问题超出自身解决能力或预计将超时，应立即按流程进行升级。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25" w:name="_Toc14230"/>
      <w:r>
        <w:rPr>
          <w:rFonts w:hint="eastAsia"/>
          <w:lang w:val="en-US" w:eastAsia="zh-CN"/>
        </w:rPr>
        <w:t>7.3 关闭与回访</w:t>
      </w:r>
      <w:bookmarkEnd w:id="25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问题解决后，需经用户确认方可关闭工单。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服务台对已关闭工单进行回访，了解用户满意度，并收集反馈。</w:t>
      </w:r>
    </w:p>
    <w:p>
      <w:pPr>
        <w:pStyle w:val="Heading1"/>
        <w:bidi w:val="0"/>
        <w:rPr>
          <w:rFonts w:hint="eastAsia"/>
          <w:lang w:val="en-US" w:eastAsia="zh-CN"/>
        </w:rPr>
      </w:pPr>
      <w:bookmarkStart w:id="26" w:name="_Toc15110"/>
      <w:r>
        <w:rPr>
          <w:rFonts w:hint="eastAsia"/>
          <w:lang w:val="en-US" w:eastAsia="zh-CN"/>
        </w:rPr>
        <w:t>8. 附则</w:t>
      </w:r>
      <w:bookmarkEnd w:id="26"/>
    </w:p>
    <w:p>
      <w:pPr>
        <w:pStyle w:val="Heading2"/>
        <w:bidi w:val="0"/>
        <w:rPr>
          <w:rFonts w:hint="eastAsia"/>
          <w:lang w:val="en-US" w:eastAsia="zh-CN"/>
        </w:rPr>
      </w:pPr>
      <w:bookmarkStart w:id="27" w:name="_Toc28041"/>
      <w:r>
        <w:rPr>
          <w:rFonts w:hint="eastAsia"/>
          <w:lang w:val="en-US" w:eastAsia="zh-CN"/>
        </w:rPr>
        <w:t>8.1 解释权</w:t>
      </w:r>
      <w:bookmarkEnd w:id="27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本规范由公司运维管理部负责解释。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28" w:name="_Toc13816"/>
      <w:r>
        <w:rPr>
          <w:rFonts w:hint="eastAsia"/>
          <w:lang w:val="en-US" w:eastAsia="zh-CN"/>
        </w:rPr>
        <w:t>8.2 生效日期</w:t>
      </w:r>
      <w:bookmarkEnd w:id="28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本规范自发布之日起生效。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</w:p>
    <w:sectPr>
      <w:footerReference w:type="default" r:id="rId9"/>
      <w:pgSz w:w="11906" w:h="16838"/>
      <w:pgMar w:top="1560" w:right="1800" w:bottom="1440" w:left="1800" w:header="851" w:footer="992" w:gutter="0"/>
      <w:pgNumType w:fmt="decimal" w:start="1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o:spid="_x0000_s2049" type="#_x0000_t202" style="height:2in;margin-left:0;margin-top:0;mso-height-relative:page;mso-position-horizontal:center;mso-position-horizontal-relative:margin;mso-width-relative:page;mso-wrap-style:none;position:absolute;width:2in;z-index:251658240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pStyle w:val="Foo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both"/>
    </w:pPr>
    <w:r>
      <w:rPr>
        <w:rFonts w:asciiTheme="minorEastAsia" w:eastAsiaTheme="minorEastAsia" w:hAnsiTheme="minorEastAsia" w:hint="eastAsia"/>
        <w:szCs w:val="24"/>
      </w:rPr>
      <w:t xml:space="preserve">                </w:t>
    </w:r>
    <w:r>
      <w:rPr>
        <w:rFonts w:asciiTheme="minorEastAsia" w:eastAsiaTheme="minorEastAsia" w:hAnsiTheme="minorEastAsia"/>
        <w:szCs w:val="24"/>
      </w:rPr>
      <w:t xml:space="preserve">                         </w:t>
    </w:r>
    <w:r>
      <w:rPr>
        <w:rFonts w:asciiTheme="minorEastAsia" w:eastAsiaTheme="minorEastAsia" w:hAnsiTheme="minorEastAsia" w:hint="eastAsia"/>
        <w:szCs w:val="24"/>
      </w:rPr>
      <w:t xml:space="preserve">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U5YTk2NWU3OTRhNTU0YjZlNWE0ODExMjY4YzM0MTgifQ==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uiPriority="39" w:qFormat="1"/>
    <w:lsdException w:name="toc 5" w:uiPriority="39" w:qFormat="1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0" w:uiPriority="0" w:unhideWhenUsed="0" w:qFormat="1"/>
    <w:lsdException w:name="footnote text"/>
    <w:lsdException w:name="annotation text"/>
    <w:lsdException w:name="header" w:semiHidden="0" w:uiPriority="0" w:unhideWhenUsed="0" w:qFormat="1"/>
    <w:lsdException w:name="footer" w:semiHidden="0" w:unhideWhenUsed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 w:semiHidden="0" w:uiPriority="0" w:unhideWhenUsed="0" w:qFormat="1"/>
    <w:lsdException w:name="List Bullet" w:semiHidden="0" w:uiPriority="0" w:unhideWhenUsed="0" w:qFormat="1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0" w:unhideWhenUsed="0" w:qFormat="1"/>
    <w:lsdException w:name="Closing"/>
    <w:lsdException w:name="Signature"/>
    <w:lsdException w:name="Default Paragraph Font" w:uiPriority="1" w:qFormat="1"/>
    <w:lsdException w:name="Body Text" w:semiHidden="0" w:uiPriority="0" w:unhideWhenUsed="0" w:qFormat="1"/>
    <w:lsdException w:name="Body Text Indent" w:semiHidden="0" w:uiPriority="0" w:unhideWhenUsed="0" w:qFormat="1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0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/>
    <w:lsdException w:name="Strong" w:semiHidden="0" w:uiPriority="0" w:unhideWhenUsed="0" w:qFormat="1"/>
    <w:lsdException w:name="Emphasis" w:semiHidden="0" w:uiPriority="20" w:unhideWhenUsed="0" w:qFormat="1"/>
    <w:lsdException w:name="Document Map" w:qFormat="1"/>
    <w:lsdException w:name="Plain Text"/>
    <w:lsdException w:name="E-mail Signature"/>
    <w:lsdException w:name="Normal (Web)" w:semiHidden="0" w:unhideWhenUsed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semiHidden="0" w:uiPriority="0" w:unhideWhenUsed="0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line="360" w:lineRule="auto"/>
      <w:ind w:firstLine="420" w:firstLineChars="200"/>
      <w:jc w:val="both"/>
    </w:pPr>
    <w:rPr>
      <w:rFonts w:ascii="Calibri" w:eastAsia="宋体" w:hAnsi="Calibri" w:cs="Arial"/>
      <w:kern w:val="2"/>
      <w:sz w:val="24"/>
      <w:szCs w:val="22"/>
      <w:lang w:val="en-US" w:eastAsia="zh-CN" w:bidi="ar-SA"/>
    </w:rPr>
  </w:style>
  <w:style w:type="paragraph" w:styleId="Heading1">
    <w:name w:val="heading 1"/>
    <w:basedOn w:val="Normal"/>
    <w:next w:val="Normal"/>
    <w:autoRedefine/>
    <w:qFormat/>
    <w:pPr>
      <w:keepNext/>
      <w:keepLines/>
      <w:spacing w:line="480" w:lineRule="auto"/>
      <w:outlineLvl w:val="0"/>
    </w:pPr>
    <w:rPr>
      <w:rFonts w:eastAsia="黑体"/>
      <w:b/>
      <w:bCs/>
      <w:kern w:val="44"/>
      <w:sz w:val="30"/>
      <w:szCs w:val="44"/>
    </w:rPr>
  </w:style>
  <w:style w:type="paragraph" w:styleId="Heading2">
    <w:name w:val="heading 2"/>
    <w:basedOn w:val="Normal"/>
    <w:next w:val="Normal"/>
    <w:autoRedefine/>
    <w:qFormat/>
    <w:pPr>
      <w:keepNext/>
      <w:keepLines/>
      <w:spacing w:before="20" w:after="20" w:line="360" w:lineRule="auto"/>
      <w:outlineLvl w:val="1"/>
    </w:pPr>
    <w:rPr>
      <w:rFonts w:ascii="Cambria" w:eastAsia="黑体" w:hAnsi="Cambria"/>
      <w:b/>
      <w:bCs/>
      <w:szCs w:val="32"/>
    </w:rPr>
  </w:style>
  <w:style w:type="paragraph" w:styleId="Heading3">
    <w:name w:val="heading 3"/>
    <w:basedOn w:val="Normal"/>
    <w:next w:val="Normal"/>
    <w:autoRedefine/>
    <w:qFormat/>
    <w:pPr>
      <w:keepNext/>
      <w:keepLines/>
      <w:spacing w:line="360" w:lineRule="auto"/>
      <w:ind w:firstLine="0" w:firstLineChars="0"/>
      <w:jc w:val="center"/>
      <w:outlineLvl w:val="2"/>
    </w:pPr>
    <w:rPr>
      <w:rFonts w:eastAsia="宋体"/>
      <w:b/>
      <w:bCs/>
      <w:szCs w:val="32"/>
    </w:rPr>
  </w:style>
  <w:style w:type="paragraph" w:styleId="Heading4">
    <w:name w:val="heading 4"/>
    <w:basedOn w:val="a"/>
    <w:next w:val="a"/>
    <w:autoRedefine/>
    <w:qFormat/>
    <w:pPr>
      <w:keepNext/>
      <w:keepLines/>
      <w:spacing w:line="240" w:lineRule="auto"/>
      <w:outlineLvl w:val="3"/>
    </w:pPr>
    <w:rPr>
      <w:rFonts w:ascii="Cambria" w:hAnsi="Cambria"/>
      <w:bCs/>
      <w:sz w:val="21"/>
      <w:szCs w:val="28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正常"/>
    <w:autoRedefine/>
    <w:qFormat/>
    <w:pPr>
      <w:widowControl w:val="0"/>
      <w:jc w:val="center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NormalIndent">
    <w:name w:val="Normal Indent"/>
    <w:basedOn w:val="Normal"/>
    <w:autoRedefine/>
    <w:qFormat/>
    <w:pPr>
      <w:ind w:firstLine="420"/>
    </w:pPr>
  </w:style>
  <w:style w:type="paragraph" w:styleId="ListBullet">
    <w:name w:val="List Bullet"/>
    <w:basedOn w:val="Normal"/>
    <w:qFormat/>
    <w:pPr>
      <w:widowControl/>
      <w:numPr>
        <w:ilvl w:val="0"/>
        <w:numId w:val="1"/>
      </w:numPr>
      <w:spacing w:after="200" w:line="252" w:lineRule="auto"/>
      <w:contextualSpacing/>
      <w:jc w:val="left"/>
    </w:pPr>
    <w:rPr>
      <w:rFonts w:ascii="Cambria" w:hAnsi="Cambria" w:cs="Times New Roman"/>
      <w:kern w:val="0"/>
      <w:sz w:val="22"/>
      <w:lang w:eastAsia="en-US" w:bidi="en-US"/>
    </w:rPr>
  </w:style>
  <w:style w:type="paragraph" w:styleId="DocumentMap">
    <w:name w:val="Document Map"/>
    <w:basedOn w:val="Normal"/>
    <w:link w:val="a2"/>
    <w:autoRedefine/>
    <w:uiPriority w:val="99"/>
    <w:semiHidden/>
    <w:unhideWhenUsed/>
    <w:qFormat/>
    <w:rPr>
      <w:rFonts w:ascii="宋体"/>
      <w:sz w:val="18"/>
      <w:szCs w:val="18"/>
    </w:rPr>
  </w:style>
  <w:style w:type="paragraph" w:styleId="BodyText">
    <w:name w:val="Body Text"/>
    <w:basedOn w:val="Normal"/>
    <w:autoRedefine/>
    <w:qFormat/>
    <w:pPr>
      <w:spacing w:after="120"/>
    </w:pPr>
  </w:style>
  <w:style w:type="paragraph" w:styleId="BodyTextIndent">
    <w:name w:val="Body Text Indent"/>
    <w:basedOn w:val="Normal"/>
    <w:autoRedefine/>
    <w:qFormat/>
    <w:pPr>
      <w:widowControl/>
      <w:spacing w:before="100" w:beforeAutospacing="1" w:after="100" w:afterAutospacing="1"/>
      <w:jc w:val="left"/>
    </w:pPr>
    <w:rPr>
      <w:rFonts w:ascii="宋体" w:cs="宋体"/>
      <w:kern w:val="0"/>
      <w:sz w:val="24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qFormat/>
    <w:pPr>
      <w:ind w:left="1680" w:leftChars="800"/>
    </w:pPr>
  </w:style>
  <w:style w:type="paragraph" w:styleId="TOC3">
    <w:name w:val="toc 3"/>
    <w:basedOn w:val="Normal"/>
    <w:next w:val="Normal"/>
    <w:autoRedefine/>
    <w:uiPriority w:val="39"/>
    <w:qFormat/>
    <w:pPr>
      <w:tabs>
        <w:tab w:val="right" w:leader="dot" w:pos="8364"/>
      </w:tabs>
      <w:ind w:left="400" w:leftChars="400"/>
    </w:pPr>
    <w:rPr>
      <w:rFonts w:eastAsia="微软雅黑"/>
    </w:rPr>
  </w:style>
  <w:style w:type="paragraph" w:styleId="BalloonText">
    <w:name w:val="Balloon Text"/>
    <w:basedOn w:val="Normal"/>
    <w:autoRedefine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qFormat/>
    <w:pPr>
      <w:spacing w:before="120" w:after="120"/>
      <w:jc w:val="left"/>
    </w:pPr>
    <w:rPr>
      <w:rFonts w:cs="黑体"/>
      <w:b/>
      <w:bCs/>
      <w:cap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qFormat/>
    <w:pPr>
      <w:ind w:left="1260" w:leftChars="600"/>
    </w:pPr>
  </w:style>
  <w:style w:type="paragraph" w:styleId="Subtitle">
    <w:name w:val="Subtitle"/>
    <w:basedOn w:val="Normal"/>
    <w:next w:val="Normal"/>
    <w:autoRedefine/>
    <w:qFormat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List">
    <w:name w:val="List"/>
    <w:basedOn w:val="Normal"/>
    <w:autoRedefine/>
    <w:qFormat/>
    <w:pPr>
      <w:ind w:left="200" w:hanging="200" w:hangingChars="200"/>
    </w:pPr>
  </w:style>
  <w:style w:type="paragraph" w:styleId="TOC2">
    <w:name w:val="toc 2"/>
    <w:basedOn w:val="Normal"/>
    <w:next w:val="Normal"/>
    <w:uiPriority w:val="39"/>
    <w:qFormat/>
    <w:pPr>
      <w:ind w:left="210"/>
      <w:jc w:val="left"/>
    </w:pPr>
    <w:rPr>
      <w:rFonts w:cs="黑体"/>
      <w:smallCaps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line="360" w:lineRule="auto"/>
    </w:pPr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customStyle="1" w:styleId="1">
    <w:name w:val="列出段落1"/>
    <w:basedOn w:val="Normal"/>
    <w:qFormat/>
    <w:pPr>
      <w:ind w:firstLine="200" w:firstLineChars="200"/>
    </w:pPr>
  </w:style>
  <w:style w:type="paragraph" w:customStyle="1" w:styleId="10">
    <w:name w:val="纯文本1"/>
    <w:basedOn w:val="Normal"/>
    <w:qFormat/>
    <w:pPr>
      <w:spacing w:before="60" w:after="60"/>
    </w:pPr>
    <w:rPr>
      <w:rFonts w:ascii="宋体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a0">
    <w:name w:val="普通文本"/>
    <w:basedOn w:val="Normal"/>
    <w:qFormat/>
    <w:pPr>
      <w:autoSpaceDE w:val="0"/>
      <w:autoSpaceDN w:val="0"/>
      <w:adjustRightInd w:val="0"/>
    </w:pPr>
    <w:rPr>
      <w:rFonts w:ascii="宋体" w:cs="宋体"/>
      <w:szCs w:val="21"/>
    </w:rPr>
  </w:style>
  <w:style w:type="paragraph" w:customStyle="1" w:styleId="11">
    <w:name w:val="无间隔1"/>
    <w:qFormat/>
    <w:rPr>
      <w:rFonts w:ascii="Calibri" w:eastAsia="宋体" w:hAnsi="Calibri" w:cs="Arial"/>
      <w:kern w:val="2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character" w:customStyle="1" w:styleId="a1">
    <w:name w:val="页脚 字符"/>
    <w:basedOn w:val="DefaultParagraphFont"/>
    <w:link w:val="Footer"/>
    <w:uiPriority w:val="99"/>
    <w:qFormat/>
    <w:rPr>
      <w:rFonts w:ascii="Calibri" w:hAnsi="Calibri" w:cs="Arial"/>
      <w:kern w:val="2"/>
      <w:sz w:val="18"/>
      <w:szCs w:val="18"/>
    </w:rPr>
  </w:style>
  <w:style w:type="paragraph" w:customStyle="1" w:styleId="3">
    <w:name w:val="标题3"/>
    <w:basedOn w:val="Normal"/>
    <w:qFormat/>
    <w:pPr>
      <w:spacing w:line="360" w:lineRule="auto"/>
      <w:jc w:val="left"/>
      <w:outlineLvl w:val="2"/>
    </w:pPr>
    <w:rPr>
      <w:rFonts w:ascii="宋体" w:hAnsi="宋体" w:cs="Times New Roman"/>
      <w:b/>
      <w:sz w:val="24"/>
      <w:szCs w:val="24"/>
    </w:rPr>
  </w:style>
  <w:style w:type="character" w:customStyle="1" w:styleId="a2">
    <w:name w:val="文档结构图 字符"/>
    <w:basedOn w:val="DefaultParagraphFont"/>
    <w:link w:val="DocumentMap"/>
    <w:uiPriority w:val="99"/>
    <w:semiHidden/>
    <w:qFormat/>
    <w:rPr>
      <w:rFonts w:ascii="宋体" w:hAnsi="Calibri" w:cs="Arial"/>
      <w:kern w:val="2"/>
      <w:sz w:val="18"/>
      <w:szCs w:val="18"/>
    </w:rPr>
  </w:style>
  <w:style w:type="paragraph" w:customStyle="1" w:styleId="a3">
    <w:name w:val="*正文"/>
    <w:basedOn w:val="Normal"/>
    <w:qFormat/>
    <w:pPr>
      <w:ind w:firstLine="200" w:firstLineChars="200"/>
    </w:pPr>
  </w:style>
  <w:style w:type="paragraph" w:customStyle="1" w:styleId="a4">
    <w:name w:val="表头"/>
    <w:basedOn w:val="Normal"/>
    <w:qFormat/>
    <w:pPr>
      <w:spacing w:line="520" w:lineRule="exact"/>
      <w:jc w:val="center"/>
    </w:pPr>
    <w:rPr>
      <w:rFonts w:ascii="黑体" w:eastAsia="黑体" w:hAnsi="微软雅黑"/>
      <w:sz w:val="24"/>
      <w:szCs w:val="24"/>
    </w:rPr>
  </w:style>
  <w:style w:type="paragraph" w:customStyle="1" w:styleId="a5">
    <w:name w:val="表内容居中"/>
    <w:basedOn w:val="Normal"/>
    <w:qFormat/>
    <w:pPr>
      <w:spacing w:line="520" w:lineRule="exact"/>
      <w:jc w:val="center"/>
    </w:pPr>
    <w:rPr>
      <w:sz w:val="24"/>
      <w:szCs w:val="24"/>
    </w:rPr>
  </w:style>
  <w:style w:type="paragraph" w:customStyle="1" w:styleId="30">
    <w:name w:val="样式3"/>
    <w:basedOn w:val="List"/>
    <w:qFormat/>
    <w:pPr>
      <w:keepNext w:val="0"/>
      <w:ind w:left="0" w:firstLine="0" w:firstLineChars="0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jpe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5DEBEA-CC87-4B84-9831-8EA9AA7F91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2132</Words>
  <Characters>2270</Characters>
  <Application>Microsoft Office Word</Application>
  <DocSecurity>0</DocSecurity>
  <Lines>42</Lines>
  <Paragraphs>11</Paragraphs>
  <ScaleCrop>false</ScaleCrop>
  <Company>Microsoft</Company>
  <LinksUpToDate>false</LinksUpToDate>
  <CharactersWithSpaces>2370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高</cp:lastModifiedBy>
  <cp:revision>21</cp:revision>
  <dcterms:created xsi:type="dcterms:W3CDTF">2019-03-04T09:01:00Z</dcterms:created>
  <dcterms:modified xsi:type="dcterms:W3CDTF">2025-11-27T17:00:25Z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E7C5EAB1546442CBA330423247C73DB4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eyJoZGlkIjoiYjNkMjBiZWMwOTdhZGQ2MWQ5ZDY4YmViMWU1MzUxNjMiLCJ1c2VySWQiOiIxNTUxODc1Nzk4In0=</vt:lpwstr>
  </property>
</Properties>
</file>