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bidi w:val="0"/>
        <w:spacing w:line="360" w:lineRule="auto"/>
        <w:jc w:val="center"/>
        <w:rPr>
          <w:rFonts w:cs="宋体" w:hint="eastAsia"/>
          <w:b/>
          <w:sz w:val="44"/>
          <w:szCs w:val="44"/>
        </w:rPr>
      </w:pPr>
    </w:p>
    <w:p>
      <w:pPr>
        <w:spacing w:before="169" w:line="220" w:lineRule="auto"/>
        <w:ind w:left="2107"/>
        <w:outlineLvl w:val="0"/>
        <w:rPr>
          <w:rFonts w:ascii="宋体" w:eastAsia="宋体" w:hAnsi="宋体" w:cs="宋体" w:hint="default"/>
          <w:sz w:val="52"/>
          <w:szCs w:val="52"/>
          <w:lang w:val="en-US" w:eastAsia="zh-CN"/>
        </w:rPr>
      </w:pPr>
      <w:bookmarkStart w:id="0" w:name="_Toc28501"/>
      <w:r>
        <w:rPr>
          <w:rFonts w:ascii="宋体" w:hAnsi="宋体" w:cs="宋体" w:hint="eastAsia"/>
          <w:b/>
          <w:bCs/>
          <w:spacing w:val="-8"/>
          <w:sz w:val="52"/>
          <w:szCs w:val="52"/>
          <w:lang w:val="en-US" w:eastAsia="zh-CN"/>
        </w:rPr>
        <w:t>应急响应沟通</w:t>
      </w:r>
      <w:r>
        <w:rPr>
          <w:rFonts w:ascii="宋体" w:eastAsia="宋体" w:hAnsi="宋体" w:cs="宋体" w:hint="eastAsia"/>
          <w:b/>
          <w:bCs/>
          <w:spacing w:val="-8"/>
          <w:sz w:val="52"/>
          <w:szCs w:val="52"/>
          <w:lang w:val="en-US" w:eastAsia="zh-CN"/>
        </w:rPr>
        <w:t>管理</w:t>
      </w:r>
      <w:r>
        <w:rPr>
          <w:rFonts w:ascii="宋体" w:hAnsi="宋体" w:cs="宋体" w:hint="eastAsia"/>
          <w:b/>
          <w:bCs/>
          <w:spacing w:val="-8"/>
          <w:sz w:val="52"/>
          <w:szCs w:val="52"/>
          <w:lang w:val="en-US" w:eastAsia="zh-CN"/>
        </w:rPr>
        <w:t>机制</w:t>
      </w:r>
      <w:bookmarkEnd w:id="0"/>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60" w:lineRule="auto"/>
      </w:pPr>
    </w:p>
    <w:p>
      <w:pPr>
        <w:pStyle w:val="BodyText"/>
        <w:spacing w:line="260" w:lineRule="auto"/>
      </w:pPr>
    </w:p>
    <w:p>
      <w:pPr>
        <w:pStyle w:val="BodyText"/>
        <w:spacing w:line="260" w:lineRule="auto"/>
      </w:pPr>
    </w:p>
    <w:p>
      <w:pPr>
        <w:spacing w:line="1293" w:lineRule="exact"/>
        <w:ind w:firstLine="1991"/>
      </w:pPr>
      <w:r>
        <w:rPr>
          <w:position w:val="-25"/>
        </w:rPr>
        <w:drawing>
          <wp:inline distT="0" distB="0" distL="114300" distR="114300">
            <wp:extent cx="2757170" cy="820420"/>
            <wp:effectExtent l="0" t="0" r="1270" b="254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xmlns:r="http://schemas.openxmlformats.org/officeDocument/2006/relationships" r:embed="rId4"/>
                    <a:stretch>
                      <a:fillRect/>
                    </a:stretch>
                  </pic:blipFill>
                  <pic:spPr>
                    <a:xfrm>
                      <a:off x="0" y="0"/>
                      <a:ext cx="2757170" cy="820420"/>
                    </a:xfrm>
                    <a:prstGeom prst="rect">
                      <a:avLst/>
                    </a:prstGeom>
                    <a:noFill/>
                    <a:ln>
                      <a:noFill/>
                    </a:ln>
                  </pic:spPr>
                </pic:pic>
              </a:graphicData>
            </a:graphic>
          </wp:inline>
        </w:drawing>
      </w: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117" w:line="219" w:lineRule="auto"/>
        <w:ind w:left="1661"/>
        <w:rPr>
          <w:rFonts w:ascii="宋体" w:eastAsia="宋体" w:hAnsi="宋体" w:cs="宋体"/>
          <w:sz w:val="36"/>
          <w:szCs w:val="36"/>
        </w:rPr>
      </w:pPr>
      <w:r>
        <w:rPr>
          <w:rFonts w:ascii="宋体" w:eastAsia="宋体" w:hAnsi="宋体" w:cs="宋体"/>
          <w:spacing w:val="-1"/>
          <w:sz w:val="36"/>
          <w:szCs w:val="36"/>
        </w:rPr>
        <w:t>甘肃国邦信息科技有限公司</w:t>
      </w:r>
    </w:p>
    <w:p>
      <w:pPr>
        <w:spacing w:before="275"/>
        <w:ind w:left="3285"/>
        <w:rPr>
          <w:rFonts w:ascii="宋体" w:eastAsia="宋体" w:hAnsi="宋体" w:cs="宋体"/>
          <w:sz w:val="36"/>
          <w:szCs w:val="36"/>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-01-04</w:t>
      </w:r>
    </w:p>
    <w:p>
      <w:pPr>
        <w:rPr>
          <w:rFonts w:ascii="宋体" w:eastAsia="宋体" w:hAnsi="宋体" w:cs="宋体"/>
          <w:sz w:val="36"/>
          <w:szCs w:val="36"/>
        </w:rPr>
        <w:sectPr>
          <w:pgSz w:w="11906" w:h="16839"/>
          <w:pgMar w:top="1431" w:right="1785" w:bottom="0" w:left="1785" w:header="0" w:footer="0" w:gutter="0"/>
          <w:cols w:num="1" w:space="720"/>
        </w:sectPr>
      </w:pPr>
    </w:p>
    <w:p>
      <w:pPr>
        <w:pStyle w:val="BodyText"/>
        <w:spacing w:line="258" w:lineRule="auto"/>
      </w:pPr>
    </w:p>
    <w:p>
      <w:pPr>
        <w:spacing w:before="69" w:line="220" w:lineRule="auto"/>
        <w:ind w:left="3954"/>
        <w:outlineLvl w:val="0"/>
        <w:rPr>
          <w:rFonts w:ascii="宋体" w:eastAsia="宋体" w:hAnsi="宋体" w:cs="宋体"/>
          <w:sz w:val="21"/>
          <w:szCs w:val="21"/>
        </w:rPr>
      </w:pPr>
      <w:bookmarkStart w:id="1" w:name="_Toc13658"/>
      <w:r>
        <w:rPr>
          <w:rFonts w:ascii="宋体" w:eastAsia="宋体" w:hAnsi="宋体" w:cs="宋体"/>
          <w:spacing w:val="-2"/>
          <w:sz w:val="21"/>
          <w:szCs w:val="21"/>
        </w:rPr>
        <w:t>文档信息</w:t>
      </w:r>
      <w:bookmarkEnd w:id="1"/>
    </w:p>
    <w:p>
      <w:pPr>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spacing w:before="199" w:line="220" w:lineRule="auto"/>
              <w:ind w:left="225"/>
            </w:pPr>
            <w:r>
              <w:rPr>
                <w:spacing w:val="-2"/>
              </w:rPr>
              <w:t>文档名称编号</w:t>
            </w:r>
          </w:p>
        </w:tc>
        <w:tc>
          <w:tcPr>
            <w:tcW w:w="7367" w:type="dxa"/>
            <w:gridSpan w:val="4"/>
          </w:tcPr>
          <w:p>
            <w:pPr>
              <w:pStyle w:val="TableText"/>
              <w:spacing w:before="200" w:line="218" w:lineRule="auto"/>
              <w:ind w:left="108"/>
            </w:pPr>
            <w:r>
              <w:rPr>
                <w:rFonts w:eastAsia="宋体" w:hint="eastAsia"/>
                <w:spacing w:val="-1"/>
                <w:lang w:val="en-US" w:eastAsia="zh-CN"/>
              </w:rPr>
              <w:t>应急响应沟通管理机制</w:t>
            </w:r>
            <w:r>
              <w:rPr>
                <w:spacing w:val="-1"/>
              </w:rPr>
              <w:t>（GSGB-ITSS-</w:t>
            </w:r>
            <w:r>
              <w:rPr>
                <w:rFonts w:hint="eastAsia"/>
                <w:spacing w:val="-1"/>
                <w:lang w:val="en-US" w:eastAsia="zh-CN"/>
              </w:rPr>
              <w:t>YJXYGTGL</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spacing w:before="196" w:line="220" w:lineRule="auto"/>
              <w:ind w:left="435"/>
            </w:pPr>
            <w:r>
              <w:rPr>
                <w:spacing w:val="-2"/>
              </w:rPr>
              <w:t>编制单位</w:t>
            </w:r>
          </w:p>
        </w:tc>
        <w:tc>
          <w:tcPr>
            <w:tcW w:w="7367" w:type="dxa"/>
            <w:gridSpan w:val="4"/>
          </w:tcPr>
          <w:p>
            <w:pPr>
              <w:pStyle w:val="TableText"/>
              <w:spacing w:before="197" w:line="219" w:lineRule="auto"/>
              <w:ind w:left="108"/>
            </w:pPr>
            <w:r>
              <w:rPr>
                <w:spacing w:val="-1"/>
              </w:rPr>
              <w:t>甘肃国邦信息科技有限公司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spacing w:before="199" w:line="219" w:lineRule="auto"/>
              <w:ind w:left="435"/>
            </w:pPr>
            <w:r>
              <w:rPr>
                <w:spacing w:val="-2"/>
              </w:rPr>
              <w:t>文档版本</w:t>
            </w:r>
          </w:p>
        </w:tc>
        <w:tc>
          <w:tcPr>
            <w:tcW w:w="1555" w:type="dxa"/>
          </w:tcPr>
          <w:p>
            <w:pPr>
              <w:pStyle w:val="TableText"/>
              <w:spacing w:before="199" w:line="219" w:lineRule="auto"/>
              <w:ind w:left="359"/>
            </w:pPr>
            <w:r>
              <w:rPr>
                <w:spacing w:val="-2"/>
              </w:rPr>
              <w:t>版本日期</w:t>
            </w:r>
          </w:p>
        </w:tc>
        <w:tc>
          <w:tcPr>
            <w:tcW w:w="2302" w:type="dxa"/>
          </w:tcPr>
          <w:p>
            <w:pPr>
              <w:pStyle w:val="TableText"/>
              <w:spacing w:before="199" w:line="219" w:lineRule="auto"/>
              <w:ind w:left="735"/>
            </w:pPr>
            <w:r>
              <w:rPr>
                <w:spacing w:val="-2"/>
              </w:rPr>
              <w:t>版本说明</w:t>
            </w:r>
          </w:p>
        </w:tc>
        <w:tc>
          <w:tcPr>
            <w:tcW w:w="1557" w:type="dxa"/>
          </w:tcPr>
          <w:p>
            <w:pPr>
              <w:pStyle w:val="TableText"/>
              <w:spacing w:before="199" w:line="220" w:lineRule="auto"/>
              <w:ind w:left="575"/>
            </w:pPr>
            <w:r>
              <w:rPr>
                <w:spacing w:val="-3"/>
              </w:rPr>
              <w:t>作者</w:t>
            </w:r>
          </w:p>
        </w:tc>
        <w:tc>
          <w:tcPr>
            <w:tcW w:w="1953" w:type="dxa"/>
          </w:tcPr>
          <w:p>
            <w:pPr>
              <w:pStyle w:val="TableText"/>
              <w:spacing w:before="199" w:line="220" w:lineRule="auto"/>
              <w:ind w:left="782"/>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3" w:line="239" w:lineRule="auto"/>
              <w:ind w:left="638"/>
            </w:pPr>
            <w:r>
              <w:rPr>
                <w:spacing w:val="-1"/>
              </w:rPr>
              <w:t>V1.0</w:t>
            </w:r>
          </w:p>
        </w:tc>
        <w:tc>
          <w:tcPr>
            <w:tcW w:w="1555" w:type="dxa"/>
          </w:tcPr>
          <w:p>
            <w:pPr>
              <w:pStyle w:val="TableText"/>
              <w:spacing w:before="163"/>
              <w:ind w:left="361"/>
            </w:pPr>
            <w:r>
              <w:rPr>
                <w:spacing w:val="-2"/>
              </w:rPr>
              <w:t>20</w:t>
            </w:r>
            <w:r>
              <w:rPr>
                <w:rFonts w:eastAsia="宋体" w:hint="eastAsia"/>
                <w:spacing w:val="-2"/>
                <w:lang w:val="en-US" w:eastAsia="zh-CN"/>
              </w:rPr>
              <w:t>25</w:t>
            </w:r>
            <w:r>
              <w:rPr>
                <w:spacing w:val="-2"/>
              </w:rPr>
              <w:t>-1-4</w:t>
            </w:r>
          </w:p>
        </w:tc>
        <w:tc>
          <w:tcPr>
            <w:tcW w:w="2302" w:type="dxa"/>
          </w:tcPr>
          <w:p>
            <w:pPr>
              <w:pStyle w:val="TableText"/>
              <w:spacing w:before="133" w:line="219" w:lineRule="auto"/>
              <w:ind w:left="738"/>
            </w:pPr>
            <w:r>
              <w:rPr>
                <w:spacing w:val="-3"/>
              </w:rPr>
              <w:t>发布版本</w:t>
            </w:r>
          </w:p>
        </w:tc>
        <w:tc>
          <w:tcPr>
            <w:tcW w:w="1557" w:type="dxa"/>
          </w:tcPr>
          <w:p>
            <w:pPr>
              <w:pStyle w:val="TableText"/>
              <w:spacing w:before="134" w:line="220" w:lineRule="auto"/>
              <w:ind w:left="480"/>
              <w:rPr>
                <w:rFonts w:eastAsia="宋体" w:hint="eastAsia"/>
                <w:lang w:val="en-US" w:eastAsia="zh-CN"/>
              </w:rPr>
            </w:pPr>
            <w:r>
              <w:rPr>
                <w:rFonts w:eastAsia="宋体" w:hint="eastAsia"/>
                <w:lang w:val="en-US" w:eastAsia="zh-CN"/>
              </w:rPr>
              <w:t>胡葛鹏宇</w:t>
            </w:r>
          </w:p>
        </w:tc>
        <w:tc>
          <w:tcPr>
            <w:tcW w:w="1953" w:type="dxa"/>
          </w:tcPr>
          <w:p>
            <w:pPr>
              <w:pStyle w:val="TableText"/>
              <w:spacing w:before="133" w:line="220" w:lineRule="auto"/>
              <w:ind w:left="672"/>
            </w:pPr>
            <w:r>
              <w:rPr>
                <w:spacing w:val="-3"/>
              </w:rPr>
              <w:t>黄益溪</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4" w:line="239" w:lineRule="auto"/>
              <w:ind w:left="638"/>
            </w:pPr>
          </w:p>
        </w:tc>
        <w:tc>
          <w:tcPr>
            <w:tcW w:w="1555" w:type="dxa"/>
          </w:tcPr>
          <w:p>
            <w:pPr>
              <w:pStyle w:val="TableText"/>
              <w:spacing w:before="164"/>
              <w:ind w:left="361"/>
            </w:pPr>
          </w:p>
        </w:tc>
        <w:tc>
          <w:tcPr>
            <w:tcW w:w="2302" w:type="dxa"/>
          </w:tcPr>
          <w:p>
            <w:pPr>
              <w:pStyle w:val="TableText"/>
              <w:spacing w:before="134" w:line="219" w:lineRule="auto"/>
              <w:ind w:left="737"/>
            </w:pPr>
          </w:p>
        </w:tc>
        <w:tc>
          <w:tcPr>
            <w:tcW w:w="1557" w:type="dxa"/>
          </w:tcPr>
          <w:p>
            <w:pPr>
              <w:pStyle w:val="TableText"/>
              <w:spacing w:before="135" w:line="220" w:lineRule="auto"/>
              <w:ind w:left="480"/>
            </w:pPr>
          </w:p>
        </w:tc>
        <w:tc>
          <w:tcPr>
            <w:tcW w:w="1953" w:type="dxa"/>
          </w:tcPr>
          <w:p>
            <w:pPr>
              <w:pStyle w:val="TableText"/>
              <w:spacing w:before="134"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5" w:line="239" w:lineRule="auto"/>
              <w:ind w:left="638"/>
            </w:pPr>
          </w:p>
        </w:tc>
        <w:tc>
          <w:tcPr>
            <w:tcW w:w="1555" w:type="dxa"/>
          </w:tcPr>
          <w:p>
            <w:pPr>
              <w:pStyle w:val="TableText"/>
              <w:spacing w:before="165"/>
              <w:ind w:left="361"/>
            </w:pPr>
          </w:p>
        </w:tc>
        <w:tc>
          <w:tcPr>
            <w:tcW w:w="2302" w:type="dxa"/>
          </w:tcPr>
          <w:p>
            <w:pPr>
              <w:pStyle w:val="TableText"/>
              <w:spacing w:before="135" w:line="219" w:lineRule="auto"/>
              <w:ind w:left="737"/>
            </w:pPr>
          </w:p>
        </w:tc>
        <w:tc>
          <w:tcPr>
            <w:tcW w:w="1557" w:type="dxa"/>
          </w:tcPr>
          <w:p>
            <w:pPr>
              <w:pStyle w:val="TableText"/>
              <w:spacing w:before="136" w:line="220" w:lineRule="auto"/>
              <w:ind w:left="480"/>
            </w:pPr>
          </w:p>
        </w:tc>
        <w:tc>
          <w:tcPr>
            <w:tcW w:w="1953" w:type="dxa"/>
          </w:tcPr>
          <w:p>
            <w:pPr>
              <w:pStyle w:val="TableText"/>
              <w:spacing w:before="135"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6" w:line="239" w:lineRule="auto"/>
              <w:ind w:left="638"/>
            </w:pPr>
          </w:p>
        </w:tc>
        <w:tc>
          <w:tcPr>
            <w:tcW w:w="1555" w:type="dxa"/>
          </w:tcPr>
          <w:p>
            <w:pPr>
              <w:pStyle w:val="TableText"/>
              <w:spacing w:before="166"/>
              <w:ind w:left="361"/>
            </w:pPr>
          </w:p>
        </w:tc>
        <w:tc>
          <w:tcPr>
            <w:tcW w:w="2302" w:type="dxa"/>
          </w:tcPr>
          <w:p>
            <w:pPr>
              <w:pStyle w:val="TableText"/>
              <w:spacing w:before="136" w:line="219" w:lineRule="auto"/>
              <w:ind w:left="737"/>
            </w:pPr>
          </w:p>
        </w:tc>
        <w:tc>
          <w:tcPr>
            <w:tcW w:w="1557" w:type="dxa"/>
          </w:tcPr>
          <w:p>
            <w:pPr>
              <w:pStyle w:val="TableText"/>
              <w:spacing w:before="137" w:line="220" w:lineRule="auto"/>
              <w:ind w:left="480"/>
            </w:pPr>
          </w:p>
        </w:tc>
        <w:tc>
          <w:tcPr>
            <w:tcW w:w="1953" w:type="dxa"/>
          </w:tcPr>
          <w:p>
            <w:pPr>
              <w:pStyle w:val="TableText"/>
              <w:spacing w:before="136" w:line="220" w:lineRule="auto"/>
              <w:ind w:left="672"/>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rPr>
                <w:rFonts w:ascii="Arial"/>
                <w:sz w:val="21"/>
              </w:rPr>
            </w:pPr>
          </w:p>
        </w:tc>
        <w:tc>
          <w:tcPr>
            <w:tcW w:w="1555" w:type="dxa"/>
          </w:tcPr>
          <w:p>
            <w:pPr>
              <w:rPr>
                <w:rFonts w:ascii="Arial"/>
                <w:sz w:val="21"/>
              </w:rPr>
            </w:pPr>
          </w:p>
        </w:tc>
        <w:tc>
          <w:tcPr>
            <w:tcW w:w="2302" w:type="dxa"/>
          </w:tcPr>
          <w:p>
            <w:pPr>
              <w:rPr>
                <w:rFonts w:ascii="Arial"/>
                <w:sz w:val="21"/>
              </w:rPr>
            </w:pPr>
          </w:p>
        </w:tc>
        <w:tc>
          <w:tcPr>
            <w:tcW w:w="1557" w:type="dxa"/>
          </w:tcPr>
          <w:p>
            <w:pPr>
              <w:rPr>
                <w:rFonts w:ascii="Arial"/>
                <w:sz w:val="21"/>
              </w:rPr>
            </w:pPr>
          </w:p>
        </w:tc>
        <w:tc>
          <w:tcPr>
            <w:tcW w:w="1953" w:type="dxa"/>
          </w:tcPr>
          <w:p>
            <w:pPr>
              <w:rPr>
                <w:rFonts w:ascii="Arial"/>
                <w:sz w:val="21"/>
              </w:rPr>
            </w:pPr>
          </w:p>
        </w:tc>
      </w:tr>
    </w:tbl>
    <w:p>
      <w:pPr>
        <w:bidi w:val="0"/>
        <w:rPr>
          <w:rFonts w:hint="eastAsia"/>
        </w:rPr>
      </w:pPr>
    </w:p>
    <w:p>
      <w:pPr>
        <w:bidi w:val="0"/>
        <w:spacing w:line="360" w:lineRule="auto"/>
        <w:rPr>
          <w:rFonts w:ascii="宋体" w:hAnsi="宋体"/>
          <w:szCs w:val="21"/>
        </w:rPr>
      </w:pPr>
    </w:p>
    <w:p>
      <w:r>
        <w:br w:type="page"/>
      </w:r>
    </w:p>
    <w:sdt>
      <w:sdtPr>
        <w:rPr>
          <w:rFonts w:ascii="宋体" w:eastAsia="宋体" w:hAnsi="宋体" w:cs="Times New Roman"/>
          <w:kern w:val="2"/>
          <w:sz w:val="21"/>
          <w:szCs w:val="24"/>
          <w:lang w:val="en-US" w:eastAsia="zh-CN" w:bidi="ar-SA"/>
        </w:rPr>
        <w:id w:val="147481963"/>
        <w:docPartObj>
          <w:docPartGallery w:val="Table of Contents"/>
          <w:docPartUnique/>
        </w:docPartObj>
      </w:sdtPr>
      <w:sdtEndPr>
        <w:rPr>
          <w:rFonts w:ascii="Times New Roman" w:eastAsia="宋体" w:hAnsi="Times New Roman" w:cs="Times New Roman" w:hint="default"/>
          <w:kern w:val="2"/>
          <w:sz w:val="21"/>
          <w:szCs w:val="32"/>
          <w:lang w:val="en-US" w:eastAsia="zh-CN" w:bidi="ar-SA"/>
        </w:rPr>
      </w:sdtEndPr>
      <w:sdtContent>
        <w:p>
          <w:pPr>
            <w:jc w:val="center"/>
          </w:pPr>
          <w:r>
            <w:rPr>
              <w:rFonts w:ascii="宋体" w:eastAsia="宋体" w:hAnsi="宋体"/>
              <w:sz w:val="21"/>
            </w:rPr>
            <w:t>目录</w:t>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TOC \o "1-3" \h \u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_Toc28501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bCs/>
              <w:spacing w:val="-8"/>
              <w:sz w:val="24"/>
              <w:szCs w:val="24"/>
              <w:lang w:val="en-US" w:eastAsia="zh-CN"/>
            </w:rPr>
            <w:t>应急响应沟通管理机制</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_Toc28501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_Toc13658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pacing w:val="-2"/>
              <w:sz w:val="24"/>
              <w:szCs w:val="24"/>
            </w:rPr>
            <w:t>文档信息</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_Toc13658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_Toc12302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1  目的</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_Toc12302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_Toc22359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2 一般规定</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_Toc22359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_Toc25151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 应急沟通机制</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_Toc25151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_Toc10867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3.1 沟通原则</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_Toc10867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_Toc5504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3.2 沟通依据</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_Toc5504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_Toc19981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3.3 沟通方式</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_Toc19981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_Toc10555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3.3.1公司内部沟通</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_Toc10555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_Toc29537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3.3.2公司外部沟通</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_Toc29537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_Toc843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 应急沟通流程</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_Toc843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_Toc17451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3.4.1公司沟通计划</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_Toc17451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_Toc15520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3.4.2质量问题跟踪处理及整改回复</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_Toc15520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_Toc15155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3.4.3信息发布</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_Toc15155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_Toc31764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3.4.4沟通障碍与冲突管理</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_Toc31764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_Toc26198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4 应急响应沟通机制评审</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_Toc26198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jc w:val="center"/>
            <w:rPr>
              <w:rFonts w:ascii="Times New Roman" w:eastAsia="宋体" w:hAnsi="Times New Roman" w:cs="Times New Roman" w:hint="default"/>
              <w:kern w:val="2"/>
              <w:sz w:val="21"/>
              <w:szCs w:val="32"/>
              <w:lang w:val="en-US" w:eastAsia="zh-CN" w:bidi="ar-SA"/>
            </w:rPr>
          </w:pPr>
          <w:r>
            <w:rPr>
              <w:rFonts w:ascii="Microsoft JhengHei" w:eastAsia="Microsoft JhengHei" w:hAnsi="Microsoft JhengHei" w:cs="Microsoft JhengHei" w:hint="eastAsia"/>
              <w:sz w:val="24"/>
              <w:szCs w:val="24"/>
              <w:lang w:val="en-US" w:eastAsia="zh-CN"/>
            </w:rPr>
            <w:fldChar w:fldCharType="end"/>
          </w:r>
        </w:p>
      </w:sdtContent>
    </w:sdt>
    <w:p>
      <w:pPr>
        <w:rPr>
          <w:rFonts w:ascii="Times New Roman" w:eastAsia="宋体" w:hAnsi="Times New Roman" w:cs="Times New Roman" w:hint="default"/>
          <w:kern w:val="2"/>
          <w:sz w:val="21"/>
          <w:szCs w:val="32"/>
          <w:lang w:val="en-US" w:eastAsia="zh-CN" w:bidi="ar-SA"/>
        </w:rPr>
      </w:pPr>
      <w:r>
        <w:rPr>
          <w:rFonts w:ascii="Times New Roman" w:eastAsia="宋体" w:hAnsi="Times New Roman" w:cs="Times New Roman" w:hint="default"/>
          <w:kern w:val="2"/>
          <w:sz w:val="21"/>
          <w:szCs w:val="32"/>
          <w:lang w:val="en-US" w:eastAsia="zh-CN" w:bidi="ar-SA"/>
        </w:rPr>
        <w:br w:type="page"/>
      </w:r>
    </w:p>
    <w:p>
      <w:pPr>
        <w:rPr>
          <w:rFonts w:ascii="Times New Roman" w:eastAsia="宋体" w:hAnsi="Times New Roman" w:cs="Times New Roman" w:hint="default"/>
          <w:kern w:val="2"/>
          <w:sz w:val="21"/>
          <w:szCs w:val="32"/>
          <w:lang w:val="en-US" w:eastAsia="zh-CN" w:bidi="ar-SA"/>
        </w:rPr>
      </w:pPr>
    </w:p>
    <w:p>
      <w:pPr>
        <w:pStyle w:val="1"/>
        <w:bidi w:val="0"/>
        <w:rPr>
          <w:rFonts w:hint="default"/>
          <w:lang w:val="en-US" w:eastAsia="zh-CN"/>
        </w:rPr>
      </w:pPr>
      <w:bookmarkStart w:id="2" w:name="_Toc12302"/>
      <w:r>
        <w:rPr>
          <w:rFonts w:hint="default"/>
          <w:lang w:val="en-US" w:eastAsia="zh-CN"/>
        </w:rPr>
        <w:t>目的</w:t>
      </w:r>
      <w:bookmarkEnd w:id="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为了公司更好的开展应急保障，在提供应急服务前明确应急响应的范围、要求等应与相关利益方达成一致，确定沟通流程和方式。</w:t>
      </w:r>
    </w:p>
    <w:p>
      <w:pPr>
        <w:pStyle w:val="1"/>
        <w:bidi w:val="0"/>
        <w:rPr>
          <w:rFonts w:hint="default"/>
          <w:lang w:val="en-US" w:eastAsia="zh-CN"/>
        </w:rPr>
      </w:pPr>
      <w:bookmarkStart w:id="3" w:name="_Toc22359"/>
      <w:r>
        <w:rPr>
          <w:rFonts w:hint="default"/>
          <w:lang w:val="en-US" w:eastAsia="zh-CN"/>
        </w:rPr>
        <w:t>一般规定</w:t>
      </w:r>
      <w:bookmarkEnd w:id="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公司应充分利用现代信息与通信技术，以计算机、网络通信、数据库作为技术支撑，对生产全过程所产生的各种信息，及时、准确、高效地进行管理。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公司应根据自身生产规模与特点配备公司信息管理人员。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公司生产运营信息可以数据、表格、文字、图纸、音像、电子文件等载体方式表示，保证各种信息能及时地收集、整理、共享，并具有可追溯性。</w:t>
      </w:r>
    </w:p>
    <w:p>
      <w:pPr>
        <w:pStyle w:val="1"/>
        <w:bidi w:val="0"/>
        <w:rPr>
          <w:rFonts w:hint="default"/>
          <w:lang w:val="en-US" w:eastAsia="zh-CN"/>
        </w:rPr>
      </w:pPr>
      <w:bookmarkStart w:id="4" w:name="_Toc25151"/>
      <w:r>
        <w:rPr>
          <w:rFonts w:hint="default"/>
          <w:lang w:val="en-US" w:eastAsia="zh-CN"/>
        </w:rPr>
        <w:t>应急沟通机制</w:t>
      </w:r>
      <w:bookmarkEnd w:id="4"/>
    </w:p>
    <w:p>
      <w:pPr>
        <w:pStyle w:val="2"/>
        <w:bidi w:val="0"/>
        <w:rPr>
          <w:rFonts w:hint="default"/>
          <w:lang w:val="en-US" w:eastAsia="zh-CN"/>
        </w:rPr>
      </w:pPr>
      <w:bookmarkStart w:id="5" w:name="_Toc10867"/>
      <w:r>
        <w:rPr>
          <w:rFonts w:hint="default"/>
          <w:lang w:val="en-US" w:eastAsia="zh-CN"/>
        </w:rPr>
        <w:t>沟通原则</w:t>
      </w:r>
      <w:bookmarkEnd w:id="5"/>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以解决紧急问题为中心，以不伤害双方既定合同利益，严格执行合同条款约定。</w:t>
      </w:r>
    </w:p>
    <w:p>
      <w:pPr>
        <w:pStyle w:val="2"/>
        <w:bidi w:val="0"/>
        <w:rPr>
          <w:rFonts w:hint="default"/>
          <w:lang w:val="en-US" w:eastAsia="zh-CN"/>
        </w:rPr>
      </w:pPr>
      <w:bookmarkStart w:id="6" w:name="_Toc5504"/>
      <w:r>
        <w:rPr>
          <w:rFonts w:hint="default"/>
          <w:lang w:val="en-US" w:eastAsia="zh-CN"/>
        </w:rPr>
        <w:t>沟通依据</w:t>
      </w:r>
      <w:bookmarkEnd w:id="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公司内部沟通应包括公司经理部与组织管理层、公司经理部内部的各部门和相关成员之间的沟通与协调。内部沟通应依据公司沟通计划、规章制度、公司管理目标责任书、控制目标等进行。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公司外部沟通应由组织与公司相关方进行沟通。外部沟通应依据公司沟通计划、有关合同和合同变更资料、相关法律法规、伦理道德、社会责任和公司具体情况等进行。</w:t>
      </w:r>
    </w:p>
    <w:p>
      <w:pPr>
        <w:pStyle w:val="2"/>
        <w:bidi w:val="0"/>
        <w:rPr>
          <w:rFonts w:hint="default"/>
          <w:lang w:val="en-US" w:eastAsia="zh-CN"/>
        </w:rPr>
      </w:pPr>
      <w:bookmarkStart w:id="7" w:name="_Toc19981"/>
      <w:r>
        <w:rPr>
          <w:rFonts w:hint="default"/>
          <w:lang w:val="en-US" w:eastAsia="zh-CN"/>
        </w:rPr>
        <w:t>沟通方式</w:t>
      </w:r>
      <w:bookmarkEnd w:id="7"/>
    </w:p>
    <w:p>
      <w:pPr>
        <w:pStyle w:val="3"/>
        <w:bidi w:val="0"/>
        <w:rPr>
          <w:rFonts w:hint="default"/>
          <w:lang w:val="en-US" w:eastAsia="zh-CN"/>
        </w:rPr>
      </w:pPr>
      <w:bookmarkStart w:id="8" w:name="_Toc10555"/>
      <w:r>
        <w:rPr>
          <w:rFonts w:hint="default"/>
          <w:lang w:val="en-US" w:eastAsia="zh-CN"/>
        </w:rPr>
        <w:t>公司内部沟通</w:t>
      </w:r>
      <w:bookmarkEnd w:id="8"/>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内部沟通可采用授权、会议、文件、培训、检查、公司进展报告、思想教育、考核与激励及电子媒体等方式。</w:t>
      </w:r>
    </w:p>
    <w:p>
      <w:pPr>
        <w:pStyle w:val="3"/>
        <w:bidi w:val="0"/>
        <w:rPr>
          <w:rFonts w:hint="default"/>
          <w:lang w:val="en-US" w:eastAsia="zh-CN"/>
        </w:rPr>
      </w:pPr>
      <w:bookmarkStart w:id="9" w:name="_Toc29537"/>
      <w:r>
        <w:rPr>
          <w:rFonts w:hint="default"/>
          <w:lang w:val="en-US" w:eastAsia="zh-CN"/>
        </w:rPr>
        <w:t>公司外部沟通</w:t>
      </w:r>
      <w:bookmarkEnd w:id="9"/>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外部沟通可采用电话、传真、召开会议、联合检查、宣传媒体和公司进展报告等方式。</w:t>
      </w:r>
    </w:p>
    <w:p>
      <w:pPr>
        <w:pStyle w:val="Heading2"/>
        <w:bidi w:val="0"/>
        <w:rPr>
          <w:rFonts w:hint="default"/>
          <w:sz w:val="28"/>
          <w:szCs w:val="28"/>
          <w:lang w:val="en-US" w:eastAsia="zh-CN"/>
        </w:rPr>
      </w:pPr>
      <w:bookmarkStart w:id="10" w:name="_Toc843"/>
      <w:r>
        <w:rPr>
          <w:rFonts w:hint="default"/>
          <w:sz w:val="28"/>
          <w:szCs w:val="28"/>
          <w:lang w:val="en-US" w:eastAsia="zh-CN"/>
        </w:rPr>
        <w:t>应急沟通流程</w:t>
      </w:r>
      <w:bookmarkEnd w:id="1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自签订合同阶段，针对预见性的可能产生疑问的条款双方协商沟通，明确在合同文件中应根据公司的实际需要，针对现场实际情况预见可能出现的矛盾和问题，制定沟通与协调计划，明确原则、内容、对象、方式、途径、手段和所要达到的目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组织应针对不同阶段出现的矛盾和问题，调整沟通计划。</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组织应运用计算机信息处理技术，进行公司信息收集、汇总、处理、传输与应用，进行信息沟通与协调，形成档案资料。过程文件的收集作为沟通途经的重要组成部门；为沟通提供真实的依据；</w:t>
      </w:r>
    </w:p>
    <w:p>
      <w:pPr>
        <w:pStyle w:val="3"/>
        <w:bidi w:val="0"/>
        <w:rPr>
          <w:rFonts w:hint="default"/>
          <w:lang w:val="en-US" w:eastAsia="zh-CN"/>
        </w:rPr>
      </w:pPr>
      <w:bookmarkStart w:id="11" w:name="_Toc17451"/>
      <w:r>
        <w:rPr>
          <w:rFonts w:hint="default"/>
          <w:lang w:val="en-US" w:eastAsia="zh-CN"/>
        </w:rPr>
        <w:t>公司沟通计划</w:t>
      </w:r>
      <w:bookmarkEnd w:id="11"/>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公司级沟通计划应由公司经理组织编制。</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编制公司沟通计划应依据下列资料：</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合同文件及招投标文件。</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公司各相关组织的信息需求。</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公司的实际情况。</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公司的组织结构。</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沟通方案的约束条件、假设，以及适用的沟通技术。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公司沟通计划应与公司管理的其他各类计划相协调，沟通主体重点放在质量、安全、进度实施过程遇到障碍的矛盾点上；</w:t>
      </w:r>
    </w:p>
    <w:p>
      <w:pPr>
        <w:pStyle w:val="3"/>
        <w:bidi w:val="0"/>
        <w:rPr>
          <w:rFonts w:hint="default"/>
          <w:lang w:val="en-US" w:eastAsia="zh-CN"/>
        </w:rPr>
      </w:pPr>
      <w:bookmarkStart w:id="12" w:name="_Toc15520"/>
      <w:r>
        <w:rPr>
          <w:rFonts w:hint="default"/>
          <w:lang w:val="en-US" w:eastAsia="zh-CN"/>
        </w:rPr>
        <w:t>质量问题跟踪处理及整改回复</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公司生产运营过程中所有需要解决的质量问题，各方均要通过问题反馈表或整改回复单进行反馈或回复；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指定问题跟踪人，及时更新问题状态，直到问题解决；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公司生产运营过程中要对产品出现的各类质量缺陷定期进行跟踪处理；整改完成后向所有相关方进行回复。</w:t>
      </w:r>
    </w:p>
    <w:p>
      <w:pPr>
        <w:pStyle w:val="3"/>
        <w:bidi w:val="0"/>
        <w:rPr>
          <w:rFonts w:hint="default"/>
          <w:lang w:val="en-US" w:eastAsia="zh-CN"/>
        </w:rPr>
      </w:pPr>
      <w:bookmarkStart w:id="13" w:name="_Toc15155"/>
      <w:r>
        <w:rPr>
          <w:rFonts w:hint="default"/>
          <w:lang w:val="en-US" w:eastAsia="zh-CN"/>
        </w:rPr>
        <w:t>信息发布</w:t>
      </w:r>
      <w:bookmarkEnd w:id="1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以周为时间单位向各相关方发布公司有关信息；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每周五以邮件、简报、下发公告等方式向各质量监管方发布上周公司进度状态；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汇报主要包括：上周质量整改情况、本周质量计划、存在的问题；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具体信息见公司会议纪要。</w:t>
      </w:r>
    </w:p>
    <w:p>
      <w:pPr>
        <w:pStyle w:val="3"/>
        <w:bidi w:val="0"/>
        <w:rPr>
          <w:rFonts w:hint="default"/>
          <w:lang w:val="en-US" w:eastAsia="zh-CN"/>
        </w:rPr>
      </w:pPr>
      <w:bookmarkStart w:id="14" w:name="_Toc31764"/>
      <w:r>
        <w:rPr>
          <w:rFonts w:hint="default"/>
          <w:lang w:val="en-US" w:eastAsia="zh-CN"/>
        </w:rPr>
        <w:t>沟通障碍与冲突管理</w:t>
      </w:r>
      <w:bookmarkEnd w:id="1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公司沟通应减少干扰，消除障碍、解决冲突、保持沟通与协调途径畅通、信息真实。</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消除沟通障碍可采用下列方法：</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灵活运用各种沟通与协调方式，选择适宜的沟通途径。</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充分利用反馈及掌握的实际情况；</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组织应做好冲突的预测工作，了解冲突的性质，寻找解决冲突的途径并保存相关记录。</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解决冲突可采用下列方法：</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协商、让步、缓和、强制和退出。</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r>
        <w:rPr>
          <w:rFonts w:hint="default"/>
          <w:sz w:val="24"/>
          <w:lang w:val="en-US" w:eastAsia="zh-CN"/>
        </w:rPr>
        <w:t>使公司的相关方了解公司计划，明确公司目标。</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hanging="425" w:leftChars="0" w:firstLineChars="0"/>
        <w:jc w:val="left"/>
        <w:textAlignment w:val="auto"/>
        <w:rPr>
          <w:rFonts w:hint="default"/>
          <w:sz w:val="24"/>
          <w:lang w:val="en-US" w:eastAsia="zh-CN"/>
        </w:rPr>
      </w:pPr>
      <w:bookmarkStart w:id="15" w:name="_GoBack"/>
      <w:bookmarkEnd w:id="15"/>
      <w:r>
        <w:rPr>
          <w:rFonts w:hint="default"/>
          <w:sz w:val="24"/>
          <w:lang w:val="en-US" w:eastAsia="zh-CN"/>
        </w:rPr>
        <w:t>搞好变更管理。</w:t>
      </w:r>
    </w:p>
    <w:p>
      <w:pPr>
        <w:pStyle w:val="1"/>
        <w:bidi w:val="0"/>
        <w:rPr>
          <w:rFonts w:hint="default"/>
          <w:lang w:val="en-US" w:eastAsia="zh-CN"/>
        </w:rPr>
      </w:pPr>
      <w:bookmarkStart w:id="16" w:name="_Toc26198"/>
      <w:r>
        <w:rPr>
          <w:rFonts w:hint="default"/>
          <w:lang w:val="en-US" w:eastAsia="zh-CN"/>
        </w:rPr>
        <w:t>应急响应沟通机制评审</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为了控制流程的质量，提高用户体验，每年度对流程进行回顾，包括流程执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行效率和流程支持工具的有效性，以改进和优化管理流程。每年对应急沟通机制进行分析总结，对存在的问题进行改进优化，并对改进优化情况进行持续性跟踪。</w:t>
      </w:r>
    </w:p>
    <w:sectPr>
      <w:headerReference w:type="default" r:id="rId5"/>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DF02EC9"/>
    <w:multiLevelType w:val="singleLevel"/>
    <w:tmpl w:val="FDF02EC9"/>
    <w:lvl w:ilvl="0">
      <w:start w:val="1"/>
      <w:numFmt w:val="decimal"/>
      <w:lvlText w:val="(%1)"/>
      <w:lvlJc w:val="left"/>
      <w:pPr>
        <w:ind w:left="425" w:hanging="425"/>
      </w:pPr>
      <w:rPr>
        <w:rFonts w:hint="default"/>
      </w:rPr>
    </w:lvl>
  </w:abstractNum>
  <w:abstractNum w:abstractNumId="2">
    <w:nsid w:val="0804EA16"/>
    <w:multiLevelType w:val="singleLevel"/>
    <w:tmpl w:val="0804EA16"/>
    <w:lvl w:ilvl="0">
      <w:start w:val="1"/>
      <w:numFmt w:val="decimal"/>
      <w:lvlText w:val="(%1)"/>
      <w:lvlJc w:val="left"/>
      <w:pPr>
        <w:ind w:left="425" w:hanging="425"/>
      </w:pPr>
      <w:rPr>
        <w:rFonts w:hint="default"/>
      </w:rPr>
    </w:lvl>
  </w:abstractNum>
  <w:abstractNum w:abstractNumId="3">
    <w:nsid w:val="1F11C0ED"/>
    <w:multiLevelType w:val="singleLevel"/>
    <w:tmpl w:val="1F11C0ED"/>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link w:val="2Char"/>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qFormat/>
    <w:pPr>
      <w:ind w:firstLine="420" w:firstLineChars="200"/>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styleId="NoSpacing">
    <w:name w:val="No Spacing"/>
    <w:uiPriority w:val="99"/>
    <w:qFormat/>
    <w:rPr>
      <w:rFonts w:ascii="Calibri" w:eastAsia="宋体" w:hAnsi="Calibri" w:cs="Times New Roman"/>
      <w:sz w:val="22"/>
      <w:szCs w:val="22"/>
      <w:lang w:val="en-US" w:eastAsia="zh-CN" w:bidi="ar-SA"/>
    </w:rPr>
  </w:style>
  <w:style w:type="character" w:customStyle="1" w:styleId="2Char">
    <w:name w:val="标题 2 Char"/>
    <w:link w:val="Heading2"/>
    <w:qFormat/>
    <w:rPr>
      <w:rFonts w:ascii="Arial" w:eastAsia="黑体" w:hAnsi="Arial"/>
      <w:b/>
      <w:sz w:val="32"/>
    </w:rPr>
  </w:style>
  <w:style w:type="paragraph" w:customStyle="1" w:styleId="TableParagraph">
    <w:name w:val="Table Paragraph"/>
    <w:basedOn w:val="Normal"/>
    <w:uiPriority w:val="1"/>
    <w:qFormat/>
    <w:pPr>
      <w:autoSpaceDE w:val="0"/>
      <w:autoSpaceDN w:val="0"/>
      <w:spacing w:before="81"/>
      <w:ind w:left="108"/>
      <w:jc w:val="left"/>
    </w:pPr>
    <w:rPr>
      <w:rFonts w:ascii="宋体" w:hAnsi="宋体" w:cs="宋体"/>
      <w:kern w:val="0"/>
      <w:sz w:val="22"/>
      <w:szCs w:val="22"/>
      <w:lang w:val="zh-CN" w:bidi="zh-CN"/>
    </w:rPr>
  </w:style>
  <w:style w:type="paragraph" w:customStyle="1" w:styleId="TableText">
    <w:name w:val="Table Text"/>
    <w:basedOn w:val="Normal"/>
    <w:semiHidden/>
    <w:qFormat/>
    <w:rPr>
      <w:rFonts w:ascii="宋体" w:eastAsia="宋体" w:hAnsi="宋体" w:cs="宋体"/>
      <w:sz w:val="21"/>
      <w:szCs w:val="2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1">
    <w:name w:val="柴_标题1"/>
    <w:basedOn w:val="Heading1"/>
    <w:next w:val="Normal"/>
    <w:qFormat/>
    <w:pPr>
      <w:spacing w:before="100" w:after="90" w:line="360" w:lineRule="auto"/>
    </w:pPr>
    <w:rPr>
      <w:rFonts w:ascii="Arial" w:eastAsia="宋体" w:hAnsi="Arial"/>
      <w:sz w:val="32"/>
    </w:rPr>
  </w:style>
  <w:style w:type="paragraph" w:customStyle="1" w:styleId="2">
    <w:name w:val="柴_标题2"/>
    <w:basedOn w:val="Heading2"/>
    <w:next w:val="Normal"/>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
    <w:name w:val="柴_目录"/>
    <w:basedOn w:val="Normal"/>
    <w:next w:val="BodyText"/>
    <w:qFormat/>
    <w:pPr>
      <w:tabs>
        <w:tab w:val="right" w:leader="dot" w:pos="8442"/>
      </w:tabs>
      <w:ind w:left="0" w:leftChars="0"/>
    </w:pPr>
    <w:rPr>
      <w:rFonts w:ascii="Arial" w:eastAsia="Microsoft JhengHei"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19</TotalTime>
  <Pages>6</Pages>
  <Words>1711</Words>
  <Characters>1811</Characters>
  <Application>Microsoft Office Word</Application>
  <DocSecurity>0</DocSecurity>
  <Lines>0</Lines>
  <Paragraphs>0</Paragraphs>
  <ScaleCrop>false</ScaleCrop>
  <Company/>
  <LinksUpToDate>false</LinksUpToDate>
  <CharactersWithSpaces>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2025-08-03T15:18:00Z</dcterms:created>
  <dcterms:modified xsi:type="dcterms:W3CDTF">2025-08-29T20:38:46Z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2052-12.1.0.21915</vt:lpwstr>
  </property>
  <property fmtid="{D5CDD505-2E9C-101B-9397-08002B2CF9AE}" pid="4" name="KSOTemplateDocerSaveRecord">
    <vt:lpwstr>eyJoZGlkIjoiMDY5NmFjMmM4ZTljMGJiZDAxN2JmYTc0NGI0NmFiNDgiLCJ1c2VySWQiOiIxMDc1MzgyOSJ9</vt:lpwstr>
  </property>
</Properties>
</file>