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bidi w:val="0"/>
        <w:spacing w:line="360" w:lineRule="auto"/>
        <w:jc w:val="center"/>
        <w:rPr>
          <w:rFonts w:cs="宋体" w:hint="eastAsia"/>
          <w:b/>
          <w:sz w:val="44"/>
          <w:szCs w:val="44"/>
        </w:rPr>
      </w:pPr>
    </w:p>
    <w:p>
      <w:pPr>
        <w:spacing w:before="169" w:line="220" w:lineRule="auto"/>
        <w:ind w:left="2107"/>
        <w:outlineLvl w:val="0"/>
        <w:rPr>
          <w:rFonts w:ascii="宋体" w:eastAsia="宋体" w:hAnsi="宋体" w:cs="宋体" w:hint="default"/>
          <w:sz w:val="52"/>
          <w:szCs w:val="52"/>
          <w:lang w:val="en-US" w:eastAsia="zh-CN"/>
        </w:rPr>
      </w:pPr>
      <w:bookmarkStart w:id="0" w:name="_Toc14627"/>
      <w:r>
        <w:rPr>
          <w:rFonts w:ascii="宋体" w:hAnsi="宋体" w:cs="宋体" w:hint="eastAsia"/>
          <w:b/>
          <w:bCs/>
          <w:spacing w:val="-8"/>
          <w:sz w:val="52"/>
          <w:szCs w:val="52"/>
          <w:lang w:val="en-US" w:eastAsia="zh-CN"/>
        </w:rPr>
        <w:t>风险评估</w:t>
      </w:r>
      <w:bookmarkEnd w:id="0"/>
      <w:r>
        <w:rPr>
          <w:rFonts w:ascii="宋体" w:hAnsi="宋体" w:cs="宋体" w:hint="eastAsia"/>
          <w:b/>
          <w:bCs/>
          <w:spacing w:val="-8"/>
          <w:sz w:val="52"/>
          <w:szCs w:val="52"/>
          <w:lang w:val="en-US" w:eastAsia="zh-CN"/>
        </w:rPr>
        <w:t>办法</w:t>
      </w:r>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pStyle w:val="BodyText"/>
        <w:spacing w:line="260" w:lineRule="auto"/>
      </w:pPr>
    </w:p>
    <w:p>
      <w:pPr>
        <w:pStyle w:val="BodyText"/>
        <w:spacing w:line="260" w:lineRule="auto"/>
      </w:pPr>
    </w:p>
    <w:p>
      <w:pPr>
        <w:pStyle w:val="BodyText"/>
        <w:spacing w:line="260" w:lineRule="auto"/>
      </w:pPr>
    </w:p>
    <w:p>
      <w:pPr>
        <w:spacing w:line="1293" w:lineRule="exact"/>
        <w:ind w:firstLine="1991"/>
      </w:pPr>
      <w:r>
        <w:rPr>
          <w:position w:val="-25"/>
        </w:rPr>
        <w:drawing>
          <wp:inline distT="0" distB="0" distL="114300" distR="114300">
            <wp:extent cx="2757170" cy="820420"/>
            <wp:effectExtent l="0" t="0" r="1270" b="2540"/>
            <wp:docPr id="19" name="图片 2"/>
            <wp:cNvGraphicFramePr/>
            <a:graphic xmlns:a="http://schemas.openxmlformats.org/drawingml/2006/main">
              <a:graphicData uri="http://schemas.openxmlformats.org/drawingml/2006/picture">
                <pic:pic xmlns:pic="http://schemas.openxmlformats.org/drawingml/2006/picture">
                  <pic:nvPicPr>
                    <pic:cNvPr id="19" name="图片 2"/>
                    <pic:cNvPicPr/>
                  </pic:nvPicPr>
                  <pic:blipFill>
                    <a:blip xmlns:r="http://schemas.openxmlformats.org/officeDocument/2006/relationships" r:embed="rId4"/>
                    <a:stretch>
                      <a:fillRect/>
                    </a:stretch>
                  </pic:blipFill>
                  <pic:spPr>
                    <a:xfrm>
                      <a:off x="0" y="0"/>
                      <a:ext cx="2757170" cy="820420"/>
                    </a:xfrm>
                    <a:prstGeom prst="rect">
                      <a:avLst/>
                    </a:prstGeom>
                    <a:noFill/>
                    <a:ln>
                      <a:noFill/>
                    </a:ln>
                  </pic:spPr>
                </pic:pic>
              </a:graphicData>
            </a:graphic>
          </wp:inline>
        </w:drawing>
      </w: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spacing w:before="117" w:line="219" w:lineRule="auto"/>
        <w:ind w:left="1661"/>
        <w:rPr>
          <w:rFonts w:ascii="宋体" w:eastAsia="宋体" w:hAnsi="宋体" w:cs="宋体"/>
          <w:sz w:val="36"/>
          <w:szCs w:val="36"/>
        </w:rPr>
      </w:pPr>
      <w:r>
        <w:rPr>
          <w:rFonts w:ascii="宋体" w:eastAsia="宋体" w:hAnsi="宋体" w:cs="宋体"/>
          <w:spacing w:val="-1"/>
          <w:sz w:val="36"/>
          <w:szCs w:val="36"/>
        </w:rPr>
        <w:t>甘肃国邦信息科技有限公司</w:t>
      </w:r>
    </w:p>
    <w:p>
      <w:pPr>
        <w:spacing w:before="275"/>
        <w:ind w:left="3285"/>
        <w:rPr>
          <w:rFonts w:ascii="宋体" w:eastAsia="宋体" w:hAnsi="宋体" w:cs="宋体"/>
          <w:sz w:val="36"/>
          <w:szCs w:val="36"/>
        </w:rPr>
      </w:pPr>
      <w:r>
        <w:rPr>
          <w:rFonts w:ascii="宋体" w:eastAsia="宋体" w:hAnsi="宋体" w:cs="宋体"/>
          <w:spacing w:val="-2"/>
          <w:sz w:val="36"/>
          <w:szCs w:val="36"/>
        </w:rPr>
        <w:t>202</w:t>
      </w:r>
      <w:r>
        <w:rPr>
          <w:rFonts w:ascii="宋体" w:hAnsi="宋体" w:cs="宋体" w:hint="eastAsia"/>
          <w:spacing w:val="-2"/>
          <w:sz w:val="36"/>
          <w:szCs w:val="36"/>
          <w:lang w:val="en-US" w:eastAsia="zh-CN"/>
        </w:rPr>
        <w:t>5</w:t>
      </w:r>
      <w:r>
        <w:rPr>
          <w:rFonts w:ascii="宋体" w:eastAsia="宋体" w:hAnsi="宋体" w:cs="宋体"/>
          <w:spacing w:val="-2"/>
          <w:sz w:val="36"/>
          <w:szCs w:val="36"/>
        </w:rPr>
        <w:t>-01-04</w:t>
      </w:r>
    </w:p>
    <w:p>
      <w:pPr>
        <w:rPr>
          <w:rFonts w:ascii="宋体" w:eastAsia="宋体" w:hAnsi="宋体" w:cs="宋体"/>
          <w:sz w:val="36"/>
          <w:szCs w:val="36"/>
        </w:rPr>
        <w:sectPr>
          <w:pgSz w:w="11906" w:h="16839"/>
          <w:pgMar w:top="1431" w:right="1785" w:bottom="0" w:left="1785" w:header="0" w:footer="0" w:gutter="0"/>
          <w:cols w:num="1" w:space="720"/>
        </w:sectPr>
      </w:pPr>
    </w:p>
    <w:p>
      <w:pPr>
        <w:pStyle w:val="BodyText"/>
        <w:spacing w:line="258" w:lineRule="auto"/>
      </w:pPr>
    </w:p>
    <w:p>
      <w:pPr>
        <w:spacing w:before="69" w:line="220" w:lineRule="auto"/>
        <w:ind w:left="3954"/>
        <w:outlineLvl w:val="0"/>
        <w:rPr>
          <w:rFonts w:ascii="宋体" w:eastAsia="宋体" w:hAnsi="宋体" w:cs="宋体"/>
          <w:sz w:val="21"/>
          <w:szCs w:val="21"/>
        </w:rPr>
      </w:pPr>
      <w:bookmarkStart w:id="1" w:name="_Toc1768"/>
      <w:r>
        <w:rPr>
          <w:rFonts w:ascii="宋体" w:eastAsia="宋体" w:hAnsi="宋体" w:cs="宋体"/>
          <w:spacing w:val="-2"/>
          <w:sz w:val="21"/>
          <w:szCs w:val="21"/>
        </w:rPr>
        <w:t>文档信息</w:t>
      </w:r>
      <w:bookmarkEnd w:id="1"/>
    </w:p>
    <w:p>
      <w:pPr>
        <w:spacing w:line="16" w:lineRule="exact"/>
      </w:pPr>
    </w:p>
    <w:tbl>
      <w:tblPr>
        <w:tblStyle w:val="TableNormal0"/>
        <w:tblW w:w="84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1840"/>
        <w:gridCol w:w="1680"/>
        <w:gridCol w:w="1646"/>
      </w:tblGrid>
      <w:tr>
        <w:tblPrEx>
          <w:tblW w:w="84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spacing w:before="199" w:line="220" w:lineRule="auto"/>
              <w:ind w:left="225"/>
            </w:pPr>
            <w:r>
              <w:rPr>
                <w:spacing w:val="-2"/>
              </w:rPr>
              <w:t>文档名称编号</w:t>
            </w:r>
          </w:p>
        </w:tc>
        <w:tc>
          <w:tcPr>
            <w:tcW w:w="6721" w:type="dxa"/>
            <w:gridSpan w:val="4"/>
          </w:tcPr>
          <w:p>
            <w:pPr>
              <w:pStyle w:val="TableText"/>
              <w:spacing w:before="200" w:line="218" w:lineRule="auto"/>
              <w:ind w:left="108"/>
            </w:pPr>
            <w:r>
              <w:rPr>
                <w:rFonts w:eastAsia="宋体" w:hint="eastAsia"/>
                <w:spacing w:val="-1"/>
                <w:lang w:val="en-US" w:eastAsia="zh-CN"/>
              </w:rPr>
              <w:t>风险评估办法</w:t>
            </w:r>
            <w:r>
              <w:rPr>
                <w:spacing w:val="-1"/>
              </w:rPr>
              <w:t>（GSGB-ITSS-</w:t>
            </w:r>
            <w:r>
              <w:rPr>
                <w:rFonts w:hint="eastAsia"/>
                <w:spacing w:val="-1"/>
                <w:lang w:val="en-US" w:eastAsia="zh-CN"/>
              </w:rPr>
              <w:t>FXPGGL</w:t>
            </w:r>
            <w:r>
              <w:rPr>
                <w:spacing w:val="-1"/>
              </w:rPr>
              <w:t>）</w:t>
            </w:r>
          </w:p>
        </w:tc>
      </w:tr>
      <w:tr>
        <w:tblPrEx>
          <w:tblW w:w="8425" w:type="dxa"/>
          <w:tblInd w:w="5" w:type="dxa"/>
          <w:tblLayout w:type="fixed"/>
          <w:tblCellMar>
            <w:top w:w="0" w:type="dxa"/>
            <w:left w:w="0" w:type="dxa"/>
            <w:bottom w:w="0" w:type="dxa"/>
            <w:right w:w="0" w:type="dxa"/>
          </w:tblCellMar>
        </w:tblPrEx>
        <w:trPr>
          <w:trHeight w:val="606"/>
        </w:trPr>
        <w:tc>
          <w:tcPr>
            <w:tcW w:w="1704" w:type="dxa"/>
          </w:tcPr>
          <w:p>
            <w:pPr>
              <w:pStyle w:val="TableText"/>
              <w:spacing w:before="196" w:line="220" w:lineRule="auto"/>
              <w:ind w:left="435"/>
            </w:pPr>
            <w:r>
              <w:rPr>
                <w:spacing w:val="-2"/>
              </w:rPr>
              <w:t>编制单位</w:t>
            </w:r>
          </w:p>
        </w:tc>
        <w:tc>
          <w:tcPr>
            <w:tcW w:w="6721" w:type="dxa"/>
            <w:gridSpan w:val="4"/>
          </w:tcPr>
          <w:p>
            <w:pPr>
              <w:pStyle w:val="TableText"/>
              <w:spacing w:before="197" w:line="219" w:lineRule="auto"/>
              <w:ind w:left="108"/>
            </w:pPr>
            <w:r>
              <w:rPr>
                <w:spacing w:val="-1"/>
              </w:rPr>
              <w:t>甘肃国邦信息科技有限公司</w:t>
            </w:r>
          </w:p>
        </w:tc>
      </w:tr>
      <w:tr>
        <w:tblPrEx>
          <w:tblW w:w="8425" w:type="dxa"/>
          <w:tblInd w:w="5" w:type="dxa"/>
          <w:tblLayout w:type="fixed"/>
          <w:tblCellMar>
            <w:top w:w="0" w:type="dxa"/>
            <w:left w:w="0" w:type="dxa"/>
            <w:bottom w:w="0" w:type="dxa"/>
            <w:right w:w="0" w:type="dxa"/>
          </w:tblCellMar>
        </w:tblPrEx>
        <w:trPr>
          <w:trHeight w:val="607"/>
        </w:trPr>
        <w:tc>
          <w:tcPr>
            <w:tcW w:w="1704" w:type="dxa"/>
          </w:tcPr>
          <w:p>
            <w:pPr>
              <w:pStyle w:val="TableText"/>
              <w:spacing w:before="199" w:line="219" w:lineRule="auto"/>
              <w:ind w:left="435"/>
            </w:pPr>
            <w:r>
              <w:rPr>
                <w:spacing w:val="-2"/>
              </w:rPr>
              <w:t>文档版本</w:t>
            </w:r>
          </w:p>
        </w:tc>
        <w:tc>
          <w:tcPr>
            <w:tcW w:w="1555" w:type="dxa"/>
          </w:tcPr>
          <w:p>
            <w:pPr>
              <w:pStyle w:val="TableText"/>
              <w:spacing w:before="199" w:line="219" w:lineRule="auto"/>
              <w:ind w:left="359"/>
            </w:pPr>
            <w:r>
              <w:rPr>
                <w:spacing w:val="-2"/>
              </w:rPr>
              <w:t>版本日期</w:t>
            </w:r>
          </w:p>
        </w:tc>
        <w:tc>
          <w:tcPr>
            <w:tcW w:w="1840" w:type="dxa"/>
          </w:tcPr>
          <w:p>
            <w:pPr>
              <w:pStyle w:val="TableText"/>
              <w:spacing w:before="199" w:line="219" w:lineRule="auto"/>
              <w:ind w:left="735"/>
            </w:pPr>
            <w:r>
              <w:rPr>
                <w:spacing w:val="-2"/>
              </w:rPr>
              <w:t>版本说明</w:t>
            </w:r>
          </w:p>
        </w:tc>
        <w:tc>
          <w:tcPr>
            <w:tcW w:w="1680" w:type="dxa"/>
          </w:tcPr>
          <w:p>
            <w:pPr>
              <w:pStyle w:val="TableText"/>
              <w:spacing w:before="199" w:line="220" w:lineRule="auto"/>
              <w:ind w:left="575"/>
            </w:pPr>
            <w:r>
              <w:rPr>
                <w:spacing w:val="-3"/>
              </w:rPr>
              <w:t>作者</w:t>
            </w:r>
          </w:p>
        </w:tc>
        <w:tc>
          <w:tcPr>
            <w:tcW w:w="1646" w:type="dxa"/>
          </w:tcPr>
          <w:p>
            <w:pPr>
              <w:pStyle w:val="TableText"/>
              <w:spacing w:before="199" w:line="220" w:lineRule="auto"/>
              <w:ind w:left="782"/>
            </w:pPr>
            <w:r>
              <w:rPr>
                <w:spacing w:val="-5"/>
              </w:rPr>
              <w:t>审核</w:t>
            </w:r>
          </w:p>
        </w:tc>
      </w:tr>
      <w:tr>
        <w:tblPrEx>
          <w:tblW w:w="8425" w:type="dxa"/>
          <w:tblInd w:w="5" w:type="dxa"/>
          <w:tblLayout w:type="fixed"/>
          <w:tblCellMar>
            <w:top w:w="0" w:type="dxa"/>
            <w:left w:w="0" w:type="dxa"/>
            <w:bottom w:w="0" w:type="dxa"/>
            <w:right w:w="0" w:type="dxa"/>
          </w:tblCellMar>
        </w:tblPrEx>
        <w:trPr>
          <w:trHeight w:val="474"/>
        </w:trPr>
        <w:tc>
          <w:tcPr>
            <w:tcW w:w="1704" w:type="dxa"/>
          </w:tcPr>
          <w:p>
            <w:pPr>
              <w:pStyle w:val="TableText"/>
              <w:spacing w:before="163" w:line="239" w:lineRule="auto"/>
              <w:ind w:left="638"/>
            </w:pPr>
            <w:r>
              <w:rPr>
                <w:spacing w:val="-1"/>
              </w:rPr>
              <w:t>V1.0</w:t>
            </w:r>
          </w:p>
        </w:tc>
        <w:tc>
          <w:tcPr>
            <w:tcW w:w="1555" w:type="dxa"/>
          </w:tcPr>
          <w:p>
            <w:pPr>
              <w:pStyle w:val="TableText"/>
              <w:spacing w:before="163"/>
              <w:ind w:left="361"/>
            </w:pPr>
            <w:r>
              <w:rPr>
                <w:spacing w:val="-2"/>
              </w:rPr>
              <w:t>20</w:t>
            </w:r>
            <w:r>
              <w:rPr>
                <w:rFonts w:eastAsia="宋体" w:hint="eastAsia"/>
                <w:spacing w:val="-2"/>
                <w:lang w:val="en-US" w:eastAsia="zh-CN"/>
              </w:rPr>
              <w:t>25</w:t>
            </w:r>
            <w:r>
              <w:rPr>
                <w:spacing w:val="-2"/>
              </w:rPr>
              <w:t>-1-4</w:t>
            </w:r>
          </w:p>
        </w:tc>
        <w:tc>
          <w:tcPr>
            <w:tcW w:w="1840" w:type="dxa"/>
          </w:tcPr>
          <w:p>
            <w:pPr>
              <w:pStyle w:val="TableText"/>
              <w:spacing w:before="133" w:line="219" w:lineRule="auto"/>
              <w:ind w:left="738"/>
            </w:pPr>
            <w:r>
              <w:rPr>
                <w:spacing w:val="-3"/>
              </w:rPr>
              <w:t>发布版本</w:t>
            </w:r>
          </w:p>
        </w:tc>
        <w:tc>
          <w:tcPr>
            <w:tcW w:w="1680" w:type="dxa"/>
          </w:tcPr>
          <w:p>
            <w:pPr>
              <w:pStyle w:val="TableText"/>
              <w:spacing w:before="134" w:line="220" w:lineRule="auto"/>
              <w:ind w:left="480"/>
              <w:rPr>
                <w:rFonts w:eastAsia="宋体" w:hint="eastAsia"/>
                <w:lang w:val="en-US" w:eastAsia="zh-CN"/>
              </w:rPr>
            </w:pPr>
            <w:r>
              <w:rPr>
                <w:rFonts w:eastAsia="宋体" w:hint="eastAsia"/>
                <w:lang w:val="en-US" w:eastAsia="zh-CN"/>
              </w:rPr>
              <w:t>胡葛鹏宇</w:t>
            </w:r>
            <w:bookmarkStart w:id="2" w:name="_GoBack"/>
            <w:bookmarkEnd w:id="2"/>
          </w:p>
        </w:tc>
        <w:tc>
          <w:tcPr>
            <w:tcW w:w="1646" w:type="dxa"/>
          </w:tcPr>
          <w:p>
            <w:pPr>
              <w:pStyle w:val="TableText"/>
              <w:spacing w:before="133" w:line="220" w:lineRule="auto"/>
              <w:ind w:left="672"/>
            </w:pPr>
            <w:r>
              <w:rPr>
                <w:spacing w:val="-3"/>
              </w:rPr>
              <w:t>黄益溪</w:t>
            </w:r>
          </w:p>
        </w:tc>
      </w:tr>
      <w:tr>
        <w:tblPrEx>
          <w:tblW w:w="8425" w:type="dxa"/>
          <w:tblInd w:w="5" w:type="dxa"/>
          <w:tblLayout w:type="fixed"/>
          <w:tblCellMar>
            <w:top w:w="0" w:type="dxa"/>
            <w:left w:w="0" w:type="dxa"/>
            <w:bottom w:w="0" w:type="dxa"/>
            <w:right w:w="0" w:type="dxa"/>
          </w:tblCellMar>
        </w:tblPrEx>
        <w:trPr>
          <w:trHeight w:val="474"/>
        </w:trPr>
        <w:tc>
          <w:tcPr>
            <w:tcW w:w="1704" w:type="dxa"/>
          </w:tcPr>
          <w:p>
            <w:pPr>
              <w:pStyle w:val="TableText"/>
              <w:spacing w:before="164" w:line="239" w:lineRule="auto"/>
              <w:ind w:left="638"/>
            </w:pPr>
          </w:p>
        </w:tc>
        <w:tc>
          <w:tcPr>
            <w:tcW w:w="1555" w:type="dxa"/>
          </w:tcPr>
          <w:p>
            <w:pPr>
              <w:pStyle w:val="TableText"/>
              <w:spacing w:before="164"/>
              <w:ind w:left="361"/>
            </w:pPr>
          </w:p>
        </w:tc>
        <w:tc>
          <w:tcPr>
            <w:tcW w:w="1840" w:type="dxa"/>
          </w:tcPr>
          <w:p>
            <w:pPr>
              <w:pStyle w:val="TableText"/>
              <w:spacing w:before="134" w:line="219" w:lineRule="auto"/>
              <w:ind w:left="737"/>
            </w:pPr>
          </w:p>
        </w:tc>
        <w:tc>
          <w:tcPr>
            <w:tcW w:w="1680" w:type="dxa"/>
          </w:tcPr>
          <w:p>
            <w:pPr>
              <w:pStyle w:val="TableText"/>
              <w:spacing w:before="135" w:line="220" w:lineRule="auto"/>
              <w:ind w:left="480"/>
            </w:pPr>
          </w:p>
        </w:tc>
        <w:tc>
          <w:tcPr>
            <w:tcW w:w="1646" w:type="dxa"/>
          </w:tcPr>
          <w:p>
            <w:pPr>
              <w:pStyle w:val="TableText"/>
              <w:spacing w:before="134" w:line="220" w:lineRule="auto"/>
              <w:ind w:left="672"/>
            </w:pPr>
          </w:p>
        </w:tc>
      </w:tr>
      <w:tr>
        <w:tblPrEx>
          <w:tblW w:w="8425" w:type="dxa"/>
          <w:tblInd w:w="5" w:type="dxa"/>
          <w:tblLayout w:type="fixed"/>
          <w:tblCellMar>
            <w:top w:w="0" w:type="dxa"/>
            <w:left w:w="0" w:type="dxa"/>
            <w:bottom w:w="0" w:type="dxa"/>
            <w:right w:w="0" w:type="dxa"/>
          </w:tblCellMar>
        </w:tblPrEx>
        <w:trPr>
          <w:trHeight w:val="474"/>
        </w:trPr>
        <w:tc>
          <w:tcPr>
            <w:tcW w:w="1704" w:type="dxa"/>
          </w:tcPr>
          <w:p>
            <w:pPr>
              <w:pStyle w:val="TableText"/>
              <w:spacing w:before="165" w:line="239" w:lineRule="auto"/>
              <w:ind w:left="638"/>
            </w:pPr>
          </w:p>
        </w:tc>
        <w:tc>
          <w:tcPr>
            <w:tcW w:w="1555" w:type="dxa"/>
          </w:tcPr>
          <w:p>
            <w:pPr>
              <w:pStyle w:val="TableText"/>
              <w:spacing w:before="165"/>
              <w:ind w:left="361"/>
            </w:pPr>
          </w:p>
        </w:tc>
        <w:tc>
          <w:tcPr>
            <w:tcW w:w="1840" w:type="dxa"/>
          </w:tcPr>
          <w:p>
            <w:pPr>
              <w:pStyle w:val="TableText"/>
              <w:spacing w:before="135" w:line="219" w:lineRule="auto"/>
              <w:ind w:left="737"/>
            </w:pPr>
          </w:p>
        </w:tc>
        <w:tc>
          <w:tcPr>
            <w:tcW w:w="1680" w:type="dxa"/>
          </w:tcPr>
          <w:p>
            <w:pPr>
              <w:pStyle w:val="TableText"/>
              <w:spacing w:before="136" w:line="220" w:lineRule="auto"/>
              <w:ind w:left="480"/>
            </w:pPr>
          </w:p>
        </w:tc>
        <w:tc>
          <w:tcPr>
            <w:tcW w:w="1646" w:type="dxa"/>
          </w:tcPr>
          <w:p>
            <w:pPr>
              <w:pStyle w:val="TableText"/>
              <w:spacing w:before="135" w:line="220" w:lineRule="auto"/>
              <w:ind w:left="672"/>
            </w:pPr>
          </w:p>
        </w:tc>
      </w:tr>
      <w:tr>
        <w:tblPrEx>
          <w:tblW w:w="8425" w:type="dxa"/>
          <w:tblInd w:w="5" w:type="dxa"/>
          <w:tblLayout w:type="fixed"/>
          <w:tblCellMar>
            <w:top w:w="0" w:type="dxa"/>
            <w:left w:w="0" w:type="dxa"/>
            <w:bottom w:w="0" w:type="dxa"/>
            <w:right w:w="0" w:type="dxa"/>
          </w:tblCellMar>
        </w:tblPrEx>
        <w:trPr>
          <w:trHeight w:val="474"/>
        </w:trPr>
        <w:tc>
          <w:tcPr>
            <w:tcW w:w="1704" w:type="dxa"/>
          </w:tcPr>
          <w:p>
            <w:pPr>
              <w:pStyle w:val="TableText"/>
              <w:spacing w:before="166" w:line="239" w:lineRule="auto"/>
              <w:ind w:left="638"/>
            </w:pPr>
          </w:p>
        </w:tc>
        <w:tc>
          <w:tcPr>
            <w:tcW w:w="1555" w:type="dxa"/>
          </w:tcPr>
          <w:p>
            <w:pPr>
              <w:pStyle w:val="TableText"/>
              <w:spacing w:before="166"/>
              <w:ind w:left="361"/>
            </w:pPr>
          </w:p>
        </w:tc>
        <w:tc>
          <w:tcPr>
            <w:tcW w:w="1840" w:type="dxa"/>
          </w:tcPr>
          <w:p>
            <w:pPr>
              <w:pStyle w:val="TableText"/>
              <w:spacing w:before="136" w:line="219" w:lineRule="auto"/>
              <w:ind w:left="737"/>
            </w:pPr>
          </w:p>
        </w:tc>
        <w:tc>
          <w:tcPr>
            <w:tcW w:w="1680" w:type="dxa"/>
          </w:tcPr>
          <w:p>
            <w:pPr>
              <w:pStyle w:val="TableText"/>
              <w:spacing w:before="137" w:line="220" w:lineRule="auto"/>
              <w:ind w:left="480"/>
            </w:pPr>
          </w:p>
        </w:tc>
        <w:tc>
          <w:tcPr>
            <w:tcW w:w="1646" w:type="dxa"/>
          </w:tcPr>
          <w:p>
            <w:pPr>
              <w:pStyle w:val="TableText"/>
              <w:spacing w:before="136" w:line="220" w:lineRule="auto"/>
              <w:ind w:left="672"/>
            </w:pPr>
          </w:p>
        </w:tc>
      </w:tr>
      <w:tr>
        <w:tblPrEx>
          <w:tblW w:w="8425" w:type="dxa"/>
          <w:tblInd w:w="5" w:type="dxa"/>
          <w:tblLayout w:type="fixed"/>
          <w:tblCellMar>
            <w:top w:w="0" w:type="dxa"/>
            <w:left w:w="0" w:type="dxa"/>
            <w:bottom w:w="0" w:type="dxa"/>
            <w:right w:w="0" w:type="dxa"/>
          </w:tblCellMar>
        </w:tblPrEx>
        <w:trPr>
          <w:trHeight w:val="589"/>
        </w:trPr>
        <w:tc>
          <w:tcPr>
            <w:tcW w:w="1704" w:type="dxa"/>
          </w:tcPr>
          <w:p>
            <w:pPr>
              <w:rPr>
                <w:rFonts w:ascii="Arial"/>
                <w:sz w:val="21"/>
              </w:rPr>
            </w:pPr>
          </w:p>
        </w:tc>
        <w:tc>
          <w:tcPr>
            <w:tcW w:w="1555" w:type="dxa"/>
          </w:tcPr>
          <w:p>
            <w:pPr>
              <w:rPr>
                <w:rFonts w:ascii="Arial"/>
                <w:sz w:val="21"/>
              </w:rPr>
            </w:pPr>
          </w:p>
        </w:tc>
        <w:tc>
          <w:tcPr>
            <w:tcW w:w="1840" w:type="dxa"/>
          </w:tcPr>
          <w:p>
            <w:pPr>
              <w:rPr>
                <w:rFonts w:ascii="Arial"/>
                <w:sz w:val="21"/>
              </w:rPr>
            </w:pPr>
          </w:p>
        </w:tc>
        <w:tc>
          <w:tcPr>
            <w:tcW w:w="1680" w:type="dxa"/>
          </w:tcPr>
          <w:p>
            <w:pPr>
              <w:rPr>
                <w:rFonts w:ascii="Arial"/>
                <w:sz w:val="21"/>
              </w:rPr>
            </w:pPr>
          </w:p>
        </w:tc>
        <w:tc>
          <w:tcPr>
            <w:tcW w:w="1646" w:type="dxa"/>
          </w:tcPr>
          <w:p>
            <w:pPr>
              <w:rPr>
                <w:rFonts w:ascii="Arial"/>
                <w:sz w:val="21"/>
              </w:rPr>
            </w:pPr>
          </w:p>
        </w:tc>
      </w:tr>
    </w:tbl>
    <w:p>
      <w:pPr>
        <w:bidi w:val="0"/>
        <w:spacing w:line="360" w:lineRule="auto"/>
        <w:rPr>
          <w:rFonts w:ascii="宋体" w:hAnsi="宋体"/>
          <w:szCs w:val="21"/>
        </w:rPr>
      </w:pPr>
    </w:p>
    <w:p>
      <w:r>
        <w:br w:type="page"/>
      </w:r>
    </w:p>
    <w:sdt>
      <w:sdtPr>
        <w:rPr>
          <w:rFonts w:ascii="宋体" w:eastAsia="宋体" w:hAnsi="宋体" w:cs="Times New Roman"/>
          <w:kern w:val="2"/>
          <w:sz w:val="21"/>
          <w:szCs w:val="24"/>
          <w:lang w:val="en-US" w:eastAsia="zh-CN" w:bidi="ar-SA"/>
        </w:rPr>
        <w:id w:val="147478491"/>
        <w:docPartObj>
          <w:docPartGallery w:val="Table of Contents"/>
          <w:docPartUnique/>
        </w:docPartObj>
      </w:sdtPr>
      <w:sdtEndPr>
        <w:rPr>
          <w:rFonts w:ascii="宋体" w:eastAsia="宋体" w:hAnsi="宋体" w:cs="Times New Roman" w:hint="default"/>
          <w:kern w:val="2"/>
          <w:sz w:val="21"/>
          <w:szCs w:val="24"/>
          <w:lang w:val="en-US" w:eastAsia="zh-CN"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rPr>
              <w:rFonts w:ascii="Microsoft JhengHei" w:eastAsia="Microsoft JhengHei" w:hAnsi="Microsoft JhengHei" w:cs="Microsoft JhengHei" w:hint="eastAsia"/>
              <w:sz w:val="24"/>
              <w:szCs w:val="24"/>
            </w:rPr>
          </w:pPr>
          <w:r>
            <w:rPr>
              <w:rFonts w:hint="default"/>
              <w:sz w:val="32"/>
              <w:szCs w:val="32"/>
              <w:lang w:val="en-US" w:eastAsia="zh-CN"/>
            </w:rPr>
            <w:fldChar w:fldCharType="begin"/>
          </w:r>
          <w:r>
            <w:rPr>
              <w:rFonts w:hint="default"/>
              <w:sz w:val="32"/>
              <w:szCs w:val="32"/>
              <w:lang w:val="en-US" w:eastAsia="zh-CN"/>
            </w:rPr>
            <w:instrText xml:space="preserve">TOC \o "1-3" \h \u </w:instrText>
          </w:r>
          <w:r>
            <w:rPr>
              <w:rFonts w:hint="default"/>
              <w:sz w:val="32"/>
              <w:szCs w:val="32"/>
              <w:lang w:val="en-US" w:eastAsia="zh-CN"/>
            </w:rPr>
            <w:fldChar w:fldCharType="separate"/>
          </w: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_Toc14627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bCs/>
              <w:spacing w:val="-8"/>
              <w:sz w:val="24"/>
              <w:szCs w:val="24"/>
              <w:lang w:val="en-US" w:eastAsia="zh-CN"/>
            </w:rPr>
            <w:t>风险评估管理制度</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_Toc14627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_Toc1768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pacing w:val="-2"/>
              <w:sz w:val="24"/>
              <w:szCs w:val="24"/>
            </w:rPr>
            <w:t>文档信息</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_Toc1768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_Toc23101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1  目的</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_Toc23101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3</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_Toc30979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2 适用范围</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_Toc30979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3</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1"/>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_Toc9811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 风险评估</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_Toc9811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_Toc17834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3.1 风险评估要素模型</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_Toc17834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_Toc25921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3.2 风险计算模型</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_Toc25921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_Toc29523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3.3 风险计算过程</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_Toc29523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2"/>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_Toc4488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 风险评估流程</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_Toc4488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_Toc28889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3.4.1 风险评估的准备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_Toc28889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_Toc11145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3.4.2 资产价值</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_Toc11145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_Toc7743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3.4.3 威胁识别</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_Toc7743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12</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_Toc6077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3.4.4 脆弱性识别</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_Toc6077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_Toc18581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3.4.5 已有安全措施的确认</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_Toc18581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_Toc26499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3.4.6 风险分析</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_Toc26499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_Toc6665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3.4.7 风险结果的判定</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_Toc6665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_Toc10614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3.4.8 控制措施的选择</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_Toc10614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28</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pStyle w:val="TOC3"/>
            <w:tabs>
              <w:tab w:val="right" w:leader="dot" w:pos="8306"/>
            </w:tabs>
          </w:pPr>
          <w:r>
            <w:rPr>
              <w:rFonts w:ascii="Microsoft JhengHei" w:eastAsia="Microsoft JhengHei" w:hAnsi="Microsoft JhengHei" w:cs="Microsoft JhengHei" w:hint="eastAsia"/>
              <w:sz w:val="24"/>
              <w:szCs w:val="24"/>
              <w:lang w:val="en-US" w:eastAsia="zh-CN"/>
            </w:rPr>
            <w:fldChar w:fldCharType="begin"/>
          </w:r>
          <w:r>
            <w:rPr>
              <w:rFonts w:ascii="Microsoft JhengHei" w:eastAsia="Microsoft JhengHei" w:hAnsi="Microsoft JhengHei" w:cs="Microsoft JhengHei" w:hint="eastAsia"/>
              <w:sz w:val="24"/>
              <w:szCs w:val="24"/>
              <w:lang w:val="en-US" w:eastAsia="zh-CN"/>
            </w:rPr>
            <w:instrText xml:space="preserve"> HYPERLINK \l _Toc18274 </w:instrText>
          </w:r>
          <w:r>
            <w:rPr>
              <w:rFonts w:ascii="Microsoft JhengHei" w:eastAsia="Microsoft JhengHei" w:hAnsi="Microsoft JhengHei" w:cs="Microsoft JhengHei" w:hint="eastAsia"/>
              <w:sz w:val="24"/>
              <w:szCs w:val="24"/>
              <w:lang w:val="en-US" w:eastAsia="zh-CN"/>
            </w:rPr>
            <w:fldChar w:fldCharType="separate"/>
          </w:r>
          <w:r>
            <w:rPr>
              <w:rFonts w:ascii="Microsoft JhengHei" w:eastAsia="Microsoft JhengHei" w:hAnsi="Microsoft JhengHei" w:cs="Microsoft JhengHei" w:hint="eastAsia"/>
              <w:sz w:val="24"/>
              <w:szCs w:val="24"/>
              <w:lang w:val="en-US" w:eastAsia="zh-CN"/>
            </w:rPr>
            <w:t>3.4.9 残余风险的评价</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_Toc18274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28</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lang w:val="en-US" w:eastAsia="zh-CN"/>
            </w:rPr>
            <w:fldChar w:fldCharType="end"/>
          </w:r>
        </w:p>
        <w:p>
          <w:pPr>
            <w:bidi w:val="0"/>
            <w:rPr>
              <w:rFonts w:hint="default"/>
              <w:lang w:val="en-US" w:eastAsia="zh-CN"/>
            </w:rPr>
          </w:pPr>
          <w:r>
            <w:rPr>
              <w:rFonts w:hint="default"/>
              <w:lang w:val="en-US" w:eastAsia="zh-CN"/>
            </w:rPr>
            <w:fldChar w:fldCharType="end"/>
          </w:r>
        </w:p>
      </w:sdtContent>
    </w:sdt>
    <w:p>
      <w:pPr>
        <w:rPr>
          <w:rFonts w:hint="default"/>
          <w:lang w:val="en-US" w:eastAsia="zh-CN"/>
        </w:rPr>
      </w:pPr>
      <w:r>
        <w:rPr>
          <w:rFonts w:hint="default"/>
          <w:lang w:val="en-US" w:eastAsia="zh-CN"/>
        </w:rPr>
        <w:br w:type="page"/>
      </w:r>
    </w:p>
    <w:p>
      <w:pPr>
        <w:rPr>
          <w:rFonts w:hint="default"/>
          <w:lang w:val="en-US" w:eastAsia="zh-CN"/>
        </w:rPr>
      </w:pPr>
    </w:p>
    <w:p>
      <w:pPr>
        <w:pStyle w:val="Heading1"/>
        <w:bidi w:val="0"/>
        <w:rPr>
          <w:rFonts w:hint="default"/>
          <w:sz w:val="32"/>
          <w:szCs w:val="32"/>
          <w:lang w:val="en-US" w:eastAsia="zh-CN"/>
        </w:rPr>
      </w:pPr>
      <w:bookmarkStart w:id="3" w:name="_Toc23101"/>
      <w:r>
        <w:rPr>
          <w:rFonts w:hint="default"/>
          <w:sz w:val="32"/>
          <w:szCs w:val="32"/>
          <w:lang w:val="en-US" w:eastAsia="zh-CN"/>
        </w:rPr>
        <w:t>1  目的</w:t>
      </w:r>
      <w:bookmarkEnd w:id="3"/>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对重要信息系统实施维护服务的风险进行评估，确保运维团队能够全面、准确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的了解维护对象当前存在的风险因素，并采取有效的应对措施避免风险的升级。</w:t>
      </w:r>
    </w:p>
    <w:p>
      <w:pPr>
        <w:pStyle w:val="Heading1"/>
        <w:bidi w:val="0"/>
        <w:rPr>
          <w:rFonts w:hint="default"/>
          <w:sz w:val="32"/>
          <w:szCs w:val="32"/>
          <w:lang w:val="en-US" w:eastAsia="zh-CN"/>
        </w:rPr>
      </w:pPr>
      <w:bookmarkStart w:id="4" w:name="_Toc30979"/>
      <w:r>
        <w:rPr>
          <w:rFonts w:hint="default"/>
          <w:sz w:val="32"/>
          <w:szCs w:val="32"/>
          <w:lang w:val="en-US" w:eastAsia="zh-CN"/>
        </w:rPr>
        <w:t>2 适用范围</w:t>
      </w:r>
      <w:bookmarkEnd w:id="4"/>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适用于运维部</w:t>
      </w:r>
      <w:r>
        <w:rPr>
          <w:rFonts w:hint="default"/>
          <w:sz w:val="24"/>
          <w:lang w:val="en-US" w:eastAsia="zh-CN"/>
        </w:rPr>
        <w:t>所承担的运维服务项目的风险管控。</w:t>
      </w:r>
    </w:p>
    <w:p>
      <w:pPr>
        <w:pStyle w:val="Heading1"/>
        <w:bidi w:val="0"/>
        <w:rPr>
          <w:rFonts w:hint="default"/>
          <w:sz w:val="32"/>
          <w:szCs w:val="32"/>
          <w:lang w:val="en-US" w:eastAsia="zh-CN"/>
        </w:rPr>
      </w:pPr>
      <w:bookmarkStart w:id="5" w:name="_Toc9811"/>
      <w:r>
        <w:rPr>
          <w:rFonts w:hint="default"/>
          <w:sz w:val="32"/>
          <w:szCs w:val="32"/>
          <w:lang w:val="en-US" w:eastAsia="zh-CN"/>
        </w:rPr>
        <w:t>3 风险评估</w:t>
      </w:r>
      <w:bookmarkEnd w:id="5"/>
    </w:p>
    <w:p>
      <w:pPr>
        <w:pStyle w:val="Heading2"/>
        <w:bidi w:val="0"/>
        <w:rPr>
          <w:rFonts w:hint="default"/>
          <w:lang w:val="en-US" w:eastAsia="zh-CN"/>
        </w:rPr>
      </w:pPr>
      <w:bookmarkStart w:id="6" w:name="_Toc17834"/>
      <w:r>
        <w:rPr>
          <w:rFonts w:hint="default"/>
          <w:lang w:val="en-US" w:eastAsia="zh-CN"/>
        </w:rPr>
        <w:t>3.1 风险评估要素模型</w:t>
      </w:r>
      <w:bookmarkEnd w:id="6"/>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风险评估的出发点是对与风险有关的各因素的确认和分析。下图中方框部分的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内容为风险评估的基本要素，椭圆部分的内容是与这些要素相关的属性，也是风险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评估要素的一部分。风险评估的工作是围绕其基本要素展开的，在对这些要素的评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估过程中需要充分考虑业务战略、资产价值、安全事件、残余风险等与这些基本要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素相关的各类因素。如下模型表示了各因素的关系：</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80"/>
        </w:rPr>
        <w:drawing>
          <wp:inline distT="0" distB="0" distL="0" distR="0">
            <wp:extent cx="3992880" cy="2552700"/>
            <wp:effectExtent l="0" t="0" r="0" b="762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5"/>
                    <a:stretch>
                      <a:fillRect/>
                    </a:stretch>
                  </pic:blipFill>
                  <pic:spPr>
                    <a:xfrm>
                      <a:off x="0" y="0"/>
                      <a:ext cx="3993035" cy="2553066"/>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hint="eastAsia"/>
          <w:sz w:val="24"/>
          <w:lang w:val="en-US" w:eastAsia="zh-CN"/>
        </w:rPr>
      </w:pPr>
      <w:r>
        <w:rPr>
          <w:rFonts w:ascii="宋体" w:eastAsia="宋体" w:hAnsi="宋体" w:cs="宋体" w:hint="eastAsia"/>
          <w:sz w:val="24"/>
          <w:lang w:val="en-US" w:eastAsia="zh-CN"/>
        </w:rPr>
        <w:t>图中这些要素之间存在着以下关系：业务战略依赖于资产去完成；资产拥有价值，单位的业务战略越重要，对资产的依赖度越高，资产的价值则就越大；资产的价值越大则风险越大；风险是由威胁发起的，威胁越大则风险越大，并可能演变成安全事件；威胁都要利用脆弱性，脆弱性越大则风险越大；脆弱性使资产暴露，是未被满足的安全需求，威胁要通过利用脆弱性来危害资产，从而形成风险；资产的重要性和对风险的意识会导出安全需求;安全需求要通过安全措施来得以满足，且是有成本的；安全措施可以抗击威胁，降低风险，减弱安全事件的影响；风险不可能也没有必要降为零，在实施了安全措施后还会有残留下来的风险，—部分残余风险来自于安全措施可能不当或无效，在以后需要继续控制这部分风险，另一部分残余风险则是在综合考虑了安全的成本与资产价值后，有意未去控制的风险，这部分风险是可以被接受的；残余风险应受到密切监视，因为它可能会在将来诱发新的安全事件。</w:t>
      </w:r>
    </w:p>
    <w:p>
      <w:pPr>
        <w:pStyle w:val="Heading2"/>
        <w:bidi w:val="0"/>
        <w:rPr>
          <w:rFonts w:hint="default"/>
          <w:lang w:val="en-US" w:eastAsia="zh-CN"/>
        </w:rPr>
      </w:pPr>
      <w:bookmarkStart w:id="7" w:name="_Toc25921"/>
      <w:r>
        <w:rPr>
          <w:rFonts w:hint="default"/>
          <w:lang w:val="en-US" w:eastAsia="zh-CN"/>
        </w:rPr>
        <w:t>3.2 风险计算模型</w:t>
      </w:r>
      <w:bookmarkEnd w:id="7"/>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风险计算模型是对通过风险分析计算风险值的过程的抽象，它主要包括资产评估、威胁评估、脆弱性评估以及风险分析。风险计算模型如下图所示：</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54"/>
        </w:rPr>
        <w:drawing>
          <wp:inline distT="0" distB="0" distL="0" distR="0">
            <wp:extent cx="4998720" cy="1732280"/>
            <wp:effectExtent l="0" t="0" r="0" b="508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6"/>
                    <a:stretch>
                      <a:fillRect/>
                    </a:stretch>
                  </pic:blipFill>
                  <pic:spPr>
                    <a:xfrm>
                      <a:off x="0" y="0"/>
                      <a:ext cx="4998720" cy="1732788"/>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风险计算模型示意图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计算模型中包含：资产、威胁、脆弱性等基本要素。每个要素有各自的属性，资产的属性是资产价值；威胁的属性可以是威胁主体、影响对象、发生的可能性、动机等；脆弱性的属性是脆弱性被威胁利用后对资产带来的影响的严重程度。</w:t>
      </w:r>
    </w:p>
    <w:p>
      <w:pPr>
        <w:pStyle w:val="Heading2"/>
        <w:bidi w:val="0"/>
        <w:rPr>
          <w:rFonts w:hint="default"/>
          <w:lang w:val="en-US" w:eastAsia="zh-CN"/>
        </w:rPr>
      </w:pPr>
      <w:bookmarkStart w:id="8" w:name="_Toc29523"/>
      <w:r>
        <w:rPr>
          <w:rFonts w:hint="default"/>
          <w:lang w:val="en-US" w:eastAsia="zh-CN"/>
        </w:rPr>
        <w:t>3.3 风险计算过程</w:t>
      </w:r>
      <w:bookmarkEnd w:id="8"/>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对资产进行识别，并对资产的价值进行赋值；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对威胁进行识别，描述威胁的属性，并对威胁出现的频率赋值；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对资产的脆弱性进行识别，并对具体资产的脆弱性的严重程度赋值；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根据威胁及威胁利用弱点的难易程度判断安全事件发生的可能性；</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根据脆弱性的严重程度及安全事件所作用资产的价值计算安全事件的损失；</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根据安全事件发生的可能性以及安全事件的损失，计算安全事件一旦发生对组织的影响，即风险值。</w:t>
      </w:r>
    </w:p>
    <w:p>
      <w:pPr>
        <w:pStyle w:val="Heading2"/>
        <w:bidi w:val="0"/>
        <w:rPr>
          <w:rFonts w:hint="default"/>
          <w:lang w:val="en-US" w:eastAsia="zh-CN"/>
        </w:rPr>
      </w:pPr>
      <w:bookmarkStart w:id="9" w:name="_Toc4488"/>
      <w:r>
        <w:rPr>
          <w:rFonts w:hint="default"/>
          <w:lang w:val="en-US" w:eastAsia="zh-CN"/>
        </w:rPr>
        <w:t>3.4 风险评估流程</w:t>
      </w:r>
      <w:bookmarkEnd w:id="9"/>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根据风险评估要素关系模型，进行风险评估需要分析评价各要素，按照各要素</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关系，风险评估的过程主要包括：风险评估的准备，即信息收集与整理、对资产、威胁、脆弱性的分析、已有采取安全措施的确认以及风险评价等环节，风险评估实施过程可用下图表示：</w:t>
      </w:r>
      <w:r>
        <w:rPr>
          <w:position w:val="-143"/>
        </w:rPr>
        <w:drawing>
          <wp:inline distT="0" distB="0" distL="0" distR="0">
            <wp:extent cx="3315970" cy="4568825"/>
            <wp:effectExtent l="0" t="0" r="6350" b="317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7"/>
                    <a:stretch>
                      <a:fillRect/>
                    </a:stretch>
                  </pic:blipFill>
                  <pic:spPr>
                    <a:xfrm>
                      <a:off x="0" y="0"/>
                      <a:ext cx="3316223" cy="4568952"/>
                    </a:xfrm>
                    <a:prstGeom prst="rect">
                      <a:avLst/>
                    </a:prstGeom>
                  </pic:spPr>
                </pic:pic>
              </a:graphicData>
            </a:graphic>
          </wp:inline>
        </w:drawing>
      </w:r>
    </w:p>
    <w:p>
      <w:pPr>
        <w:pStyle w:val="Heading3"/>
        <w:bidi w:val="0"/>
        <w:rPr>
          <w:rFonts w:hint="default"/>
          <w:lang w:val="en-US" w:eastAsia="zh-CN"/>
        </w:rPr>
      </w:pPr>
      <w:bookmarkStart w:id="10" w:name="_Toc28889"/>
      <w:r>
        <w:rPr>
          <w:rFonts w:hint="default"/>
          <w:lang w:val="en-US" w:eastAsia="zh-CN"/>
        </w:rPr>
        <w:t>3.4.1 风险评估的准备</w:t>
      </w:r>
      <w:bookmarkEnd w:id="10"/>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风险评估的准备过程是整个风险评估过程有效的保证和基础。组织实施风险评估是一种战略性的考虑，其结果将受到组织业务战略、业务流程、安全需求、系统规模和结构等方面的影响。</w:t>
      </w:r>
    </w:p>
    <w:p>
      <w:pPr>
        <w:pStyle w:val="Heading3"/>
        <w:bidi w:val="0"/>
        <w:rPr>
          <w:rFonts w:hint="default"/>
          <w:lang w:val="en-US" w:eastAsia="zh-CN"/>
        </w:rPr>
      </w:pPr>
      <w:bookmarkStart w:id="11" w:name="_Toc11145"/>
      <w:r>
        <w:rPr>
          <w:rFonts w:hint="default"/>
          <w:lang w:val="en-US" w:eastAsia="zh-CN"/>
        </w:rPr>
        <w:t>3.4.2 资产价值</w:t>
      </w:r>
      <w:bookmarkEnd w:id="11"/>
    </w:p>
    <w:p>
      <w:pPr>
        <w:pStyle w:val="Heading4"/>
        <w:bidi w:val="0"/>
        <w:rPr>
          <w:rFonts w:hint="default"/>
          <w:lang w:val="en-US" w:eastAsia="zh-CN"/>
        </w:rPr>
      </w:pPr>
      <w:r>
        <w:rPr>
          <w:rFonts w:hint="default"/>
          <w:lang w:val="en-US" w:eastAsia="zh-CN"/>
        </w:rPr>
        <w:t>3.4.2.1资产分类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在一般的风险评估体中，资产大多属于不同的信息系统，如 OA 系统，网管系统，业务生产系统等，而且对于提供多种业务的机构，业务生产系统的数量还可能会很多。这时首先需要将信息系统及其中的信息资产进行恰当的分类，才能在此基础上进行下一步的风险评估工作。在实际项目中，具体的资产分类方法可以根据具体环境，由评估者来灵活把握。根据资产的表现形式，可将资产分为数据、软件、硬件、文档、服务、人员等类型。</w:t>
      </w:r>
    </w:p>
    <w:tbl>
      <w:tblPr>
        <w:tblStyle w:val="TableGrid"/>
        <w:tblW w:w="89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91"/>
        <w:gridCol w:w="8165"/>
      </w:tblGrid>
      <w:tr>
        <w:tblPrEx>
          <w:tblW w:w="89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87" w:type="dxa"/>
            <w:shd w:val="clear" w:color="auto" w:fill="auto"/>
          </w:tcPr>
          <w:p>
            <w:pPr>
              <w:spacing w:before="246" w:line="219" w:lineRule="auto"/>
              <w:ind w:left="120"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分类</w:t>
            </w:r>
          </w:p>
        </w:tc>
        <w:tc>
          <w:tcPr>
            <w:tcW w:w="8169" w:type="dxa"/>
            <w:shd w:val="clear" w:color="auto" w:fill="auto"/>
          </w:tcPr>
          <w:p>
            <w:pPr>
              <w:spacing w:before="246" w:line="221" w:lineRule="auto"/>
              <w:ind w:left="114"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示例</w:t>
            </w:r>
          </w:p>
        </w:tc>
      </w:tr>
      <w:tr>
        <w:tblPrEx>
          <w:tblW w:w="8956" w:type="dxa"/>
          <w:tblInd w:w="0" w:type="dxa"/>
          <w:tblCellMar>
            <w:top w:w="0" w:type="dxa"/>
            <w:left w:w="108" w:type="dxa"/>
            <w:bottom w:w="0" w:type="dxa"/>
            <w:right w:w="108" w:type="dxa"/>
          </w:tblCellMar>
        </w:tblPrEx>
        <w:tc>
          <w:tcPr>
            <w:tcW w:w="787" w:type="dxa"/>
            <w:shd w:val="clear" w:color="auto" w:fill="auto"/>
          </w:tcPr>
          <w:p>
            <w:pPr>
              <w:pStyle w:val="TableText"/>
              <w:spacing w:line="261" w:lineRule="auto"/>
            </w:pPr>
          </w:p>
          <w:p>
            <w:pPr>
              <w:pStyle w:val="TableText"/>
              <w:spacing w:line="262" w:lineRule="auto"/>
            </w:pPr>
          </w:p>
          <w:p>
            <w:pPr>
              <w:spacing w:before="78" w:line="219"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数据</w:t>
            </w:r>
          </w:p>
        </w:tc>
        <w:tc>
          <w:tcPr>
            <w:tcW w:w="8169" w:type="dxa"/>
            <w:shd w:val="clear" w:color="auto" w:fill="auto"/>
          </w:tcPr>
          <w:p>
            <w:pPr>
              <w:spacing w:before="243" w:line="219" w:lineRule="auto"/>
            </w:pPr>
            <w:r>
              <w:rPr>
                <w:rFonts w:ascii="宋体" w:eastAsia="宋体" w:hAnsi="宋体" w:cs="宋体"/>
                <w:spacing w:val="-6"/>
                <w:sz w:val="24"/>
                <w:szCs w:val="24"/>
              </w:rPr>
              <w:t>保存在信息媒介上的各种数据资料，包括源代码、数据库数据、系统文档</w:t>
            </w:r>
            <w:r>
              <w:rPr>
                <w:rFonts w:ascii="宋体" w:eastAsia="宋体" w:hAnsi="宋体" w:cs="宋体"/>
                <w:spacing w:val="-7"/>
                <w:sz w:val="24"/>
                <w:szCs w:val="24"/>
              </w:rPr>
              <w:t>、运</w:t>
            </w:r>
          </w:p>
          <w:p>
            <w:pPr>
              <w:spacing w:before="78" w:line="218"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行管理规程、计划、报告、用户手册等</w:t>
            </w:r>
          </w:p>
        </w:tc>
      </w:tr>
      <w:tr>
        <w:tblPrEx>
          <w:tblW w:w="8956" w:type="dxa"/>
          <w:tblInd w:w="0" w:type="dxa"/>
          <w:tblCellMar>
            <w:top w:w="0" w:type="dxa"/>
            <w:left w:w="108" w:type="dxa"/>
            <w:bottom w:w="0" w:type="dxa"/>
            <w:right w:w="108" w:type="dxa"/>
          </w:tblCellMar>
        </w:tblPrEx>
        <w:tc>
          <w:tcPr>
            <w:tcW w:w="787" w:type="dxa"/>
            <w:shd w:val="clear" w:color="auto" w:fill="auto"/>
          </w:tcPr>
          <w:p>
            <w:pPr>
              <w:pStyle w:val="TableText"/>
              <w:spacing w:line="294" w:lineRule="auto"/>
            </w:pPr>
          </w:p>
          <w:p>
            <w:pPr>
              <w:pStyle w:val="TableText"/>
              <w:spacing w:line="294" w:lineRule="auto"/>
            </w:pPr>
          </w:p>
          <w:p>
            <w:pPr>
              <w:pStyle w:val="TableText"/>
              <w:spacing w:line="295" w:lineRule="auto"/>
            </w:pPr>
          </w:p>
          <w:p>
            <w:pPr>
              <w:spacing w:before="78" w:line="219" w:lineRule="auto"/>
              <w:ind w:left="120"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软件</w:t>
            </w:r>
          </w:p>
        </w:tc>
        <w:tc>
          <w:tcPr>
            <w:tcW w:w="8169" w:type="dxa"/>
            <w:shd w:val="clear" w:color="auto" w:fill="auto"/>
          </w:tcPr>
          <w:p>
            <w:pPr>
              <w:spacing w:before="244" w:line="219" w:lineRule="auto"/>
            </w:pPr>
            <w:r>
              <w:rPr>
                <w:rFonts w:ascii="宋体" w:eastAsia="宋体" w:hAnsi="宋体" w:cs="宋体"/>
                <w:spacing w:val="-5"/>
                <w:sz w:val="24"/>
                <w:szCs w:val="24"/>
              </w:rPr>
              <w:t>系统软件：操作系统、语言包、工具软件、各种库等</w:t>
            </w:r>
          </w:p>
          <w:p>
            <w:pPr>
              <w:spacing w:before="78" w:line="219" w:lineRule="auto"/>
            </w:pPr>
            <w:r>
              <w:rPr>
                <w:rFonts w:ascii="宋体" w:eastAsia="宋体" w:hAnsi="宋体" w:cs="宋体"/>
                <w:spacing w:val="-5"/>
                <w:sz w:val="24"/>
                <w:szCs w:val="24"/>
              </w:rPr>
              <w:t>应用软件：外部购买的应用软件，外包开发的应用软件等</w:t>
            </w:r>
          </w:p>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4"/>
                <w:sz w:val="24"/>
                <w:szCs w:val="24"/>
              </w:rPr>
              <w:t>源程序：各种共享源代码、自行或合作开发</w:t>
            </w:r>
            <w:r>
              <w:rPr>
                <w:rFonts w:ascii="宋体" w:eastAsia="宋体" w:hAnsi="宋体" w:cs="宋体"/>
                <w:spacing w:val="-5"/>
                <w:sz w:val="24"/>
                <w:szCs w:val="24"/>
              </w:rPr>
              <w:t>的各种代码等</w:t>
            </w:r>
          </w:p>
        </w:tc>
      </w:tr>
      <w:tr>
        <w:tblPrEx>
          <w:tblW w:w="8956" w:type="dxa"/>
          <w:tblInd w:w="0" w:type="dxa"/>
          <w:tblCellMar>
            <w:top w:w="0" w:type="dxa"/>
            <w:left w:w="108" w:type="dxa"/>
            <w:bottom w:w="0" w:type="dxa"/>
            <w:right w:w="108" w:type="dxa"/>
          </w:tblCellMar>
        </w:tblPrEx>
        <w:tc>
          <w:tcPr>
            <w:tcW w:w="787" w:type="dxa"/>
            <w:shd w:val="clear" w:color="auto" w:fill="auto"/>
          </w:tcPr>
          <w:p>
            <w:pPr>
              <w:pStyle w:val="TableText"/>
              <w:spacing w:line="267" w:lineRule="auto"/>
            </w:pPr>
          </w:p>
          <w:p>
            <w:pPr>
              <w:pStyle w:val="TableText"/>
              <w:spacing w:line="267" w:lineRule="auto"/>
            </w:pPr>
          </w:p>
          <w:p>
            <w:pPr>
              <w:pStyle w:val="TableText"/>
              <w:spacing w:line="267" w:lineRule="auto"/>
            </w:pPr>
          </w:p>
          <w:p>
            <w:pPr>
              <w:pStyle w:val="TableText"/>
              <w:spacing w:line="267" w:lineRule="auto"/>
            </w:pPr>
          </w:p>
          <w:p>
            <w:pPr>
              <w:pStyle w:val="TableText"/>
              <w:spacing w:line="268" w:lineRule="auto"/>
            </w:pPr>
          </w:p>
          <w:p>
            <w:pPr>
              <w:pStyle w:val="TableText"/>
              <w:spacing w:line="268" w:lineRule="auto"/>
            </w:pPr>
          </w:p>
          <w:p>
            <w:pPr>
              <w:spacing w:before="78" w:line="219" w:lineRule="auto"/>
              <w:ind w:left="117"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硬件</w:t>
            </w:r>
          </w:p>
        </w:tc>
        <w:tc>
          <w:tcPr>
            <w:tcW w:w="8169" w:type="dxa"/>
            <w:shd w:val="clear" w:color="auto" w:fill="auto"/>
          </w:tcPr>
          <w:p>
            <w:pPr>
              <w:spacing w:before="244" w:line="219" w:lineRule="auto"/>
            </w:pPr>
            <w:r>
              <w:rPr>
                <w:rFonts w:ascii="宋体" w:eastAsia="宋体" w:hAnsi="宋体" w:cs="宋体"/>
                <w:spacing w:val="-6"/>
                <w:sz w:val="24"/>
                <w:szCs w:val="24"/>
              </w:rPr>
              <w:t>网络设备：路由器、网关、交换机等</w:t>
            </w:r>
          </w:p>
          <w:p>
            <w:pPr>
              <w:spacing w:before="78" w:line="219" w:lineRule="auto"/>
            </w:pPr>
            <w:r>
              <w:rPr>
                <w:rFonts w:ascii="宋体" w:eastAsia="宋体" w:hAnsi="宋体" w:cs="宋体"/>
                <w:spacing w:val="-6"/>
                <w:sz w:val="24"/>
                <w:szCs w:val="24"/>
              </w:rPr>
              <w:t>计算机设备：大型机、小型机、服务器、工作站、台式计算机、</w:t>
            </w:r>
            <w:r>
              <w:rPr>
                <w:rFonts w:ascii="宋体" w:eastAsia="宋体" w:hAnsi="宋体" w:cs="宋体"/>
                <w:spacing w:val="-7"/>
                <w:sz w:val="24"/>
                <w:szCs w:val="24"/>
              </w:rPr>
              <w:t>移动计算机等</w:t>
            </w:r>
          </w:p>
          <w:p>
            <w:pPr>
              <w:spacing w:before="78" w:line="219" w:lineRule="auto"/>
            </w:pPr>
            <w:r>
              <w:rPr>
                <w:rFonts w:ascii="宋体" w:eastAsia="宋体" w:hAnsi="宋体" w:cs="宋体"/>
                <w:spacing w:val="-4"/>
                <w:sz w:val="24"/>
                <w:szCs w:val="24"/>
              </w:rPr>
              <w:t>存储设备：磁带机、磁盘阵列、磁带、光盘、软盘</w:t>
            </w:r>
            <w:r>
              <w:rPr>
                <w:rFonts w:ascii="宋体" w:eastAsia="宋体" w:hAnsi="宋体" w:cs="宋体"/>
                <w:spacing w:val="-5"/>
                <w:sz w:val="24"/>
                <w:szCs w:val="24"/>
              </w:rPr>
              <w:t>、移动硬盘等</w:t>
            </w:r>
          </w:p>
          <w:p>
            <w:pPr>
              <w:spacing w:before="78" w:line="219" w:lineRule="auto"/>
            </w:pPr>
            <w:r>
              <w:rPr>
                <w:rFonts w:ascii="宋体" w:eastAsia="宋体" w:hAnsi="宋体" w:cs="宋体"/>
                <w:spacing w:val="-5"/>
                <w:sz w:val="24"/>
                <w:szCs w:val="24"/>
              </w:rPr>
              <w:t>传输线路：光纤、双绞线等</w:t>
            </w:r>
          </w:p>
          <w:p>
            <w:pPr>
              <w:spacing w:before="79" w:line="219" w:lineRule="auto"/>
              <w:jc w:val="left"/>
            </w:pPr>
            <w:r>
              <w:rPr>
                <w:rFonts w:ascii="宋体" w:eastAsia="宋体" w:hAnsi="宋体" w:cs="宋体"/>
                <w:spacing w:val="-13"/>
                <w:sz w:val="24"/>
                <w:szCs w:val="24"/>
              </w:rPr>
              <w:t>保障设备：动力保障设备（UPS、变电设备</w:t>
            </w:r>
            <w:r>
              <w:rPr>
                <w:rFonts w:ascii="宋体" w:eastAsia="宋体" w:hAnsi="宋体" w:cs="宋体"/>
                <w:spacing w:val="-14"/>
                <w:sz w:val="24"/>
                <w:szCs w:val="24"/>
              </w:rPr>
              <w:t>等）、空调、保险柜、文件柜、门禁、</w:t>
            </w:r>
            <w:r>
              <w:rPr>
                <w:rFonts w:ascii="宋体" w:eastAsia="宋体" w:hAnsi="宋体" w:cs="宋体"/>
                <w:spacing w:val="-6"/>
                <w:sz w:val="24"/>
                <w:szCs w:val="24"/>
              </w:rPr>
              <w:t>消防设施等</w:t>
            </w:r>
          </w:p>
          <w:p>
            <w:pPr>
              <w:spacing w:before="78" w:line="219" w:lineRule="auto"/>
              <w:rPr>
                <w:rFonts w:ascii="宋体" w:eastAsia="宋体" w:hAnsi="宋体" w:cs="宋体"/>
                <w:sz w:val="24"/>
                <w:szCs w:val="24"/>
              </w:rPr>
            </w:pPr>
            <w:r>
              <w:rPr>
                <w:rFonts w:ascii="宋体" w:eastAsia="宋体" w:hAnsi="宋体" w:cs="宋体"/>
                <w:spacing w:val="-5"/>
                <w:sz w:val="24"/>
                <w:szCs w:val="24"/>
              </w:rPr>
              <w:t>安全保障设备：防火墙、入侵检测系统、身份验证等</w:t>
            </w:r>
          </w:p>
          <w:p>
            <w:pPr>
              <w:spacing w:before="79" w:line="219" w:lineRule="auto"/>
              <w:jc w:val="both"/>
              <w:rPr>
                <w:rFonts w:ascii="宋体" w:eastAsia="宋体" w:hAnsi="宋体" w:cs="宋体" w:hint="default"/>
                <w:spacing w:val="-14"/>
                <w:sz w:val="24"/>
                <w:szCs w:val="24"/>
                <w:lang w:val="en-US" w:eastAsia="zh-CN"/>
              </w:rPr>
            </w:pPr>
            <w:r>
              <w:rPr>
                <w:rFonts w:ascii="宋体" w:eastAsia="宋体" w:hAnsi="宋体" w:cs="宋体"/>
                <w:spacing w:val="-5"/>
                <w:sz w:val="24"/>
                <w:szCs w:val="24"/>
              </w:rPr>
              <w:t>其他：打印机、复印机、扫描仪、传真机等</w:t>
            </w:r>
          </w:p>
        </w:tc>
      </w:tr>
      <w:tr>
        <w:tblPrEx>
          <w:tblW w:w="8956" w:type="dxa"/>
          <w:tblInd w:w="0" w:type="dxa"/>
          <w:tblCellMar>
            <w:top w:w="0" w:type="dxa"/>
            <w:left w:w="108" w:type="dxa"/>
            <w:bottom w:w="0" w:type="dxa"/>
            <w:right w:w="108" w:type="dxa"/>
          </w:tblCellMar>
        </w:tblPrEx>
        <w:trPr>
          <w:trHeight w:val="1898"/>
        </w:trPr>
        <w:tc>
          <w:tcPr>
            <w:tcW w:w="787" w:type="dxa"/>
            <w:shd w:val="clear" w:color="auto" w:fill="auto"/>
          </w:tcPr>
          <w:p>
            <w:pPr>
              <w:pStyle w:val="TableText"/>
              <w:spacing w:line="249" w:lineRule="auto"/>
              <w:rPr>
                <w:rFonts w:eastAsia="宋体" w:hint="default"/>
                <w:lang w:val="en-US" w:eastAsia="zh-CN"/>
              </w:rPr>
            </w:pPr>
          </w:p>
          <w:p>
            <w:pPr>
              <w:spacing w:before="78" w:line="219" w:lineRule="auto"/>
              <w:ind w:left="117" w:leftChars="0"/>
              <w:rPr>
                <w:rFonts w:ascii="宋体" w:eastAsia="宋体" w:hAnsi="宋体" w:cs="宋体"/>
                <w:kern w:val="2"/>
                <w:sz w:val="24"/>
                <w:szCs w:val="24"/>
                <w:lang w:val="en-US" w:eastAsia="zh-CN" w:bidi="ar-SA"/>
              </w:rPr>
            </w:pPr>
            <w:r>
              <w:rPr>
                <w:rFonts w:ascii="宋体" w:eastAsia="宋体" w:hAnsi="宋体" w:cs="宋体"/>
                <w:spacing w:val="-5"/>
                <w:sz w:val="24"/>
                <w:szCs w:val="24"/>
              </w:rPr>
              <w:t>服务</w:t>
            </w:r>
          </w:p>
        </w:tc>
        <w:tc>
          <w:tcPr>
            <w:tcW w:w="8169" w:type="dxa"/>
            <w:shd w:val="clear" w:color="auto" w:fill="auto"/>
          </w:tcPr>
          <w:p>
            <w:pPr>
              <w:spacing w:before="245" w:line="219" w:lineRule="auto"/>
              <w:jc w:val="both"/>
              <w:rPr>
                <w:rFonts w:ascii="宋体" w:eastAsia="宋体" w:hAnsi="宋体" w:cs="宋体"/>
                <w:sz w:val="24"/>
                <w:szCs w:val="24"/>
              </w:rPr>
            </w:pPr>
            <w:r>
              <w:rPr>
                <w:rFonts w:ascii="宋体" w:eastAsia="宋体" w:hAnsi="宋体" w:cs="宋体"/>
                <w:spacing w:val="-9"/>
                <w:sz w:val="24"/>
                <w:szCs w:val="24"/>
              </w:rPr>
              <w:t>办公服务：为提高效率而开发的管理信息系统（MIS</w:t>
            </w:r>
            <w:r>
              <w:rPr>
                <w:rFonts w:ascii="宋体" w:eastAsia="宋体" w:hAnsi="宋体" w:cs="宋体"/>
                <w:spacing w:val="-53"/>
                <w:w w:val="84"/>
                <w:sz w:val="24"/>
                <w:szCs w:val="24"/>
              </w:rPr>
              <w:t>），</w:t>
            </w:r>
            <w:r>
              <w:rPr>
                <w:rFonts w:ascii="宋体" w:eastAsia="宋体" w:hAnsi="宋体" w:cs="宋体"/>
                <w:spacing w:val="-9"/>
                <w:sz w:val="24"/>
                <w:szCs w:val="24"/>
              </w:rPr>
              <w:t>包括各种</w:t>
            </w:r>
            <w:r>
              <w:rPr>
                <w:rFonts w:ascii="宋体" w:eastAsia="宋体" w:hAnsi="宋体" w:cs="宋体"/>
                <w:spacing w:val="-10"/>
                <w:sz w:val="24"/>
                <w:szCs w:val="24"/>
              </w:rPr>
              <w:t>内部配置管理、</w:t>
            </w:r>
            <w:r>
              <w:rPr>
                <w:rFonts w:ascii="宋体" w:eastAsia="宋体" w:hAnsi="宋体" w:cs="宋体"/>
                <w:spacing w:val="-5"/>
                <w:sz w:val="24"/>
                <w:szCs w:val="24"/>
              </w:rPr>
              <w:t>文件流转管理等服务</w:t>
            </w:r>
          </w:p>
          <w:p>
            <w:pPr>
              <w:spacing w:before="78" w:line="219" w:lineRule="auto"/>
              <w:rPr>
                <w:rFonts w:ascii="宋体" w:eastAsia="宋体" w:hAnsi="宋体" w:cs="宋体"/>
                <w:sz w:val="24"/>
                <w:szCs w:val="24"/>
              </w:rPr>
            </w:pPr>
            <w:r>
              <w:rPr>
                <w:rFonts w:ascii="宋体" w:eastAsia="宋体" w:hAnsi="宋体" w:cs="宋体"/>
                <w:spacing w:val="-5"/>
                <w:sz w:val="24"/>
                <w:szCs w:val="24"/>
              </w:rPr>
              <w:t>网络服务：各种网络设备、设施提供的网络连接服务</w:t>
            </w:r>
          </w:p>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信息服务：对外依赖该系统开展的各类服务</w:t>
            </w:r>
          </w:p>
        </w:tc>
      </w:tr>
      <w:tr>
        <w:tblPrEx>
          <w:tblW w:w="8956" w:type="dxa"/>
          <w:tblInd w:w="0" w:type="dxa"/>
          <w:tblCellMar>
            <w:top w:w="0" w:type="dxa"/>
            <w:left w:w="108" w:type="dxa"/>
            <w:bottom w:w="0" w:type="dxa"/>
            <w:right w:w="108" w:type="dxa"/>
          </w:tblCellMar>
        </w:tblPrEx>
        <w:tc>
          <w:tcPr>
            <w:tcW w:w="787" w:type="dxa"/>
            <w:shd w:val="clear" w:color="auto" w:fill="auto"/>
          </w:tcPr>
          <w:p>
            <w:pPr>
              <w:spacing w:before="246" w:line="219" w:lineRule="auto"/>
              <w:ind w:left="119" w:leftChars="0"/>
              <w:rPr>
                <w:rFonts w:ascii="宋体" w:eastAsia="宋体" w:hAnsi="宋体" w:cs="宋体"/>
                <w:kern w:val="2"/>
                <w:sz w:val="24"/>
                <w:szCs w:val="24"/>
                <w:lang w:val="en-US" w:eastAsia="zh-CN" w:bidi="ar-SA"/>
              </w:rPr>
            </w:pPr>
            <w:r>
              <w:rPr>
                <w:rFonts w:ascii="宋体" w:eastAsia="宋体" w:hAnsi="宋体" w:cs="宋体"/>
                <w:spacing w:val="-6"/>
                <w:sz w:val="24"/>
                <w:szCs w:val="24"/>
              </w:rPr>
              <w:t>文档</w:t>
            </w:r>
          </w:p>
        </w:tc>
        <w:tc>
          <w:tcPr>
            <w:tcW w:w="8169" w:type="dxa"/>
            <w:shd w:val="clear" w:color="auto" w:fill="auto"/>
          </w:tcPr>
          <w:p>
            <w:pPr>
              <w:spacing w:before="246" w:line="218" w:lineRule="auto"/>
              <w:ind w:left="115" w:leftChars="0"/>
              <w:rPr>
                <w:rFonts w:ascii="宋体" w:eastAsia="宋体" w:hAnsi="宋体" w:cs="宋体"/>
                <w:kern w:val="2"/>
                <w:sz w:val="24"/>
                <w:szCs w:val="24"/>
                <w:lang w:val="en-US" w:eastAsia="zh-CN" w:bidi="ar-SA"/>
              </w:rPr>
            </w:pPr>
            <w:r>
              <w:rPr>
                <w:rFonts w:ascii="宋体" w:eastAsia="宋体" w:hAnsi="宋体" w:cs="宋体"/>
                <w:spacing w:val="-5"/>
                <w:sz w:val="24"/>
                <w:szCs w:val="24"/>
              </w:rPr>
              <w:t>纸质的各种文件、传真、电报、财务报告、发展计划等</w:t>
            </w:r>
          </w:p>
        </w:tc>
      </w:tr>
      <w:tr>
        <w:tblPrEx>
          <w:tblW w:w="8956" w:type="dxa"/>
          <w:tblInd w:w="0" w:type="dxa"/>
          <w:tblCellMar>
            <w:top w:w="0" w:type="dxa"/>
            <w:left w:w="108" w:type="dxa"/>
            <w:bottom w:w="0" w:type="dxa"/>
            <w:right w:w="108" w:type="dxa"/>
          </w:tblCellMar>
        </w:tblPrEx>
        <w:tc>
          <w:tcPr>
            <w:tcW w:w="0" w:type="auto"/>
            <w:shd w:val="clear" w:color="auto" w:fill="auto"/>
          </w:tcPr>
          <w:p>
            <w:pPr>
              <w:pStyle w:val="TableText"/>
              <w:spacing w:line="262" w:lineRule="auto"/>
            </w:pPr>
          </w:p>
          <w:p>
            <w:pPr>
              <w:pStyle w:val="TableText"/>
              <w:spacing w:line="263" w:lineRule="auto"/>
            </w:pPr>
          </w:p>
          <w:p>
            <w:pPr>
              <w:spacing w:before="78" w:line="221" w:lineRule="auto"/>
              <w:ind w:left="119" w:leftChars="0"/>
              <w:rPr>
                <w:rFonts w:ascii="宋体" w:eastAsia="宋体" w:hAnsi="宋体" w:cs="宋体"/>
                <w:kern w:val="2"/>
                <w:sz w:val="24"/>
                <w:szCs w:val="24"/>
                <w:lang w:val="en-US" w:eastAsia="zh-CN" w:bidi="ar-SA"/>
              </w:rPr>
            </w:pPr>
            <w:r>
              <w:rPr>
                <w:rFonts w:ascii="宋体" w:eastAsia="宋体" w:hAnsi="宋体" w:cs="宋体"/>
                <w:spacing w:val="-6"/>
                <w:sz w:val="24"/>
                <w:szCs w:val="24"/>
              </w:rPr>
              <w:t>人员</w:t>
            </w:r>
          </w:p>
        </w:tc>
        <w:tc>
          <w:tcPr>
            <w:tcW w:w="0" w:type="auto"/>
            <w:shd w:val="clear" w:color="auto" w:fill="auto"/>
          </w:tcPr>
          <w:p>
            <w:pPr>
              <w:spacing w:before="246" w:line="219" w:lineRule="auto"/>
              <w:rPr>
                <w:rFonts w:ascii="宋体" w:eastAsia="宋体" w:hAnsi="宋体" w:cs="宋体"/>
                <w:sz w:val="24"/>
                <w:szCs w:val="24"/>
              </w:rPr>
            </w:pPr>
            <w:r>
              <w:rPr>
                <w:rFonts w:ascii="宋体" w:eastAsia="宋体" w:hAnsi="宋体" w:cs="宋体"/>
                <w:spacing w:val="-6"/>
                <w:sz w:val="24"/>
                <w:szCs w:val="24"/>
              </w:rPr>
              <w:t>掌握重要信息和核心业务的人员，如主机维</w:t>
            </w:r>
            <w:r>
              <w:rPr>
                <w:rFonts w:ascii="宋体" w:eastAsia="宋体" w:hAnsi="宋体" w:cs="宋体"/>
                <w:spacing w:val="-7"/>
                <w:sz w:val="24"/>
                <w:szCs w:val="24"/>
              </w:rPr>
              <w:t>护主管、网络维护主管及应用项目</w:t>
            </w:r>
          </w:p>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6"/>
                <w:sz w:val="24"/>
                <w:szCs w:val="24"/>
              </w:rPr>
              <w:t>经理等</w:t>
            </w:r>
          </w:p>
        </w:tc>
      </w:tr>
      <w:tr>
        <w:tblPrEx>
          <w:tblW w:w="8956" w:type="dxa"/>
          <w:tblInd w:w="0" w:type="dxa"/>
          <w:tblCellMar>
            <w:top w:w="0" w:type="dxa"/>
            <w:left w:w="108" w:type="dxa"/>
            <w:bottom w:w="0" w:type="dxa"/>
            <w:right w:w="108" w:type="dxa"/>
          </w:tblCellMar>
        </w:tblPrEx>
        <w:tc>
          <w:tcPr>
            <w:tcW w:w="0" w:type="auto"/>
            <w:shd w:val="clear" w:color="auto" w:fill="auto"/>
          </w:tcPr>
          <w:p>
            <w:pPr>
              <w:spacing w:before="246" w:line="221" w:lineRule="auto"/>
              <w:ind w:left="118" w:leftChars="0"/>
              <w:rPr>
                <w:rFonts w:ascii="宋体" w:eastAsia="宋体" w:hAnsi="宋体" w:cs="宋体"/>
                <w:kern w:val="2"/>
                <w:sz w:val="24"/>
                <w:szCs w:val="24"/>
                <w:lang w:val="en-US" w:eastAsia="zh-CN" w:bidi="ar-SA"/>
              </w:rPr>
            </w:pPr>
            <w:r>
              <w:rPr>
                <w:rFonts w:ascii="宋体" w:eastAsia="宋体" w:hAnsi="宋体" w:cs="宋体"/>
                <w:spacing w:val="-6"/>
                <w:sz w:val="24"/>
                <w:szCs w:val="24"/>
              </w:rPr>
              <w:t>其它</w:t>
            </w:r>
          </w:p>
        </w:tc>
        <w:tc>
          <w:tcPr>
            <w:tcW w:w="0" w:type="auto"/>
            <w:shd w:val="clear" w:color="auto" w:fill="auto"/>
          </w:tcPr>
          <w:p>
            <w:pPr>
              <w:spacing w:before="247"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企业形象，客户关系等</w:t>
            </w:r>
          </w:p>
        </w:tc>
      </w:tr>
    </w:tbl>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hint="eastAsia"/>
          <w:sz w:val="24"/>
          <w:lang w:val="en-US" w:eastAsia="zh-CN"/>
        </w:rPr>
      </w:pPr>
      <w:r>
        <w:rPr>
          <w:rFonts w:ascii="宋体" w:eastAsia="宋体" w:hAnsi="宋体" w:cs="宋体" w:hint="eastAsia"/>
          <w:sz w:val="24"/>
          <w:lang w:val="en-US" w:eastAsia="zh-CN"/>
        </w:rPr>
        <w:t>资产识别方式及阶段成果：在资产识别过程中，本公司信息安全管理委员会可以通过问卷调查、人员问询的方式识别每一项资产，在本阶段结束后本公司信息安全管理委员会将向信息系统所有者提供《资产识别清单》，清单中应明确各资产的负责人/部门，并由信息系统所有者进行书面确认。</w:t>
      </w:r>
    </w:p>
    <w:p>
      <w:pPr>
        <w:pStyle w:val="Heading4"/>
        <w:bidi w:val="0"/>
        <w:rPr>
          <w:rFonts w:hint="default"/>
          <w:lang w:val="en-US" w:eastAsia="zh-CN"/>
        </w:rPr>
      </w:pPr>
      <w:r>
        <w:rPr>
          <w:rFonts w:hint="default"/>
          <w:lang w:val="en-US" w:eastAsia="zh-CN"/>
        </w:rPr>
        <w:t>3.4.2.2资产赋值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本指南所指资产赋值是对资产安全价值的估价，而不是以资产的账面价格来衡量的。在对资产进行估价时，不仅要考虑资产的成本价格，更重要的是考虑资产对于组织业务的安全重要性，即根据资产损失所引发的潜在的商务影响来决定。为确保资产估价时的一致性和准确性，本公司信息安全管理委员会应按照上述原则，建立一个资产价值尺度（资产评估标准），以明确如何对资产进行赋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资产估价的过程也就是对资产机密性、完整性和可用性影响分析的过程。影响就是由人为或突发性引起的安全事件对资产破坏的后果。这一后果可能毁灭某些资产，危及信息系统并使其丧失机密性、完整性和可用性，最终还会导致财产损失、市场份额或公司形象的损失。特别重要的是，即使每一次影响引起的损失并不大，但长期积累的众多意外事件的影响总和则可造成严重损失。一般情况下，影响主要从以下几方面来考虑：</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 xml:space="preserve"> 违反了有关法律或（和）规章制度</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3" name="IM 8"/>
            <wp:cNvGraphicFramePr/>
            <a:graphic xmlns:a="http://schemas.openxmlformats.org/drawingml/2006/main">
              <a:graphicData uri="http://schemas.openxmlformats.org/drawingml/2006/picture">
                <pic:pic xmlns:pic="http://schemas.openxmlformats.org/drawingml/2006/picture">
                  <pic:nvPicPr>
                    <pic:cNvPr id="3"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 xml:space="preserve"> 影响了业务执行</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5" name="IM 8"/>
            <wp:cNvGraphicFramePr/>
            <a:graphic xmlns:a="http://schemas.openxmlformats.org/drawingml/2006/main">
              <a:graphicData uri="http://schemas.openxmlformats.org/drawingml/2006/picture">
                <pic:pic xmlns:pic="http://schemas.openxmlformats.org/drawingml/2006/picture">
                  <pic:nvPicPr>
                    <pic:cNvPr id="5"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 xml:space="preserve"> 造成了信誉、声誉损失</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7" name="IM 8"/>
            <wp:cNvGraphicFramePr/>
            <a:graphic xmlns:a="http://schemas.openxmlformats.org/drawingml/2006/main">
              <a:graphicData uri="http://schemas.openxmlformats.org/drawingml/2006/picture">
                <pic:pic xmlns:pic="http://schemas.openxmlformats.org/drawingml/2006/picture">
                  <pic:nvPicPr>
                    <pic:cNvPr id="7"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侵犯了个人隐私</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9" name="IM 8"/>
            <wp:cNvGraphicFramePr/>
            <a:graphic xmlns:a="http://schemas.openxmlformats.org/drawingml/2006/main">
              <a:graphicData uri="http://schemas.openxmlformats.org/drawingml/2006/picture">
                <pic:pic xmlns:pic="http://schemas.openxmlformats.org/drawingml/2006/picture">
                  <pic:nvPicPr>
                    <pic:cNvPr id="9"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造成了人身伤害</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10" name="IM 8"/>
            <wp:cNvGraphicFramePr/>
            <a:graphic xmlns:a="http://schemas.openxmlformats.org/drawingml/2006/main">
              <a:graphicData uri="http://schemas.openxmlformats.org/drawingml/2006/picture">
                <pic:pic xmlns:pic="http://schemas.openxmlformats.org/drawingml/2006/picture">
                  <pic:nvPicPr>
                    <pic:cNvPr id="10"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对法律实施造成了负面影响</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11" name="IM 8"/>
            <wp:cNvGraphicFramePr/>
            <a:graphic xmlns:a="http://schemas.openxmlformats.org/drawingml/2006/main">
              <a:graphicData uri="http://schemas.openxmlformats.org/drawingml/2006/picture">
                <pic:pic xmlns:pic="http://schemas.openxmlformats.org/drawingml/2006/picture">
                  <pic:nvPicPr>
                    <pic:cNvPr id="11"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侵犯了商业机密</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12" name="IM 8"/>
            <wp:cNvGraphicFramePr/>
            <a:graphic xmlns:a="http://schemas.openxmlformats.org/drawingml/2006/main">
              <a:graphicData uri="http://schemas.openxmlformats.org/drawingml/2006/picture">
                <pic:pic xmlns:pic="http://schemas.openxmlformats.org/drawingml/2006/picture">
                  <pic:nvPicPr>
                    <pic:cNvPr id="12"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违反了社会公共准则</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13" name="IM 8"/>
            <wp:cNvGraphicFramePr/>
            <a:graphic xmlns:a="http://schemas.openxmlformats.org/drawingml/2006/main">
              <a:graphicData uri="http://schemas.openxmlformats.org/drawingml/2006/picture">
                <pic:pic xmlns:pic="http://schemas.openxmlformats.org/drawingml/2006/picture">
                  <pic:nvPicPr>
                    <pic:cNvPr id="13"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造成了经济损失</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14" name="IM 8"/>
            <wp:cNvGraphicFramePr/>
            <a:graphic xmlns:a="http://schemas.openxmlformats.org/drawingml/2006/main">
              <a:graphicData uri="http://schemas.openxmlformats.org/drawingml/2006/picture">
                <pic:pic xmlns:pic="http://schemas.openxmlformats.org/drawingml/2006/picture">
                  <pic:nvPicPr>
                    <pic:cNvPr id="14"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破坏了业务活动</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15" name="IM 8"/>
            <wp:cNvGraphicFramePr/>
            <a:graphic xmlns:a="http://schemas.openxmlformats.org/drawingml/2006/main">
              <a:graphicData uri="http://schemas.openxmlformats.org/drawingml/2006/picture">
                <pic:pic xmlns:pic="http://schemas.openxmlformats.org/drawingml/2006/picture">
                  <pic:nvPicPr>
                    <pic:cNvPr id="15" name="IM 8"/>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危害了公共安全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资产安全属性的不同通常也意味着安全控制、保护功能需求的不同。风险评估小组应当通过考察三种不同安全属性，能够基本反映资产的价值。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ascii="Wingdings" w:eastAsia="Wingdings" w:hAnsi="Wingdings" w:cs="Wingdings"/>
          <w:spacing w:val="-9"/>
          <w:sz w:val="24"/>
          <w:szCs w:val="24"/>
        </w:rPr>
        <w:t>u</w:t>
      </w:r>
      <w:r>
        <w:rPr>
          <w:rFonts w:hint="default"/>
          <w:sz w:val="24"/>
          <w:lang w:val="en-US" w:eastAsia="zh-CN"/>
        </w:rPr>
        <w:t>机密性赋值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根据资产机密性属性的不同，将它分为 5 个不同的等级，分别对应资产在机密性方面的价值或者在机密性方面受到损失时对整个评估的影响。</w:t>
      </w:r>
    </w:p>
    <w:tbl>
      <w:tblPr>
        <w:tblStyle w:val="TableGrid"/>
        <w:tblW w:w="962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20"/>
        <w:gridCol w:w="1025"/>
        <w:gridCol w:w="7876"/>
      </w:tblGrid>
      <w:tr>
        <w:tblPrEx>
          <w:tblW w:w="962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20" w:type="dxa"/>
            <w:shd w:val="clear" w:color="auto" w:fill="auto"/>
          </w:tcPr>
          <w:p>
            <w:pPr>
              <w:spacing w:before="243" w:line="219" w:lineRule="auto"/>
              <w:ind w:left="115"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赋值</w:t>
            </w:r>
          </w:p>
        </w:tc>
        <w:tc>
          <w:tcPr>
            <w:tcW w:w="1025" w:type="dxa"/>
            <w:shd w:val="clear" w:color="auto" w:fill="auto"/>
          </w:tcPr>
          <w:p>
            <w:pPr>
              <w:spacing w:before="242" w:line="220" w:lineRule="auto"/>
              <w:ind w:left="114"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标识</w:t>
            </w:r>
          </w:p>
        </w:tc>
        <w:tc>
          <w:tcPr>
            <w:tcW w:w="7876" w:type="dxa"/>
            <w:shd w:val="clear" w:color="auto" w:fill="auto"/>
          </w:tcPr>
          <w:p>
            <w:pPr>
              <w:spacing w:before="242" w:line="220"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8"/>
                <w:sz w:val="24"/>
                <w:szCs w:val="24"/>
              </w:rPr>
              <w:t>定义</w:t>
            </w:r>
          </w:p>
        </w:tc>
      </w:tr>
      <w:tr>
        <w:tblPrEx>
          <w:tblW w:w="9621" w:type="dxa"/>
          <w:tblInd w:w="0" w:type="dxa"/>
          <w:tblCellMar>
            <w:top w:w="0" w:type="dxa"/>
            <w:left w:w="108" w:type="dxa"/>
            <w:bottom w:w="0" w:type="dxa"/>
            <w:right w:w="108" w:type="dxa"/>
          </w:tblCellMar>
        </w:tblPrEx>
        <w:tc>
          <w:tcPr>
            <w:tcW w:w="720" w:type="dxa"/>
            <w:shd w:val="clear" w:color="auto" w:fill="auto"/>
          </w:tcPr>
          <w:p>
            <w:pPr>
              <w:pStyle w:val="TableText"/>
              <w:spacing w:line="259" w:lineRule="auto"/>
            </w:pPr>
          </w:p>
          <w:p>
            <w:pPr>
              <w:pStyle w:val="TableText"/>
              <w:spacing w:line="260" w:lineRule="auto"/>
            </w:pPr>
          </w:p>
          <w:p>
            <w:pPr>
              <w:spacing w:before="78"/>
              <w:ind w:left="118" w:leftChars="0"/>
              <w:rPr>
                <w:rFonts w:ascii="宋体" w:eastAsia="宋体" w:hAnsi="宋体" w:cs="宋体" w:hint="default"/>
                <w:kern w:val="2"/>
                <w:sz w:val="24"/>
                <w:szCs w:val="24"/>
                <w:lang w:val="en-US" w:eastAsia="zh-CN" w:bidi="ar-SA"/>
              </w:rPr>
            </w:pPr>
            <w:r>
              <w:rPr>
                <w:rFonts w:ascii="宋体" w:eastAsia="宋体" w:hAnsi="宋体" w:cs="宋体"/>
                <w:sz w:val="24"/>
                <w:szCs w:val="24"/>
              </w:rPr>
              <w:t>5</w:t>
            </w:r>
          </w:p>
        </w:tc>
        <w:tc>
          <w:tcPr>
            <w:tcW w:w="1025" w:type="dxa"/>
            <w:shd w:val="clear" w:color="auto" w:fill="auto"/>
          </w:tcPr>
          <w:p>
            <w:pPr>
              <w:pStyle w:val="TableText"/>
              <w:spacing w:line="260" w:lineRule="auto"/>
            </w:pPr>
          </w:p>
          <w:p>
            <w:pPr>
              <w:pStyle w:val="TableText"/>
              <w:spacing w:line="260" w:lineRule="auto"/>
            </w:pPr>
          </w:p>
          <w:p>
            <w:pPr>
              <w:spacing w:before="78" w:line="219" w:lineRule="auto"/>
              <w:ind w:left="116"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极高</w:t>
            </w:r>
          </w:p>
        </w:tc>
        <w:tc>
          <w:tcPr>
            <w:tcW w:w="7876" w:type="dxa"/>
            <w:shd w:val="clear" w:color="auto" w:fill="auto"/>
          </w:tcPr>
          <w:p>
            <w:pPr>
              <w:spacing w:before="238" w:line="219" w:lineRule="auto"/>
              <w:rPr>
                <w:rFonts w:ascii="宋体" w:eastAsia="宋体" w:hAnsi="宋体" w:cs="宋体"/>
                <w:sz w:val="24"/>
                <w:szCs w:val="24"/>
              </w:rPr>
            </w:pPr>
            <w:r>
              <w:rPr>
                <w:rFonts w:ascii="宋体" w:eastAsia="宋体" w:hAnsi="宋体" w:cs="宋体"/>
                <w:spacing w:val="-1"/>
                <w:sz w:val="24"/>
                <w:szCs w:val="24"/>
              </w:rPr>
              <w:t>包含组织最重要的机密，关系组织未来发展的前途命运，对组织根本利益</w:t>
            </w:r>
          </w:p>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有着决定性影响，如果泄漏会造成灾难性的损害</w:t>
            </w:r>
          </w:p>
        </w:tc>
      </w:tr>
      <w:tr>
        <w:tblPrEx>
          <w:tblW w:w="9621" w:type="dxa"/>
          <w:tblInd w:w="0" w:type="dxa"/>
          <w:tblCellMar>
            <w:top w:w="0" w:type="dxa"/>
            <w:left w:w="108" w:type="dxa"/>
            <w:bottom w:w="0" w:type="dxa"/>
            <w:right w:w="108" w:type="dxa"/>
          </w:tblCellMar>
        </w:tblPrEx>
        <w:tc>
          <w:tcPr>
            <w:tcW w:w="720" w:type="dxa"/>
            <w:shd w:val="clear" w:color="auto" w:fill="auto"/>
          </w:tcPr>
          <w:p>
            <w:pPr>
              <w:spacing w:before="242" w:line="241" w:lineRule="auto"/>
              <w:ind w:left="112" w:leftChars="0"/>
              <w:rPr>
                <w:rFonts w:ascii="宋体" w:eastAsia="宋体" w:hAnsi="宋体" w:cs="宋体" w:hint="default"/>
                <w:kern w:val="2"/>
                <w:sz w:val="24"/>
                <w:szCs w:val="24"/>
                <w:lang w:val="en-US" w:eastAsia="zh-CN" w:bidi="ar-SA"/>
              </w:rPr>
            </w:pPr>
            <w:r>
              <w:rPr>
                <w:rFonts w:ascii="宋体" w:eastAsia="宋体" w:hAnsi="宋体" w:cs="宋体"/>
                <w:sz w:val="24"/>
                <w:szCs w:val="24"/>
              </w:rPr>
              <w:t>4</w:t>
            </w:r>
          </w:p>
        </w:tc>
        <w:tc>
          <w:tcPr>
            <w:tcW w:w="1025" w:type="dxa"/>
            <w:shd w:val="clear" w:color="auto" w:fill="auto"/>
          </w:tcPr>
          <w:p>
            <w:pPr>
              <w:spacing w:before="242" w:line="219" w:lineRule="auto"/>
              <w:ind w:left="120" w:leftChars="0"/>
              <w:rPr>
                <w:rFonts w:ascii="宋体" w:eastAsia="宋体" w:hAnsi="宋体" w:cs="宋体" w:hint="default"/>
                <w:kern w:val="2"/>
                <w:sz w:val="24"/>
                <w:szCs w:val="24"/>
                <w:lang w:val="en-US" w:eastAsia="zh-CN" w:bidi="ar-SA"/>
              </w:rPr>
            </w:pPr>
            <w:r>
              <w:rPr>
                <w:rFonts w:ascii="宋体" w:eastAsia="宋体" w:hAnsi="宋体" w:cs="宋体"/>
                <w:sz w:val="24"/>
                <w:szCs w:val="24"/>
              </w:rPr>
              <w:t>高</w:t>
            </w:r>
          </w:p>
        </w:tc>
        <w:tc>
          <w:tcPr>
            <w:tcW w:w="7876" w:type="dxa"/>
            <w:shd w:val="clear" w:color="auto" w:fill="auto"/>
          </w:tcPr>
          <w:p>
            <w:pPr>
              <w:spacing w:before="241" w:line="219" w:lineRule="auto"/>
              <w:rPr>
                <w:rFonts w:ascii="宋体" w:eastAsia="宋体" w:hAnsi="宋体" w:cs="宋体" w:hint="default"/>
                <w:kern w:val="2"/>
                <w:sz w:val="24"/>
                <w:szCs w:val="24"/>
                <w:lang w:val="en-US" w:eastAsia="zh-CN" w:bidi="ar-SA"/>
              </w:rPr>
            </w:pPr>
            <w:r>
              <w:rPr>
                <w:rFonts w:ascii="宋体" w:eastAsia="宋体" w:hAnsi="宋体" w:cs="宋体"/>
                <w:spacing w:val="-4"/>
                <w:sz w:val="24"/>
                <w:szCs w:val="24"/>
              </w:rPr>
              <w:t>包含组织的重要秘密，其泄露会使组织的安全和</w:t>
            </w:r>
            <w:r>
              <w:rPr>
                <w:rFonts w:ascii="宋体" w:eastAsia="宋体" w:hAnsi="宋体" w:cs="宋体"/>
                <w:spacing w:val="-5"/>
                <w:sz w:val="24"/>
                <w:szCs w:val="24"/>
              </w:rPr>
              <w:t>利益遭受严重损害</w:t>
            </w:r>
          </w:p>
        </w:tc>
      </w:tr>
      <w:tr>
        <w:tblPrEx>
          <w:tblW w:w="9621" w:type="dxa"/>
          <w:tblInd w:w="0" w:type="dxa"/>
          <w:tblCellMar>
            <w:top w:w="0" w:type="dxa"/>
            <w:left w:w="108" w:type="dxa"/>
            <w:bottom w:w="0" w:type="dxa"/>
            <w:right w:w="108" w:type="dxa"/>
          </w:tblCellMar>
        </w:tblPrEx>
        <w:tc>
          <w:tcPr>
            <w:tcW w:w="720" w:type="dxa"/>
            <w:shd w:val="clear" w:color="auto" w:fill="auto"/>
          </w:tcPr>
          <w:p>
            <w:pPr>
              <w:spacing w:before="240"/>
              <w:ind w:left="118" w:leftChars="0"/>
              <w:rPr>
                <w:rFonts w:ascii="宋体" w:eastAsia="宋体" w:hAnsi="宋体" w:cs="宋体" w:hint="default"/>
                <w:kern w:val="2"/>
                <w:sz w:val="24"/>
                <w:szCs w:val="24"/>
                <w:lang w:val="en-US" w:eastAsia="zh-CN" w:bidi="ar-SA"/>
              </w:rPr>
            </w:pPr>
            <w:r>
              <w:rPr>
                <w:rFonts w:ascii="宋体" w:eastAsia="宋体" w:hAnsi="宋体" w:cs="宋体"/>
                <w:sz w:val="24"/>
                <w:szCs w:val="24"/>
              </w:rPr>
              <w:t>3</w:t>
            </w:r>
          </w:p>
        </w:tc>
        <w:tc>
          <w:tcPr>
            <w:tcW w:w="1025" w:type="dxa"/>
            <w:shd w:val="clear" w:color="auto" w:fill="auto"/>
          </w:tcPr>
          <w:p>
            <w:pPr>
              <w:spacing w:before="241" w:line="219" w:lineRule="auto"/>
              <w:ind w:left="136" w:leftChars="0"/>
              <w:rPr>
                <w:rFonts w:ascii="宋体" w:eastAsia="宋体" w:hAnsi="宋体" w:cs="宋体" w:hint="default"/>
                <w:kern w:val="2"/>
                <w:sz w:val="24"/>
                <w:szCs w:val="24"/>
                <w:lang w:val="en-US" w:eastAsia="zh-CN" w:bidi="ar-SA"/>
              </w:rPr>
            </w:pPr>
            <w:r>
              <w:rPr>
                <w:rFonts w:ascii="宋体" w:eastAsia="宋体" w:hAnsi="宋体" w:cs="宋体"/>
                <w:spacing w:val="-16"/>
                <w:sz w:val="24"/>
                <w:szCs w:val="24"/>
              </w:rPr>
              <w:t>中等</w:t>
            </w:r>
          </w:p>
        </w:tc>
        <w:tc>
          <w:tcPr>
            <w:tcW w:w="7876" w:type="dxa"/>
            <w:shd w:val="clear" w:color="auto" w:fill="auto"/>
          </w:tcPr>
          <w:p>
            <w:pPr>
              <w:spacing w:before="240" w:line="219"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组织的一般性秘密，其泄露会使组织的安全和利益受到损害</w:t>
            </w:r>
          </w:p>
        </w:tc>
      </w:tr>
      <w:tr>
        <w:tblPrEx>
          <w:tblW w:w="9621" w:type="dxa"/>
          <w:tblInd w:w="0" w:type="dxa"/>
          <w:tblCellMar>
            <w:top w:w="0" w:type="dxa"/>
            <w:left w:w="108" w:type="dxa"/>
            <w:bottom w:w="0" w:type="dxa"/>
            <w:right w:w="108" w:type="dxa"/>
          </w:tblCellMar>
        </w:tblPrEx>
        <w:tc>
          <w:tcPr>
            <w:tcW w:w="720" w:type="dxa"/>
            <w:shd w:val="clear" w:color="auto" w:fill="auto"/>
          </w:tcPr>
          <w:p>
            <w:pPr>
              <w:pStyle w:val="TableText"/>
              <w:spacing w:line="260" w:lineRule="auto"/>
            </w:pPr>
          </w:p>
          <w:p>
            <w:pPr>
              <w:pStyle w:val="TableText"/>
              <w:spacing w:line="261" w:lineRule="auto"/>
            </w:pPr>
          </w:p>
          <w:p>
            <w:pPr>
              <w:spacing w:before="78" w:line="241" w:lineRule="auto"/>
              <w:ind w:left="116" w:leftChars="0"/>
              <w:rPr>
                <w:rFonts w:ascii="宋体" w:eastAsia="宋体" w:hAnsi="宋体" w:cs="宋体" w:hint="default"/>
                <w:kern w:val="2"/>
                <w:sz w:val="24"/>
                <w:szCs w:val="24"/>
                <w:lang w:val="en-US" w:eastAsia="zh-CN" w:bidi="ar-SA"/>
              </w:rPr>
            </w:pPr>
            <w:r>
              <w:rPr>
                <w:rFonts w:ascii="宋体" w:eastAsia="宋体" w:hAnsi="宋体" w:cs="宋体"/>
                <w:sz w:val="24"/>
                <w:szCs w:val="24"/>
              </w:rPr>
              <w:t>2</w:t>
            </w:r>
          </w:p>
        </w:tc>
        <w:tc>
          <w:tcPr>
            <w:tcW w:w="1025" w:type="dxa"/>
            <w:shd w:val="clear" w:color="auto" w:fill="auto"/>
          </w:tcPr>
          <w:p>
            <w:pPr>
              <w:spacing w:before="78" w:line="221" w:lineRule="auto"/>
              <w:rPr>
                <w:rFonts w:ascii="宋体" w:eastAsia="宋体" w:hAnsi="宋体" w:cs="宋体" w:hint="default"/>
                <w:kern w:val="2"/>
                <w:sz w:val="24"/>
                <w:szCs w:val="24"/>
                <w:lang w:val="en-US" w:eastAsia="zh-CN" w:bidi="ar-SA"/>
              </w:rPr>
            </w:pPr>
            <w:r>
              <w:rPr>
                <w:rFonts w:ascii="宋体" w:eastAsia="宋体" w:hAnsi="宋体" w:cs="宋体"/>
                <w:sz w:val="24"/>
                <w:szCs w:val="24"/>
              </w:rPr>
              <w:t>低</w:t>
            </w:r>
          </w:p>
        </w:tc>
        <w:tc>
          <w:tcPr>
            <w:tcW w:w="7876" w:type="dxa"/>
            <w:shd w:val="clear" w:color="auto" w:fill="auto"/>
          </w:tcPr>
          <w:p>
            <w:pPr>
              <w:spacing w:before="243" w:line="216" w:lineRule="auto"/>
              <w:rPr>
                <w:rFonts w:ascii="宋体" w:eastAsia="宋体" w:hAnsi="宋体" w:cs="宋体" w:hint="default"/>
                <w:kern w:val="2"/>
                <w:sz w:val="24"/>
                <w:szCs w:val="24"/>
                <w:lang w:val="en-US" w:eastAsia="zh-CN" w:bidi="ar-SA"/>
              </w:rPr>
            </w:pPr>
            <w:r>
              <w:rPr>
                <w:rFonts w:ascii="宋体" w:eastAsia="宋体" w:hAnsi="宋体" w:cs="宋体"/>
                <w:spacing w:val="3"/>
                <w:sz w:val="24"/>
                <w:szCs w:val="24"/>
              </w:rPr>
              <w:t>仅能在组织内部或在组织某一部门内部公开的信息,向外扩散有可能对组</w:t>
            </w:r>
            <w:r>
              <w:rPr>
                <w:rFonts w:ascii="宋体" w:eastAsia="宋体" w:hAnsi="宋体" w:cs="宋体"/>
                <w:spacing w:val="-5"/>
                <w:sz w:val="24"/>
                <w:szCs w:val="24"/>
              </w:rPr>
              <w:t>织的利益造成轻微损害</w:t>
            </w:r>
          </w:p>
        </w:tc>
      </w:tr>
      <w:tr>
        <w:tblPrEx>
          <w:tblW w:w="9621" w:type="dxa"/>
          <w:tblInd w:w="0" w:type="dxa"/>
          <w:tblCellMar>
            <w:top w:w="0" w:type="dxa"/>
            <w:left w:w="108" w:type="dxa"/>
            <w:bottom w:w="0" w:type="dxa"/>
            <w:right w:w="108" w:type="dxa"/>
          </w:tblCellMar>
        </w:tblPrEx>
        <w:tc>
          <w:tcPr>
            <w:tcW w:w="720" w:type="dxa"/>
            <w:shd w:val="clear" w:color="auto" w:fill="auto"/>
          </w:tcPr>
          <w:p>
            <w:pPr>
              <w:spacing w:before="244" w:line="241" w:lineRule="auto"/>
              <w:ind w:left="131" w:leftChars="0"/>
              <w:rPr>
                <w:rFonts w:ascii="宋体" w:eastAsia="宋体" w:hAnsi="宋体" w:cs="宋体" w:hint="default"/>
                <w:kern w:val="2"/>
                <w:sz w:val="24"/>
                <w:szCs w:val="24"/>
                <w:lang w:val="en-US" w:eastAsia="zh-CN" w:bidi="ar-SA"/>
              </w:rPr>
            </w:pPr>
            <w:r>
              <w:rPr>
                <w:rFonts w:ascii="宋体" w:eastAsia="宋体" w:hAnsi="宋体" w:cs="宋体"/>
                <w:sz w:val="24"/>
                <w:szCs w:val="24"/>
              </w:rPr>
              <w:t>1</w:t>
            </w:r>
          </w:p>
        </w:tc>
        <w:tc>
          <w:tcPr>
            <w:tcW w:w="1025" w:type="dxa"/>
            <w:shd w:val="clear" w:color="auto" w:fill="auto"/>
          </w:tcPr>
          <w:p>
            <w:pPr>
              <w:spacing w:before="245" w:line="220" w:lineRule="auto"/>
              <w:ind w:left="115"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很低</w:t>
            </w:r>
          </w:p>
        </w:tc>
        <w:tc>
          <w:tcPr>
            <w:tcW w:w="7876" w:type="dxa"/>
            <w:shd w:val="clear" w:color="auto" w:fill="auto"/>
          </w:tcPr>
          <w:p>
            <w:pPr>
              <w:spacing w:before="244" w:line="219" w:lineRule="auto"/>
              <w:ind w:left="115"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可对社会公开的信息，公用的信息处理设备和系统资源等</w:t>
            </w:r>
          </w:p>
        </w:tc>
      </w:tr>
    </w:tbl>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ascii="Wingdings" w:eastAsia="Wingdings" w:hAnsi="Wingdings" w:cs="Wingdings"/>
          <w:spacing w:val="-9"/>
          <w:sz w:val="24"/>
          <w:szCs w:val="24"/>
        </w:rPr>
        <w:t>u</w:t>
      </w:r>
      <w:r>
        <w:rPr>
          <w:rFonts w:hint="default"/>
          <w:sz w:val="24"/>
          <w:lang w:val="en-US" w:eastAsia="zh-CN"/>
        </w:rPr>
        <w:t>完整性赋值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根据资产完整性属性的不同，将它分为 5 个不同的等级，分别对应资产在完整性方面的价值或者在完整性方面受到损失时对整个评估的影响。</w:t>
      </w:r>
    </w:p>
    <w:tbl>
      <w:tblPr>
        <w:tblStyle w:val="TableGrid"/>
        <w:tblW w:w="96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8"/>
        <w:gridCol w:w="881"/>
        <w:gridCol w:w="7974"/>
      </w:tblGrid>
      <w:tr>
        <w:tblPrEx>
          <w:tblW w:w="96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18" w:type="dxa"/>
            <w:shd w:val="clear" w:color="auto" w:fill="auto"/>
          </w:tcPr>
          <w:p>
            <w:pPr>
              <w:spacing w:before="244" w:line="219" w:lineRule="auto"/>
              <w:ind w:left="116" w:leftChars="0"/>
              <w:rPr>
                <w:rFonts w:ascii="宋体" w:eastAsia="宋体" w:hAnsi="宋体" w:cs="宋体"/>
                <w:kern w:val="2"/>
                <w:sz w:val="24"/>
                <w:szCs w:val="24"/>
                <w:lang w:val="en-US" w:eastAsia="zh-CN" w:bidi="ar-SA"/>
              </w:rPr>
            </w:pPr>
            <w:r>
              <w:rPr>
                <w:rFonts w:ascii="宋体" w:eastAsia="宋体" w:hAnsi="宋体" w:cs="宋体"/>
                <w:spacing w:val="-6"/>
                <w:sz w:val="24"/>
                <w:szCs w:val="24"/>
              </w:rPr>
              <w:t>赋值</w:t>
            </w:r>
          </w:p>
        </w:tc>
        <w:tc>
          <w:tcPr>
            <w:tcW w:w="881" w:type="dxa"/>
            <w:shd w:val="clear" w:color="auto" w:fill="auto"/>
          </w:tcPr>
          <w:p>
            <w:pPr>
              <w:spacing w:before="243" w:line="220" w:lineRule="auto"/>
              <w:ind w:left="113" w:leftChars="0"/>
              <w:rPr>
                <w:rFonts w:ascii="宋体" w:eastAsia="宋体" w:hAnsi="宋体" w:cs="宋体"/>
                <w:kern w:val="2"/>
                <w:sz w:val="24"/>
                <w:szCs w:val="24"/>
                <w:lang w:val="en-US" w:eastAsia="zh-CN" w:bidi="ar-SA"/>
              </w:rPr>
            </w:pPr>
            <w:r>
              <w:rPr>
                <w:rFonts w:ascii="宋体" w:eastAsia="宋体" w:hAnsi="宋体" w:cs="宋体"/>
                <w:spacing w:val="-6"/>
                <w:sz w:val="24"/>
                <w:szCs w:val="24"/>
              </w:rPr>
              <w:t>标识</w:t>
            </w:r>
          </w:p>
        </w:tc>
        <w:tc>
          <w:tcPr>
            <w:tcW w:w="7974" w:type="dxa"/>
            <w:shd w:val="clear" w:color="auto" w:fill="auto"/>
          </w:tcPr>
          <w:p>
            <w:pPr>
              <w:spacing w:before="243" w:line="220" w:lineRule="auto"/>
              <w:ind w:left="120" w:leftChars="0"/>
              <w:rPr>
                <w:rFonts w:ascii="宋体" w:eastAsia="宋体" w:hAnsi="宋体" w:cs="宋体"/>
                <w:kern w:val="2"/>
                <w:sz w:val="24"/>
                <w:szCs w:val="24"/>
                <w:lang w:val="en-US" w:eastAsia="zh-CN" w:bidi="ar-SA"/>
              </w:rPr>
            </w:pPr>
            <w:r>
              <w:rPr>
                <w:rFonts w:ascii="宋体" w:eastAsia="宋体" w:hAnsi="宋体" w:cs="宋体"/>
                <w:spacing w:val="-8"/>
                <w:sz w:val="24"/>
                <w:szCs w:val="24"/>
              </w:rPr>
              <w:t>定义</w:t>
            </w:r>
          </w:p>
        </w:tc>
      </w:tr>
      <w:tr>
        <w:tblPrEx>
          <w:tblW w:w="9673" w:type="dxa"/>
          <w:tblInd w:w="0" w:type="dxa"/>
          <w:tblCellMar>
            <w:top w:w="0" w:type="dxa"/>
            <w:left w:w="108" w:type="dxa"/>
            <w:bottom w:w="0" w:type="dxa"/>
            <w:right w:w="108" w:type="dxa"/>
          </w:tblCellMar>
        </w:tblPrEx>
        <w:tc>
          <w:tcPr>
            <w:tcW w:w="818" w:type="dxa"/>
            <w:shd w:val="clear" w:color="auto" w:fill="auto"/>
          </w:tcPr>
          <w:p>
            <w:pPr>
              <w:pStyle w:val="TableText"/>
              <w:spacing w:line="261" w:lineRule="auto"/>
            </w:pPr>
          </w:p>
          <w:p>
            <w:pPr>
              <w:pStyle w:val="TableText"/>
              <w:spacing w:line="261" w:lineRule="auto"/>
            </w:pPr>
          </w:p>
          <w:p>
            <w:pPr>
              <w:spacing w:before="78"/>
              <w:ind w:left="119" w:leftChars="0"/>
              <w:rPr>
                <w:rFonts w:ascii="宋体" w:eastAsia="宋体" w:hAnsi="宋体" w:cs="宋体"/>
                <w:kern w:val="2"/>
                <w:sz w:val="24"/>
                <w:szCs w:val="24"/>
                <w:lang w:val="en-US" w:eastAsia="zh-CN" w:bidi="ar-SA"/>
              </w:rPr>
            </w:pPr>
            <w:r>
              <w:rPr>
                <w:rFonts w:ascii="宋体" w:eastAsia="宋体" w:hAnsi="宋体" w:cs="宋体"/>
                <w:sz w:val="24"/>
                <w:szCs w:val="24"/>
              </w:rPr>
              <w:t>5</w:t>
            </w:r>
          </w:p>
        </w:tc>
        <w:tc>
          <w:tcPr>
            <w:tcW w:w="881" w:type="dxa"/>
            <w:shd w:val="clear" w:color="auto" w:fill="auto"/>
          </w:tcPr>
          <w:p>
            <w:pPr>
              <w:pStyle w:val="TableText"/>
              <w:spacing w:line="261" w:lineRule="auto"/>
            </w:pPr>
          </w:p>
          <w:p>
            <w:pPr>
              <w:pStyle w:val="TableText"/>
              <w:spacing w:line="262" w:lineRule="auto"/>
            </w:pPr>
          </w:p>
          <w:p>
            <w:pPr>
              <w:spacing w:before="78" w:line="219" w:lineRule="auto"/>
              <w:ind w:left="115" w:leftChars="0"/>
              <w:rPr>
                <w:rFonts w:ascii="宋体" w:eastAsia="宋体" w:hAnsi="宋体" w:cs="宋体"/>
                <w:kern w:val="2"/>
                <w:sz w:val="24"/>
                <w:szCs w:val="24"/>
                <w:lang w:val="en-US" w:eastAsia="zh-CN" w:bidi="ar-SA"/>
              </w:rPr>
            </w:pPr>
            <w:r>
              <w:rPr>
                <w:rFonts w:ascii="宋体" w:eastAsia="宋体" w:hAnsi="宋体" w:cs="宋体"/>
                <w:spacing w:val="-7"/>
                <w:sz w:val="24"/>
                <w:szCs w:val="24"/>
              </w:rPr>
              <w:t>极高</w:t>
            </w:r>
          </w:p>
        </w:tc>
        <w:tc>
          <w:tcPr>
            <w:tcW w:w="7974" w:type="dxa"/>
            <w:shd w:val="clear" w:color="auto" w:fill="auto"/>
          </w:tcPr>
          <w:p>
            <w:pPr>
              <w:spacing w:before="241" w:line="218" w:lineRule="auto"/>
            </w:pPr>
            <w:r>
              <w:rPr>
                <w:rFonts w:ascii="宋体" w:eastAsia="宋体" w:hAnsi="宋体" w:cs="宋体"/>
                <w:spacing w:val="-5"/>
                <w:sz w:val="24"/>
                <w:szCs w:val="24"/>
              </w:rPr>
              <w:t>完整性价值非常关键，未经授权的修改或破坏会对评估体造成重大的或无法</w:t>
            </w:r>
          </w:p>
          <w:p>
            <w:pPr>
              <w:spacing w:before="78" w:line="219" w:lineRule="auto"/>
              <w:jc w:val="both"/>
              <w:rPr>
                <w:rFonts w:ascii="宋体" w:eastAsia="宋体" w:hAnsi="宋体" w:cs="宋体" w:hint="default"/>
                <w:spacing w:val="-11"/>
                <w:sz w:val="24"/>
                <w:szCs w:val="24"/>
                <w:lang w:val="en-US" w:eastAsia="zh-CN"/>
              </w:rPr>
            </w:pPr>
            <w:r>
              <w:rPr>
                <w:rFonts w:ascii="宋体" w:eastAsia="宋体" w:hAnsi="宋体" w:cs="宋体"/>
                <w:spacing w:val="-10"/>
                <w:sz w:val="24"/>
                <w:szCs w:val="24"/>
              </w:rPr>
              <w:t>接受、特别不愿接受的影响，对业务冲击重大，并可能造成严</w:t>
            </w:r>
            <w:r>
              <w:rPr>
                <w:rFonts w:ascii="宋体" w:eastAsia="宋体" w:hAnsi="宋体" w:cs="宋体"/>
                <w:spacing w:val="-11"/>
                <w:sz w:val="24"/>
                <w:szCs w:val="24"/>
              </w:rPr>
              <w:t>重的业务中断，</w:t>
            </w:r>
            <w:r>
              <w:rPr>
                <w:rFonts w:ascii="宋体" w:hAnsi="宋体" w:cs="宋体" w:hint="eastAsia"/>
                <w:spacing w:val="-11"/>
                <w:sz w:val="24"/>
                <w:szCs w:val="24"/>
                <w:lang w:val="en-US" w:eastAsia="zh-CN"/>
              </w:rPr>
              <w:t>难以弥补</w:t>
            </w:r>
          </w:p>
        </w:tc>
      </w:tr>
      <w:tr>
        <w:tblPrEx>
          <w:tblW w:w="9673" w:type="dxa"/>
          <w:tblInd w:w="0" w:type="dxa"/>
          <w:tblCellMar>
            <w:top w:w="0" w:type="dxa"/>
            <w:left w:w="108" w:type="dxa"/>
            <w:bottom w:w="0" w:type="dxa"/>
            <w:right w:w="108" w:type="dxa"/>
          </w:tblCellMar>
        </w:tblPrEx>
        <w:tc>
          <w:tcPr>
            <w:tcW w:w="818" w:type="dxa"/>
            <w:shd w:val="clear" w:color="auto" w:fill="auto"/>
          </w:tcPr>
          <w:p>
            <w:pPr>
              <w:pStyle w:val="TableText"/>
              <w:spacing w:line="260" w:lineRule="auto"/>
            </w:pPr>
          </w:p>
          <w:p>
            <w:pPr>
              <w:pStyle w:val="TableText"/>
              <w:spacing w:line="261" w:lineRule="auto"/>
            </w:pPr>
          </w:p>
          <w:p>
            <w:pPr>
              <w:spacing w:before="78" w:line="241" w:lineRule="auto"/>
              <w:ind w:left="113" w:leftChars="0"/>
              <w:rPr>
                <w:rFonts w:ascii="宋体" w:eastAsia="宋体" w:hAnsi="宋体" w:cs="宋体"/>
                <w:kern w:val="2"/>
                <w:sz w:val="24"/>
                <w:szCs w:val="24"/>
                <w:lang w:val="en-US" w:eastAsia="zh-CN" w:bidi="ar-SA"/>
              </w:rPr>
            </w:pPr>
            <w:r>
              <w:rPr>
                <w:rFonts w:ascii="宋体" w:eastAsia="宋体" w:hAnsi="宋体" w:cs="宋体"/>
                <w:sz w:val="24"/>
                <w:szCs w:val="24"/>
              </w:rPr>
              <w:t>4</w:t>
            </w:r>
          </w:p>
        </w:tc>
        <w:tc>
          <w:tcPr>
            <w:tcW w:w="881" w:type="dxa"/>
            <w:shd w:val="clear" w:color="auto" w:fill="auto"/>
          </w:tcPr>
          <w:p>
            <w:pPr>
              <w:pStyle w:val="TableText"/>
              <w:spacing w:line="260" w:lineRule="auto"/>
            </w:pPr>
          </w:p>
          <w:p>
            <w:pPr>
              <w:pStyle w:val="TableText"/>
              <w:spacing w:line="261" w:lineRule="auto"/>
            </w:pPr>
          </w:p>
          <w:p>
            <w:pPr>
              <w:spacing w:before="78" w:line="219" w:lineRule="auto"/>
              <w:ind w:left="118" w:leftChars="0"/>
              <w:rPr>
                <w:rFonts w:ascii="宋体" w:eastAsia="宋体" w:hAnsi="宋体" w:cs="宋体"/>
                <w:kern w:val="2"/>
                <w:sz w:val="24"/>
                <w:szCs w:val="24"/>
                <w:lang w:val="en-US" w:eastAsia="zh-CN" w:bidi="ar-SA"/>
              </w:rPr>
            </w:pPr>
            <w:r>
              <w:rPr>
                <w:rFonts w:ascii="宋体" w:eastAsia="宋体" w:hAnsi="宋体" w:cs="宋体"/>
                <w:sz w:val="24"/>
                <w:szCs w:val="24"/>
              </w:rPr>
              <w:t>高</w:t>
            </w:r>
          </w:p>
        </w:tc>
        <w:tc>
          <w:tcPr>
            <w:tcW w:w="7974" w:type="dxa"/>
            <w:shd w:val="clear" w:color="auto" w:fill="auto"/>
          </w:tcPr>
          <w:p>
            <w:pPr>
              <w:spacing w:before="240" w:line="218" w:lineRule="auto"/>
            </w:pPr>
            <w:r>
              <w:rPr>
                <w:rFonts w:ascii="宋体" w:eastAsia="宋体" w:hAnsi="宋体" w:cs="宋体"/>
                <w:spacing w:val="-5"/>
                <w:sz w:val="24"/>
                <w:szCs w:val="24"/>
              </w:rPr>
              <w:t>完整性价值较高，未经授权的修改或破坏会对评估体造成重大影响，对业务</w:t>
            </w:r>
          </w:p>
          <w:p>
            <w:pPr>
              <w:spacing w:before="79" w:line="220" w:lineRule="auto"/>
              <w:rPr>
                <w:rFonts w:ascii="宋体" w:eastAsia="宋体" w:hAnsi="宋体" w:cs="宋体"/>
                <w:kern w:val="2"/>
                <w:sz w:val="24"/>
                <w:szCs w:val="24"/>
                <w:lang w:val="en-US" w:eastAsia="zh-CN" w:bidi="ar-SA"/>
              </w:rPr>
            </w:pPr>
            <w:r>
              <w:rPr>
                <w:rFonts w:ascii="宋体" w:eastAsia="宋体" w:hAnsi="宋体" w:cs="宋体"/>
                <w:spacing w:val="-5"/>
                <w:sz w:val="24"/>
                <w:szCs w:val="24"/>
              </w:rPr>
              <w:t>冲击严重，比较难以弥补</w:t>
            </w:r>
          </w:p>
        </w:tc>
      </w:tr>
      <w:tr>
        <w:tblPrEx>
          <w:tblW w:w="9673" w:type="dxa"/>
          <w:tblInd w:w="0" w:type="dxa"/>
          <w:tblCellMar>
            <w:top w:w="0" w:type="dxa"/>
            <w:left w:w="108" w:type="dxa"/>
            <w:bottom w:w="0" w:type="dxa"/>
            <w:right w:w="108" w:type="dxa"/>
          </w:tblCellMar>
        </w:tblPrEx>
        <w:tc>
          <w:tcPr>
            <w:tcW w:w="818" w:type="dxa"/>
            <w:shd w:val="clear" w:color="auto" w:fill="auto"/>
          </w:tcPr>
          <w:p>
            <w:pPr>
              <w:pStyle w:val="TableText"/>
              <w:spacing w:line="260" w:lineRule="auto"/>
            </w:pPr>
          </w:p>
          <w:p>
            <w:pPr>
              <w:pStyle w:val="TableText"/>
              <w:spacing w:line="261" w:lineRule="auto"/>
            </w:pPr>
          </w:p>
          <w:p>
            <w:pPr>
              <w:spacing w:before="78"/>
              <w:ind w:left="119" w:leftChars="0"/>
              <w:rPr>
                <w:rFonts w:ascii="宋体" w:eastAsia="宋体" w:hAnsi="宋体" w:cs="宋体"/>
                <w:kern w:val="2"/>
                <w:sz w:val="24"/>
                <w:szCs w:val="24"/>
                <w:lang w:val="en-US" w:eastAsia="zh-CN" w:bidi="ar-SA"/>
              </w:rPr>
            </w:pPr>
            <w:r>
              <w:rPr>
                <w:rFonts w:ascii="宋体" w:eastAsia="宋体" w:hAnsi="宋体" w:cs="宋体"/>
                <w:sz w:val="24"/>
                <w:szCs w:val="24"/>
              </w:rPr>
              <w:t>3</w:t>
            </w:r>
          </w:p>
        </w:tc>
        <w:tc>
          <w:tcPr>
            <w:tcW w:w="881" w:type="dxa"/>
            <w:shd w:val="clear" w:color="auto" w:fill="auto"/>
          </w:tcPr>
          <w:p>
            <w:pPr>
              <w:pStyle w:val="TableText"/>
              <w:spacing w:line="261" w:lineRule="auto"/>
            </w:pPr>
          </w:p>
          <w:p>
            <w:pPr>
              <w:pStyle w:val="TableText"/>
              <w:spacing w:line="261" w:lineRule="auto"/>
            </w:pPr>
          </w:p>
          <w:p>
            <w:pPr>
              <w:spacing w:before="78" w:line="219" w:lineRule="auto"/>
              <w:ind w:left="134" w:leftChars="0"/>
              <w:rPr>
                <w:rFonts w:ascii="宋体" w:eastAsia="宋体" w:hAnsi="宋体" w:cs="宋体"/>
                <w:kern w:val="2"/>
                <w:sz w:val="24"/>
                <w:szCs w:val="24"/>
                <w:lang w:val="en-US" w:eastAsia="zh-CN" w:bidi="ar-SA"/>
              </w:rPr>
            </w:pPr>
            <w:r>
              <w:rPr>
                <w:rFonts w:ascii="宋体" w:eastAsia="宋体" w:hAnsi="宋体" w:cs="宋体"/>
                <w:spacing w:val="-16"/>
                <w:sz w:val="24"/>
                <w:szCs w:val="24"/>
              </w:rPr>
              <w:t>中等</w:t>
            </w:r>
          </w:p>
        </w:tc>
        <w:tc>
          <w:tcPr>
            <w:tcW w:w="7974" w:type="dxa"/>
            <w:shd w:val="clear" w:color="auto" w:fill="auto"/>
          </w:tcPr>
          <w:p>
            <w:pPr>
              <w:spacing w:before="243" w:line="218" w:lineRule="auto"/>
            </w:pPr>
            <w:r>
              <w:rPr>
                <w:rFonts w:ascii="宋体" w:eastAsia="宋体" w:hAnsi="宋体" w:cs="宋体"/>
                <w:spacing w:val="-5"/>
                <w:sz w:val="24"/>
                <w:szCs w:val="24"/>
              </w:rPr>
              <w:t>完整性价值中等，未经授权的修改或破坏会对评估体造成影响，对业务冲击</w:t>
            </w:r>
          </w:p>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7"/>
                <w:sz w:val="24"/>
                <w:szCs w:val="24"/>
              </w:rPr>
              <w:t>明显，但可以弥补</w:t>
            </w:r>
          </w:p>
        </w:tc>
      </w:tr>
      <w:tr>
        <w:tblPrEx>
          <w:tblW w:w="9673" w:type="dxa"/>
          <w:tblInd w:w="0" w:type="dxa"/>
          <w:tblCellMar>
            <w:top w:w="0" w:type="dxa"/>
            <w:left w:w="108" w:type="dxa"/>
            <w:bottom w:w="0" w:type="dxa"/>
            <w:right w:w="108" w:type="dxa"/>
          </w:tblCellMar>
        </w:tblPrEx>
        <w:tc>
          <w:tcPr>
            <w:tcW w:w="818" w:type="dxa"/>
            <w:shd w:val="clear" w:color="auto" w:fill="auto"/>
          </w:tcPr>
          <w:p>
            <w:pPr>
              <w:pStyle w:val="TableText"/>
              <w:spacing w:line="261" w:lineRule="auto"/>
            </w:pPr>
          </w:p>
          <w:p>
            <w:pPr>
              <w:pStyle w:val="TableText"/>
              <w:spacing w:line="261" w:lineRule="auto"/>
            </w:pPr>
          </w:p>
          <w:p>
            <w:pPr>
              <w:spacing w:before="78" w:line="241" w:lineRule="auto"/>
              <w:ind w:left="117" w:leftChars="0"/>
              <w:rPr>
                <w:rFonts w:ascii="宋体" w:eastAsia="宋体" w:hAnsi="宋体" w:cs="宋体"/>
                <w:kern w:val="2"/>
                <w:sz w:val="24"/>
                <w:szCs w:val="24"/>
                <w:lang w:val="en-US" w:eastAsia="zh-CN" w:bidi="ar-SA"/>
              </w:rPr>
            </w:pPr>
            <w:r>
              <w:rPr>
                <w:rFonts w:ascii="宋体" w:eastAsia="宋体" w:hAnsi="宋体" w:cs="宋体"/>
                <w:sz w:val="24"/>
                <w:szCs w:val="24"/>
              </w:rPr>
              <w:t>2</w:t>
            </w:r>
          </w:p>
        </w:tc>
        <w:tc>
          <w:tcPr>
            <w:tcW w:w="881" w:type="dxa"/>
            <w:shd w:val="clear" w:color="auto" w:fill="auto"/>
          </w:tcPr>
          <w:p>
            <w:pPr>
              <w:pStyle w:val="TableText"/>
              <w:spacing w:line="261" w:lineRule="auto"/>
            </w:pPr>
          </w:p>
          <w:p>
            <w:pPr>
              <w:pStyle w:val="TableText"/>
              <w:spacing w:line="261" w:lineRule="auto"/>
            </w:pPr>
          </w:p>
          <w:p>
            <w:pPr>
              <w:spacing w:before="78" w:line="221" w:lineRule="auto"/>
              <w:ind w:left="111" w:leftChars="0"/>
              <w:rPr>
                <w:rFonts w:ascii="宋体" w:eastAsia="宋体" w:hAnsi="宋体" w:cs="宋体"/>
                <w:kern w:val="2"/>
                <w:sz w:val="24"/>
                <w:szCs w:val="24"/>
                <w:lang w:val="en-US" w:eastAsia="zh-CN" w:bidi="ar-SA"/>
              </w:rPr>
            </w:pPr>
            <w:r>
              <w:rPr>
                <w:rFonts w:ascii="宋体" w:eastAsia="宋体" w:hAnsi="宋体" w:cs="宋体"/>
                <w:sz w:val="24"/>
                <w:szCs w:val="24"/>
              </w:rPr>
              <w:t>低</w:t>
            </w:r>
          </w:p>
        </w:tc>
        <w:tc>
          <w:tcPr>
            <w:tcW w:w="7974" w:type="dxa"/>
            <w:shd w:val="clear" w:color="auto" w:fill="auto"/>
          </w:tcPr>
          <w:p>
            <w:pPr>
              <w:spacing w:before="243" w:line="218" w:lineRule="auto"/>
              <w:rPr>
                <w:rFonts w:ascii="宋体" w:eastAsia="宋体" w:hAnsi="宋体" w:cs="宋体"/>
                <w:kern w:val="2"/>
                <w:sz w:val="24"/>
                <w:szCs w:val="24"/>
                <w:lang w:val="en-US" w:eastAsia="zh-CN" w:bidi="ar-SA"/>
              </w:rPr>
            </w:pPr>
            <w:r>
              <w:rPr>
                <w:rFonts w:ascii="宋体" w:eastAsia="宋体" w:hAnsi="宋体" w:cs="宋体"/>
                <w:spacing w:val="-5"/>
                <w:sz w:val="24"/>
                <w:szCs w:val="24"/>
              </w:rPr>
              <w:t>完整性价值较低，未经授权的修改或破坏会对评估体造成轻微影响，可以忍受，对业务冲击轻微，容易弥补</w:t>
            </w:r>
          </w:p>
        </w:tc>
      </w:tr>
      <w:tr>
        <w:tblPrEx>
          <w:tblW w:w="9673" w:type="dxa"/>
          <w:tblInd w:w="0" w:type="dxa"/>
          <w:tblCellMar>
            <w:top w:w="0" w:type="dxa"/>
            <w:left w:w="108" w:type="dxa"/>
            <w:bottom w:w="0" w:type="dxa"/>
            <w:right w:w="108" w:type="dxa"/>
          </w:tblCellMar>
        </w:tblPrEx>
        <w:tc>
          <w:tcPr>
            <w:tcW w:w="818" w:type="dxa"/>
            <w:shd w:val="clear" w:color="auto" w:fill="auto"/>
          </w:tcPr>
          <w:p>
            <w:pPr>
              <w:pStyle w:val="TableText"/>
              <w:spacing w:line="261" w:lineRule="auto"/>
            </w:pPr>
          </w:p>
          <w:p>
            <w:pPr>
              <w:pStyle w:val="TableText"/>
              <w:spacing w:line="262" w:lineRule="auto"/>
            </w:pPr>
          </w:p>
          <w:p>
            <w:pPr>
              <w:spacing w:before="78" w:line="241" w:lineRule="auto"/>
              <w:ind w:left="132" w:leftChars="0"/>
              <w:rPr>
                <w:rFonts w:ascii="宋体" w:eastAsia="宋体" w:hAnsi="宋体" w:cs="宋体"/>
                <w:kern w:val="2"/>
                <w:sz w:val="24"/>
                <w:szCs w:val="24"/>
                <w:lang w:val="en-US" w:eastAsia="zh-CN" w:bidi="ar-SA"/>
              </w:rPr>
            </w:pPr>
            <w:r>
              <w:rPr>
                <w:rFonts w:ascii="宋体" w:eastAsia="宋体" w:hAnsi="宋体" w:cs="宋体"/>
                <w:sz w:val="24"/>
                <w:szCs w:val="24"/>
              </w:rPr>
              <w:t>1</w:t>
            </w:r>
          </w:p>
        </w:tc>
        <w:tc>
          <w:tcPr>
            <w:tcW w:w="881" w:type="dxa"/>
            <w:shd w:val="clear" w:color="auto" w:fill="auto"/>
          </w:tcPr>
          <w:p>
            <w:pPr>
              <w:spacing w:before="78" w:line="220" w:lineRule="auto"/>
              <w:rPr>
                <w:rFonts w:ascii="宋体" w:eastAsia="宋体" w:hAnsi="宋体" w:cs="宋体"/>
                <w:kern w:val="2"/>
                <w:sz w:val="24"/>
                <w:szCs w:val="24"/>
                <w:lang w:val="en-US" w:eastAsia="zh-CN" w:bidi="ar-SA"/>
              </w:rPr>
            </w:pPr>
            <w:r>
              <w:rPr>
                <w:rFonts w:ascii="宋体" w:eastAsia="宋体" w:hAnsi="宋体" w:cs="宋体"/>
                <w:spacing w:val="-6"/>
                <w:sz w:val="24"/>
                <w:szCs w:val="24"/>
              </w:rPr>
              <w:t>很低</w:t>
            </w:r>
          </w:p>
        </w:tc>
        <w:tc>
          <w:tcPr>
            <w:tcW w:w="7974" w:type="dxa"/>
            <w:shd w:val="clear" w:color="auto" w:fill="auto"/>
          </w:tcPr>
          <w:p>
            <w:pPr>
              <w:spacing w:before="244" w:line="218" w:lineRule="auto"/>
              <w:rPr>
                <w:rFonts w:ascii="宋体" w:eastAsia="宋体" w:hAnsi="宋体" w:cs="宋体"/>
                <w:kern w:val="2"/>
                <w:sz w:val="24"/>
                <w:szCs w:val="24"/>
                <w:lang w:val="en-US" w:eastAsia="zh-CN" w:bidi="ar-SA"/>
              </w:rPr>
            </w:pPr>
            <w:r>
              <w:rPr>
                <w:rFonts w:ascii="宋体" w:eastAsia="宋体" w:hAnsi="宋体" w:cs="宋体"/>
                <w:spacing w:val="2"/>
                <w:sz w:val="24"/>
                <w:szCs w:val="24"/>
              </w:rPr>
              <w:t>完整性价值非常低，未经授权的修改或破坏会对评估体造成的影响可以忽</w:t>
            </w:r>
            <w:r>
              <w:rPr>
                <w:rFonts w:ascii="宋体" w:eastAsia="宋体" w:hAnsi="宋体" w:cs="宋体"/>
                <w:spacing w:val="-6"/>
                <w:sz w:val="24"/>
                <w:szCs w:val="24"/>
              </w:rPr>
              <w:t>略，对业务冲击可以忽略。</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ascii="Wingdings" w:eastAsia="Wingdings" w:hAnsi="Wingdings" w:cs="Wingdings"/>
          <w:spacing w:val="-9"/>
          <w:sz w:val="24"/>
          <w:szCs w:val="24"/>
        </w:rPr>
        <w:t>u</w:t>
      </w:r>
      <w:r>
        <w:rPr>
          <w:rFonts w:hint="default"/>
          <w:sz w:val="24"/>
          <w:lang w:val="en-US" w:eastAsia="zh-CN"/>
        </w:rPr>
        <w:t>资产可用性赋值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根据资产可用性属性的不同，将它分为 5 个不同的等级，分别对应资产在可用性方面的价值或者在可用性方面受到损失时对整个评估系统的影响。</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80"/>
        <w:gridCol w:w="1489"/>
        <w:gridCol w:w="555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shd w:val="clear" w:color="auto" w:fill="auto"/>
          </w:tcPr>
          <w:p>
            <w:pPr>
              <w:spacing w:before="241" w:line="219" w:lineRule="auto"/>
              <w:ind w:left="116"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赋值</w:t>
            </w:r>
          </w:p>
        </w:tc>
        <w:tc>
          <w:tcPr>
            <w:tcW w:w="2841" w:type="dxa"/>
            <w:shd w:val="clear" w:color="auto" w:fill="auto"/>
          </w:tcPr>
          <w:p>
            <w:pPr>
              <w:spacing w:before="241" w:line="220" w:lineRule="auto"/>
              <w:ind w:left="112"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标识</w:t>
            </w:r>
          </w:p>
        </w:tc>
        <w:tc>
          <w:tcPr>
            <w:tcW w:w="2841" w:type="dxa"/>
            <w:shd w:val="clear" w:color="auto" w:fill="auto"/>
          </w:tcPr>
          <w:p>
            <w:pPr>
              <w:spacing w:before="241" w:line="220"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8"/>
                <w:sz w:val="24"/>
                <w:szCs w:val="24"/>
              </w:rPr>
              <w:t>定义</w:t>
            </w:r>
          </w:p>
        </w:tc>
      </w:tr>
      <w:tr>
        <w:tblPrEx>
          <w:tblW w:w="0" w:type="auto"/>
          <w:tblInd w:w="0" w:type="dxa"/>
          <w:tblCellMar>
            <w:top w:w="0" w:type="dxa"/>
            <w:left w:w="108" w:type="dxa"/>
            <w:bottom w:w="0" w:type="dxa"/>
            <w:right w:w="108" w:type="dxa"/>
          </w:tblCellMar>
        </w:tblPrEx>
        <w:tc>
          <w:tcPr>
            <w:tcW w:w="2840" w:type="dxa"/>
            <w:shd w:val="clear" w:color="auto" w:fill="auto"/>
          </w:tcPr>
          <w:p>
            <w:pPr>
              <w:pStyle w:val="TableText"/>
              <w:spacing w:line="259" w:lineRule="auto"/>
            </w:pPr>
          </w:p>
          <w:p>
            <w:pPr>
              <w:pStyle w:val="TableText"/>
              <w:spacing w:line="260" w:lineRule="auto"/>
            </w:pPr>
          </w:p>
          <w:p>
            <w:pPr>
              <w:spacing w:before="78"/>
              <w:ind w:left="119" w:leftChars="0"/>
              <w:rPr>
                <w:rFonts w:ascii="宋体" w:eastAsia="宋体" w:hAnsi="宋体" w:cs="宋体" w:hint="default"/>
                <w:kern w:val="2"/>
                <w:sz w:val="24"/>
                <w:szCs w:val="24"/>
                <w:lang w:val="en-US" w:eastAsia="zh-CN" w:bidi="ar-SA"/>
              </w:rPr>
            </w:pPr>
            <w:r>
              <w:rPr>
                <w:rFonts w:ascii="宋体" w:eastAsia="宋体" w:hAnsi="宋体" w:cs="宋体"/>
                <w:sz w:val="24"/>
                <w:szCs w:val="24"/>
              </w:rPr>
              <w:t>5</w:t>
            </w:r>
          </w:p>
        </w:tc>
        <w:tc>
          <w:tcPr>
            <w:tcW w:w="2841" w:type="dxa"/>
            <w:shd w:val="clear" w:color="auto" w:fill="auto"/>
          </w:tcPr>
          <w:p>
            <w:pPr>
              <w:pStyle w:val="TableText"/>
              <w:spacing w:line="260" w:lineRule="auto"/>
            </w:pPr>
          </w:p>
          <w:p>
            <w:pPr>
              <w:pStyle w:val="TableText"/>
              <w:spacing w:line="260" w:lineRule="auto"/>
            </w:pPr>
          </w:p>
          <w:p>
            <w:pPr>
              <w:spacing w:before="78" w:line="219" w:lineRule="auto"/>
              <w:ind w:left="114"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极高</w:t>
            </w:r>
          </w:p>
        </w:tc>
        <w:tc>
          <w:tcPr>
            <w:tcW w:w="2841" w:type="dxa"/>
            <w:shd w:val="clear" w:color="auto" w:fill="auto"/>
          </w:tcPr>
          <w:p>
            <w:pPr>
              <w:spacing w:before="241" w:line="218" w:lineRule="auto"/>
              <w:ind w:left="115"/>
              <w:rPr>
                <w:rFonts w:ascii="宋体" w:eastAsia="宋体" w:hAnsi="宋体" w:cs="宋体" w:hint="default"/>
                <w:kern w:val="2"/>
                <w:sz w:val="24"/>
                <w:szCs w:val="24"/>
                <w:lang w:val="en-US" w:eastAsia="zh-CN" w:bidi="ar-SA"/>
              </w:rPr>
            </w:pPr>
            <w:r>
              <w:rPr>
                <w:rFonts w:ascii="宋体" w:eastAsia="宋体" w:hAnsi="宋体" w:cs="宋体"/>
                <w:sz w:val="24"/>
                <w:szCs w:val="24"/>
              </w:rPr>
              <w:t>可用性价值非常高，合法使用者对信息及信息系统</w:t>
            </w:r>
            <w:r>
              <w:rPr>
                <w:rFonts w:ascii="宋体" w:eastAsia="宋体" w:hAnsi="宋体" w:cs="宋体"/>
                <w:spacing w:val="-1"/>
                <w:sz w:val="24"/>
                <w:szCs w:val="24"/>
              </w:rPr>
              <w:t>的可用度达到年度99.9%</w:t>
            </w:r>
            <w:r>
              <w:rPr>
                <w:rFonts w:ascii="宋体" w:eastAsia="宋体" w:hAnsi="宋体" w:cs="宋体"/>
                <w:spacing w:val="-7"/>
                <w:sz w:val="24"/>
                <w:szCs w:val="24"/>
              </w:rPr>
              <w:t>以上，或系统不允许中断</w:t>
            </w:r>
          </w:p>
        </w:tc>
      </w:tr>
      <w:tr>
        <w:tblPrEx>
          <w:tblW w:w="0" w:type="auto"/>
          <w:tblInd w:w="0" w:type="dxa"/>
          <w:tblCellMar>
            <w:top w:w="0" w:type="dxa"/>
            <w:left w:w="108" w:type="dxa"/>
            <w:bottom w:w="0" w:type="dxa"/>
            <w:right w:w="108" w:type="dxa"/>
          </w:tblCellMar>
        </w:tblPrEx>
        <w:tc>
          <w:tcPr>
            <w:tcW w:w="2840" w:type="dxa"/>
            <w:shd w:val="clear" w:color="auto" w:fill="auto"/>
          </w:tcPr>
          <w:p>
            <w:pPr>
              <w:pStyle w:val="TableText"/>
              <w:spacing w:line="260" w:lineRule="auto"/>
            </w:pPr>
          </w:p>
          <w:p>
            <w:pPr>
              <w:pStyle w:val="TableText"/>
              <w:spacing w:line="261" w:lineRule="auto"/>
            </w:pPr>
          </w:p>
          <w:p>
            <w:pPr>
              <w:spacing w:before="78" w:line="241" w:lineRule="auto"/>
              <w:ind w:left="113" w:leftChars="0"/>
              <w:rPr>
                <w:rFonts w:ascii="宋体" w:eastAsia="宋体" w:hAnsi="宋体" w:cs="宋体"/>
                <w:kern w:val="2"/>
                <w:sz w:val="24"/>
                <w:szCs w:val="24"/>
                <w:lang w:val="en-US" w:eastAsia="zh-CN" w:bidi="ar-SA"/>
              </w:rPr>
            </w:pPr>
            <w:r>
              <w:rPr>
                <w:rFonts w:ascii="宋体" w:eastAsia="宋体" w:hAnsi="宋体" w:cs="宋体"/>
                <w:sz w:val="24"/>
                <w:szCs w:val="24"/>
              </w:rPr>
              <w:t>4</w:t>
            </w:r>
          </w:p>
        </w:tc>
        <w:tc>
          <w:tcPr>
            <w:tcW w:w="2841" w:type="dxa"/>
            <w:shd w:val="clear" w:color="auto" w:fill="auto"/>
          </w:tcPr>
          <w:p>
            <w:pPr>
              <w:pStyle w:val="TableText"/>
              <w:spacing w:line="260" w:lineRule="auto"/>
            </w:pPr>
          </w:p>
          <w:p>
            <w:pPr>
              <w:pStyle w:val="TableText"/>
              <w:spacing w:line="261" w:lineRule="auto"/>
            </w:pPr>
          </w:p>
          <w:p>
            <w:pPr>
              <w:spacing w:before="78" w:line="219" w:lineRule="auto"/>
              <w:ind w:left="118" w:leftChars="0"/>
              <w:rPr>
                <w:rFonts w:ascii="宋体" w:eastAsia="宋体" w:hAnsi="宋体" w:cs="宋体"/>
                <w:kern w:val="2"/>
                <w:sz w:val="24"/>
                <w:szCs w:val="24"/>
                <w:lang w:val="en-US" w:eastAsia="zh-CN" w:bidi="ar-SA"/>
              </w:rPr>
            </w:pPr>
            <w:r>
              <w:rPr>
                <w:rFonts w:ascii="宋体" w:eastAsia="宋体" w:hAnsi="宋体" w:cs="宋体"/>
                <w:sz w:val="24"/>
                <w:szCs w:val="24"/>
              </w:rPr>
              <w:t>高</w:t>
            </w:r>
          </w:p>
        </w:tc>
        <w:tc>
          <w:tcPr>
            <w:tcW w:w="2841" w:type="dxa"/>
            <w:shd w:val="clear" w:color="auto" w:fill="auto"/>
          </w:tcPr>
          <w:p>
            <w:pPr>
              <w:spacing w:before="242" w:line="218" w:lineRule="auto"/>
              <w:jc w:val="left"/>
              <w:rPr>
                <w:rFonts w:ascii="宋体" w:eastAsia="宋体" w:hAnsi="宋体" w:cs="宋体"/>
                <w:kern w:val="2"/>
                <w:sz w:val="24"/>
                <w:szCs w:val="24"/>
                <w:lang w:val="en-US" w:eastAsia="zh-CN" w:bidi="ar-SA"/>
              </w:rPr>
            </w:pPr>
            <w:r>
              <w:rPr>
                <w:rFonts w:ascii="宋体" w:eastAsia="宋体" w:hAnsi="宋体" w:cs="宋体"/>
                <w:spacing w:val="-8"/>
                <w:sz w:val="24"/>
                <w:szCs w:val="24"/>
              </w:rPr>
              <w:t>可用性价值较高，合法使用者对信息及信息系统的可用度达到每天</w:t>
            </w:r>
            <w:r>
              <w:rPr>
                <w:rFonts w:ascii="宋体" w:eastAsia="宋体" w:hAnsi="宋体" w:cs="宋体"/>
                <w:spacing w:val="-36"/>
                <w:sz w:val="24"/>
                <w:szCs w:val="24"/>
              </w:rPr>
              <w:t xml:space="preserve"> </w:t>
            </w:r>
            <w:r>
              <w:rPr>
                <w:rFonts w:ascii="宋体" w:eastAsia="宋体" w:hAnsi="宋体" w:cs="宋体"/>
                <w:spacing w:val="-8"/>
                <w:sz w:val="24"/>
                <w:szCs w:val="24"/>
              </w:rPr>
              <w:t>90%以上，</w:t>
            </w:r>
            <w:r>
              <w:rPr>
                <w:rFonts w:ascii="宋体" w:eastAsia="宋体" w:hAnsi="宋体" w:cs="宋体"/>
                <w:spacing w:val="-7"/>
                <w:sz w:val="24"/>
                <w:szCs w:val="24"/>
              </w:rPr>
              <w:t>或系统允许中断时间小于</w:t>
            </w:r>
            <w:r>
              <w:rPr>
                <w:rFonts w:ascii="宋体" w:eastAsia="宋体" w:hAnsi="宋体" w:cs="宋体"/>
                <w:spacing w:val="-29"/>
                <w:sz w:val="24"/>
                <w:szCs w:val="24"/>
              </w:rPr>
              <w:t xml:space="preserve"> </w:t>
            </w:r>
            <w:r>
              <w:rPr>
                <w:rFonts w:ascii="宋体" w:eastAsia="宋体" w:hAnsi="宋体" w:cs="宋体"/>
                <w:spacing w:val="-7"/>
                <w:sz w:val="24"/>
                <w:szCs w:val="24"/>
              </w:rPr>
              <w:t>10</w:t>
            </w:r>
            <w:r>
              <w:rPr>
                <w:rFonts w:ascii="宋体" w:eastAsia="宋体" w:hAnsi="宋体" w:cs="宋体"/>
                <w:spacing w:val="-53"/>
                <w:sz w:val="24"/>
                <w:szCs w:val="24"/>
              </w:rPr>
              <w:t xml:space="preserve"> </w:t>
            </w:r>
            <w:r>
              <w:rPr>
                <w:rFonts w:ascii="宋体" w:eastAsia="宋体" w:hAnsi="宋体" w:cs="宋体"/>
                <w:spacing w:val="-7"/>
                <w:sz w:val="24"/>
                <w:szCs w:val="24"/>
              </w:rPr>
              <w:t>分钟</w:t>
            </w:r>
          </w:p>
        </w:tc>
      </w:tr>
      <w:tr>
        <w:tblPrEx>
          <w:tblW w:w="0" w:type="auto"/>
          <w:tblInd w:w="0" w:type="dxa"/>
          <w:tblCellMar>
            <w:top w:w="0" w:type="dxa"/>
            <w:left w:w="108" w:type="dxa"/>
            <w:bottom w:w="0" w:type="dxa"/>
            <w:right w:w="108" w:type="dxa"/>
          </w:tblCellMar>
        </w:tblPrEx>
        <w:tc>
          <w:tcPr>
            <w:tcW w:w="2840" w:type="dxa"/>
            <w:shd w:val="clear" w:color="auto" w:fill="auto"/>
          </w:tcPr>
          <w:p>
            <w:pPr>
              <w:pStyle w:val="TableText"/>
              <w:spacing w:line="260" w:lineRule="auto"/>
            </w:pPr>
          </w:p>
          <w:p>
            <w:pPr>
              <w:pStyle w:val="TableText"/>
              <w:spacing w:line="261" w:lineRule="auto"/>
            </w:pPr>
          </w:p>
          <w:p>
            <w:pPr>
              <w:spacing w:before="78"/>
              <w:ind w:left="119" w:leftChars="0"/>
              <w:rPr>
                <w:rFonts w:ascii="宋体" w:eastAsia="宋体" w:hAnsi="宋体" w:cs="宋体"/>
                <w:kern w:val="2"/>
                <w:sz w:val="24"/>
                <w:szCs w:val="24"/>
                <w:lang w:val="en-US" w:eastAsia="zh-CN" w:bidi="ar-SA"/>
              </w:rPr>
            </w:pPr>
            <w:r>
              <w:rPr>
                <w:rFonts w:ascii="宋体" w:eastAsia="宋体" w:hAnsi="宋体" w:cs="宋体"/>
                <w:sz w:val="24"/>
                <w:szCs w:val="24"/>
              </w:rPr>
              <w:t>3</w:t>
            </w:r>
          </w:p>
        </w:tc>
        <w:tc>
          <w:tcPr>
            <w:tcW w:w="2841" w:type="dxa"/>
            <w:shd w:val="clear" w:color="auto" w:fill="auto"/>
          </w:tcPr>
          <w:p>
            <w:pPr>
              <w:pStyle w:val="TableText"/>
              <w:spacing w:line="261" w:lineRule="auto"/>
            </w:pPr>
          </w:p>
          <w:p>
            <w:pPr>
              <w:pStyle w:val="TableText"/>
              <w:spacing w:line="261" w:lineRule="auto"/>
            </w:pPr>
          </w:p>
          <w:p>
            <w:pPr>
              <w:spacing w:before="78" w:line="219" w:lineRule="auto"/>
              <w:ind w:left="134" w:leftChars="0"/>
              <w:rPr>
                <w:rFonts w:ascii="宋体" w:eastAsia="宋体" w:hAnsi="宋体" w:cs="宋体"/>
                <w:kern w:val="2"/>
                <w:sz w:val="24"/>
                <w:szCs w:val="24"/>
                <w:lang w:val="en-US" w:eastAsia="zh-CN" w:bidi="ar-SA"/>
              </w:rPr>
            </w:pPr>
            <w:r>
              <w:rPr>
                <w:rFonts w:ascii="宋体" w:eastAsia="宋体" w:hAnsi="宋体" w:cs="宋体"/>
                <w:spacing w:val="-16"/>
                <w:sz w:val="24"/>
                <w:szCs w:val="24"/>
              </w:rPr>
              <w:t>中等</w:t>
            </w:r>
          </w:p>
        </w:tc>
        <w:tc>
          <w:tcPr>
            <w:tcW w:w="2841" w:type="dxa"/>
            <w:shd w:val="clear" w:color="auto" w:fill="auto"/>
          </w:tcPr>
          <w:p>
            <w:pPr>
              <w:spacing w:before="242" w:line="218" w:lineRule="auto"/>
              <w:rPr>
                <w:rFonts w:ascii="宋体" w:eastAsia="宋体" w:hAnsi="宋体" w:cs="宋体"/>
                <w:kern w:val="2"/>
                <w:sz w:val="24"/>
                <w:szCs w:val="24"/>
                <w:lang w:val="en-US" w:eastAsia="zh-CN" w:bidi="ar-SA"/>
              </w:rPr>
            </w:pPr>
            <w:r>
              <w:rPr>
                <w:rFonts w:ascii="宋体" w:eastAsia="宋体" w:hAnsi="宋体" w:cs="宋体"/>
                <w:spacing w:val="-4"/>
                <w:sz w:val="24"/>
                <w:szCs w:val="24"/>
              </w:rPr>
              <w:t>可用性价值中等，合法使用者对信息及信息系统的可用度在正常工作时间达</w:t>
            </w:r>
            <w:r>
              <w:rPr>
                <w:rFonts w:ascii="宋体" w:eastAsia="宋体" w:hAnsi="宋体" w:cs="宋体"/>
                <w:spacing w:val="-6"/>
                <w:sz w:val="24"/>
                <w:szCs w:val="24"/>
              </w:rPr>
              <w:t>到</w:t>
            </w:r>
            <w:r>
              <w:rPr>
                <w:rFonts w:ascii="宋体" w:eastAsia="宋体" w:hAnsi="宋体" w:cs="宋体"/>
                <w:spacing w:val="-39"/>
                <w:sz w:val="24"/>
                <w:szCs w:val="24"/>
              </w:rPr>
              <w:t xml:space="preserve"> </w:t>
            </w:r>
            <w:r>
              <w:rPr>
                <w:rFonts w:ascii="宋体" w:eastAsia="宋体" w:hAnsi="宋体" w:cs="宋体"/>
                <w:spacing w:val="-6"/>
                <w:sz w:val="24"/>
                <w:szCs w:val="24"/>
              </w:rPr>
              <w:t>90%以上，或系统允许中断时间小于</w:t>
            </w:r>
            <w:r>
              <w:rPr>
                <w:rFonts w:ascii="宋体" w:eastAsia="宋体" w:hAnsi="宋体" w:cs="宋体"/>
                <w:spacing w:val="-51"/>
                <w:sz w:val="24"/>
                <w:szCs w:val="24"/>
              </w:rPr>
              <w:t xml:space="preserve"> </w:t>
            </w:r>
            <w:r>
              <w:rPr>
                <w:rFonts w:ascii="宋体" w:eastAsia="宋体" w:hAnsi="宋体" w:cs="宋体"/>
                <w:spacing w:val="-6"/>
                <w:sz w:val="24"/>
                <w:szCs w:val="24"/>
              </w:rPr>
              <w:t>30</w:t>
            </w:r>
            <w:r>
              <w:rPr>
                <w:rFonts w:ascii="宋体" w:eastAsia="宋体" w:hAnsi="宋体" w:cs="宋体"/>
                <w:spacing w:val="-52"/>
                <w:sz w:val="24"/>
                <w:szCs w:val="24"/>
              </w:rPr>
              <w:t xml:space="preserve"> </w:t>
            </w:r>
            <w:r>
              <w:rPr>
                <w:rFonts w:ascii="宋体" w:eastAsia="宋体" w:hAnsi="宋体" w:cs="宋体"/>
                <w:spacing w:val="-6"/>
                <w:sz w:val="24"/>
                <w:szCs w:val="24"/>
              </w:rPr>
              <w:t>分钟</w:t>
            </w:r>
          </w:p>
        </w:tc>
      </w:tr>
      <w:tr>
        <w:tblPrEx>
          <w:tblW w:w="0" w:type="auto"/>
          <w:tblInd w:w="0" w:type="dxa"/>
          <w:tblCellMar>
            <w:top w:w="0" w:type="dxa"/>
            <w:left w:w="108" w:type="dxa"/>
            <w:bottom w:w="0" w:type="dxa"/>
            <w:right w:w="108" w:type="dxa"/>
          </w:tblCellMar>
        </w:tblPrEx>
        <w:tc>
          <w:tcPr>
            <w:tcW w:w="0" w:type="auto"/>
            <w:shd w:val="clear" w:color="auto" w:fill="auto"/>
          </w:tcPr>
          <w:p>
            <w:pPr>
              <w:pStyle w:val="TableText"/>
              <w:spacing w:line="259" w:lineRule="auto"/>
            </w:pPr>
          </w:p>
          <w:p>
            <w:pPr>
              <w:pStyle w:val="TableText"/>
              <w:spacing w:line="260" w:lineRule="auto"/>
            </w:pPr>
          </w:p>
          <w:p>
            <w:pPr>
              <w:spacing w:before="78" w:line="241" w:lineRule="auto"/>
              <w:ind w:left="117" w:leftChars="0"/>
              <w:rPr>
                <w:rFonts w:ascii="宋体" w:eastAsia="宋体" w:hAnsi="宋体" w:cs="宋体"/>
                <w:kern w:val="2"/>
                <w:sz w:val="24"/>
                <w:szCs w:val="24"/>
                <w:lang w:val="en-US" w:eastAsia="zh-CN" w:bidi="ar-SA"/>
              </w:rPr>
            </w:pPr>
            <w:r>
              <w:rPr>
                <w:rFonts w:ascii="宋体" w:eastAsia="宋体" w:hAnsi="宋体" w:cs="宋体"/>
                <w:sz w:val="24"/>
                <w:szCs w:val="24"/>
              </w:rPr>
              <w:t>2</w:t>
            </w:r>
          </w:p>
        </w:tc>
        <w:tc>
          <w:tcPr>
            <w:tcW w:w="0" w:type="auto"/>
            <w:shd w:val="clear" w:color="auto" w:fill="auto"/>
          </w:tcPr>
          <w:p>
            <w:pPr>
              <w:pStyle w:val="TableText"/>
              <w:spacing w:line="259" w:lineRule="auto"/>
            </w:pPr>
          </w:p>
          <w:p>
            <w:pPr>
              <w:pStyle w:val="TableText"/>
              <w:spacing w:line="260" w:lineRule="auto"/>
            </w:pPr>
          </w:p>
          <w:p>
            <w:pPr>
              <w:spacing w:before="78" w:line="221" w:lineRule="auto"/>
              <w:ind w:left="110" w:leftChars="0"/>
              <w:rPr>
                <w:rFonts w:ascii="宋体" w:eastAsia="宋体" w:hAnsi="宋体" w:cs="宋体"/>
                <w:kern w:val="2"/>
                <w:sz w:val="24"/>
                <w:szCs w:val="24"/>
                <w:lang w:val="en-US" w:eastAsia="zh-CN" w:bidi="ar-SA"/>
              </w:rPr>
            </w:pPr>
            <w:r>
              <w:rPr>
                <w:rFonts w:ascii="宋体" w:eastAsia="宋体" w:hAnsi="宋体" w:cs="宋体"/>
                <w:sz w:val="24"/>
                <w:szCs w:val="24"/>
              </w:rPr>
              <w:t>低</w:t>
            </w:r>
          </w:p>
        </w:tc>
        <w:tc>
          <w:tcPr>
            <w:tcW w:w="0" w:type="auto"/>
            <w:shd w:val="clear" w:color="auto" w:fill="auto"/>
          </w:tcPr>
          <w:p>
            <w:pPr>
              <w:spacing w:before="240" w:line="218" w:lineRule="auto"/>
              <w:rPr>
                <w:rFonts w:ascii="宋体" w:eastAsia="宋体" w:hAnsi="宋体" w:cs="宋体"/>
                <w:kern w:val="2"/>
                <w:sz w:val="24"/>
                <w:szCs w:val="24"/>
                <w:lang w:val="en-US" w:eastAsia="zh-CN" w:bidi="ar-SA"/>
              </w:rPr>
            </w:pPr>
            <w:r>
              <w:rPr>
                <w:rFonts w:ascii="宋体" w:eastAsia="宋体" w:hAnsi="宋体" w:cs="宋体"/>
                <w:spacing w:val="-4"/>
                <w:sz w:val="24"/>
                <w:szCs w:val="24"/>
              </w:rPr>
              <w:t>可用性价值较低，合法使用者对信息及信息系统的可用度在正常工作时间达</w:t>
            </w:r>
            <w:r>
              <w:rPr>
                <w:rFonts w:ascii="宋体" w:eastAsia="宋体" w:hAnsi="宋体" w:cs="宋体"/>
                <w:spacing w:val="-6"/>
                <w:sz w:val="24"/>
                <w:szCs w:val="24"/>
              </w:rPr>
              <w:t>到</w:t>
            </w:r>
            <w:r>
              <w:rPr>
                <w:rFonts w:ascii="宋体" w:eastAsia="宋体" w:hAnsi="宋体" w:cs="宋体"/>
                <w:spacing w:val="-36"/>
                <w:sz w:val="24"/>
                <w:szCs w:val="24"/>
              </w:rPr>
              <w:t xml:space="preserve"> </w:t>
            </w:r>
            <w:r>
              <w:rPr>
                <w:rFonts w:ascii="宋体" w:eastAsia="宋体" w:hAnsi="宋体" w:cs="宋体"/>
                <w:spacing w:val="-6"/>
                <w:sz w:val="24"/>
                <w:szCs w:val="24"/>
              </w:rPr>
              <w:t>25%以上，或系统允许中断时间小于</w:t>
            </w:r>
            <w:r>
              <w:rPr>
                <w:rFonts w:ascii="宋体" w:eastAsia="宋体" w:hAnsi="宋体" w:cs="宋体"/>
                <w:spacing w:val="-54"/>
                <w:sz w:val="24"/>
                <w:szCs w:val="24"/>
              </w:rPr>
              <w:t xml:space="preserve"> </w:t>
            </w:r>
            <w:r>
              <w:rPr>
                <w:rFonts w:ascii="宋体" w:eastAsia="宋体" w:hAnsi="宋体" w:cs="宋体"/>
                <w:spacing w:val="-6"/>
                <w:sz w:val="24"/>
                <w:szCs w:val="24"/>
              </w:rPr>
              <w:t>60</w:t>
            </w:r>
            <w:r>
              <w:rPr>
                <w:rFonts w:ascii="宋体" w:eastAsia="宋体" w:hAnsi="宋体" w:cs="宋体"/>
                <w:spacing w:val="-52"/>
                <w:sz w:val="24"/>
                <w:szCs w:val="24"/>
              </w:rPr>
              <w:t xml:space="preserve"> </w:t>
            </w:r>
            <w:r>
              <w:rPr>
                <w:rFonts w:ascii="宋体" w:eastAsia="宋体" w:hAnsi="宋体" w:cs="宋体"/>
                <w:spacing w:val="-6"/>
                <w:sz w:val="24"/>
                <w:szCs w:val="24"/>
              </w:rPr>
              <w:t>分钟</w:t>
            </w:r>
          </w:p>
        </w:tc>
      </w:tr>
      <w:tr>
        <w:tblPrEx>
          <w:tblW w:w="0" w:type="auto"/>
          <w:tblInd w:w="0" w:type="dxa"/>
          <w:tblCellMar>
            <w:top w:w="0" w:type="dxa"/>
            <w:left w:w="108" w:type="dxa"/>
            <w:bottom w:w="0" w:type="dxa"/>
            <w:right w:w="108" w:type="dxa"/>
          </w:tblCellMar>
        </w:tblPrEx>
        <w:tc>
          <w:tcPr>
            <w:tcW w:w="0" w:type="auto"/>
            <w:shd w:val="clear" w:color="auto" w:fill="auto"/>
          </w:tcPr>
          <w:p>
            <w:pPr>
              <w:pStyle w:val="TableText"/>
              <w:spacing w:line="262" w:lineRule="auto"/>
            </w:pPr>
          </w:p>
          <w:p>
            <w:pPr>
              <w:pStyle w:val="TableText"/>
              <w:spacing w:line="262" w:lineRule="auto"/>
            </w:pPr>
          </w:p>
          <w:p>
            <w:pPr>
              <w:spacing w:before="78" w:line="241" w:lineRule="auto"/>
              <w:ind w:left="132" w:leftChars="0"/>
              <w:rPr>
                <w:rFonts w:ascii="宋体" w:eastAsia="宋体" w:hAnsi="宋体" w:cs="宋体"/>
                <w:kern w:val="2"/>
                <w:sz w:val="24"/>
                <w:szCs w:val="24"/>
                <w:lang w:val="en-US" w:eastAsia="zh-CN" w:bidi="ar-SA"/>
              </w:rPr>
            </w:pPr>
            <w:r>
              <w:rPr>
                <w:rFonts w:ascii="宋体" w:eastAsia="宋体" w:hAnsi="宋体" w:cs="宋体"/>
                <w:sz w:val="24"/>
                <w:szCs w:val="24"/>
              </w:rPr>
              <w:t>1</w:t>
            </w:r>
          </w:p>
        </w:tc>
        <w:tc>
          <w:tcPr>
            <w:tcW w:w="0" w:type="auto"/>
            <w:shd w:val="clear" w:color="auto" w:fill="auto"/>
          </w:tcPr>
          <w:p>
            <w:pPr>
              <w:spacing w:before="242" w:line="223" w:lineRule="auto"/>
              <w:ind w:left="113"/>
              <w:rPr>
                <w:rFonts w:ascii="宋体" w:eastAsia="宋体" w:hAnsi="宋体" w:cs="宋体"/>
                <w:kern w:val="2"/>
                <w:sz w:val="24"/>
                <w:szCs w:val="24"/>
                <w:lang w:val="en-US" w:eastAsia="zh-CN" w:bidi="ar-SA"/>
              </w:rPr>
            </w:pPr>
            <w:r>
              <w:rPr>
                <w:rFonts w:ascii="宋体" w:eastAsia="宋体" w:hAnsi="宋体" w:cs="宋体"/>
                <w:spacing w:val="-6"/>
                <w:sz w:val="24"/>
                <w:szCs w:val="24"/>
              </w:rPr>
              <w:t>可忽</w:t>
            </w:r>
            <w:r>
              <w:rPr>
                <w:rFonts w:ascii="宋体" w:eastAsia="宋体" w:hAnsi="宋体" w:cs="宋体"/>
                <w:sz w:val="24"/>
                <w:szCs w:val="24"/>
              </w:rPr>
              <w:t>略</w:t>
            </w:r>
          </w:p>
        </w:tc>
        <w:tc>
          <w:tcPr>
            <w:tcW w:w="0" w:type="auto"/>
            <w:shd w:val="clear" w:color="auto" w:fill="auto"/>
          </w:tcPr>
          <w:p>
            <w:pPr>
              <w:spacing w:before="242" w:line="218" w:lineRule="auto"/>
              <w:rPr>
                <w:rFonts w:ascii="宋体" w:eastAsia="宋体" w:hAnsi="宋体" w:cs="宋体"/>
                <w:kern w:val="2"/>
                <w:sz w:val="24"/>
                <w:szCs w:val="24"/>
                <w:lang w:val="en-US" w:eastAsia="zh-CN" w:bidi="ar-SA"/>
              </w:rPr>
            </w:pPr>
            <w:r>
              <w:rPr>
                <w:rFonts w:ascii="宋体" w:eastAsia="宋体" w:hAnsi="宋体" w:cs="宋体"/>
                <w:spacing w:val="-4"/>
                <w:sz w:val="24"/>
                <w:szCs w:val="24"/>
              </w:rPr>
              <w:t>可用性价值可以忽略，法使用者对信息及信息系统的可用度在正常工作时间</w:t>
            </w:r>
            <w:r>
              <w:rPr>
                <w:rFonts w:ascii="宋体" w:eastAsia="宋体" w:hAnsi="宋体" w:cs="宋体"/>
                <w:spacing w:val="-5"/>
                <w:sz w:val="24"/>
                <w:szCs w:val="24"/>
              </w:rPr>
              <w:t>低于</w:t>
            </w:r>
            <w:r>
              <w:rPr>
                <w:rFonts w:ascii="宋体" w:eastAsia="宋体" w:hAnsi="宋体" w:cs="宋体"/>
                <w:spacing w:val="-52"/>
                <w:sz w:val="24"/>
                <w:szCs w:val="24"/>
              </w:rPr>
              <w:t xml:space="preserve"> </w:t>
            </w:r>
            <w:r>
              <w:rPr>
                <w:rFonts w:ascii="宋体" w:eastAsia="宋体" w:hAnsi="宋体" w:cs="宋体"/>
                <w:spacing w:val="-5"/>
                <w:sz w:val="24"/>
                <w:szCs w:val="24"/>
              </w:rPr>
              <w:t>25%。</w:t>
            </w:r>
          </w:p>
        </w:tc>
      </w:tr>
    </w:tbl>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ascii="Wingdings" w:eastAsia="Wingdings" w:hAnsi="Wingdings" w:cs="Wingdings"/>
          <w:spacing w:val="-9"/>
          <w:sz w:val="24"/>
          <w:szCs w:val="24"/>
        </w:rPr>
        <w:t>u</w:t>
      </w:r>
      <w:r>
        <w:rPr>
          <w:rFonts w:hint="default"/>
          <w:sz w:val="24"/>
          <w:lang w:val="en-US" w:eastAsia="zh-CN"/>
        </w:rPr>
        <w:t xml:space="preserve"> 资产重要性等级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最终资产价值可以通过违反资产的机密性、完整性和可用性三个方面的程度综合确定，资产的赋值采用定性的相对等级的方式。与以上安全属性的等级相对应，资产价值的等级可分为五级，从 1 到 5 由低到高分别代表五个级别的资产相对价值，等级越大，资产越重要。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由于资产最终价值的等级评估是依据资产机密性、完整性、可用性的赋值级别经过综合评定得出的，本标准的评定准则选择“最高的属性级别 ”为综合资产赋值准则的方法。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当然，风险评估小组也可以根据被评估系统的实际情况自定义资产的等级，但该评定方法必须在事先得到信息系统所有者认可。</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18"/>
        <w:gridCol w:w="1930"/>
        <w:gridCol w:w="467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shd w:val="clear" w:color="auto" w:fill="auto"/>
          </w:tcPr>
          <w:p>
            <w:pPr>
              <w:spacing w:before="242" w:line="219" w:lineRule="auto"/>
              <w:ind w:left="116"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等级</w:t>
            </w:r>
          </w:p>
        </w:tc>
        <w:tc>
          <w:tcPr>
            <w:tcW w:w="2841" w:type="dxa"/>
            <w:shd w:val="clear" w:color="auto" w:fill="auto"/>
          </w:tcPr>
          <w:p>
            <w:pPr>
              <w:spacing w:before="242" w:line="220" w:lineRule="auto"/>
              <w:ind w:left="110"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标识</w:t>
            </w:r>
          </w:p>
        </w:tc>
        <w:tc>
          <w:tcPr>
            <w:tcW w:w="2841" w:type="dxa"/>
            <w:shd w:val="clear" w:color="auto" w:fill="auto"/>
          </w:tcPr>
          <w:p>
            <w:pPr>
              <w:spacing w:before="241" w:line="218" w:lineRule="auto"/>
              <w:ind w:left="120"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资产价值定义</w:t>
            </w:r>
          </w:p>
        </w:tc>
      </w:tr>
      <w:tr>
        <w:tblPrEx>
          <w:tblW w:w="0" w:type="auto"/>
          <w:tblInd w:w="0" w:type="dxa"/>
          <w:tblCellMar>
            <w:top w:w="0" w:type="dxa"/>
            <w:left w:w="108" w:type="dxa"/>
            <w:bottom w:w="0" w:type="dxa"/>
            <w:right w:w="108" w:type="dxa"/>
          </w:tblCellMar>
        </w:tblPrEx>
        <w:tc>
          <w:tcPr>
            <w:tcW w:w="2840" w:type="dxa"/>
            <w:shd w:val="clear" w:color="auto" w:fill="auto"/>
          </w:tcPr>
          <w:p>
            <w:pPr>
              <w:spacing w:before="241"/>
              <w:ind w:left="119" w:leftChars="0"/>
              <w:rPr>
                <w:rFonts w:ascii="宋体" w:eastAsia="宋体" w:hAnsi="宋体" w:cs="宋体" w:hint="default"/>
                <w:kern w:val="2"/>
                <w:sz w:val="24"/>
                <w:szCs w:val="24"/>
                <w:lang w:val="en-US" w:eastAsia="zh-CN" w:bidi="ar-SA"/>
              </w:rPr>
            </w:pPr>
            <w:r>
              <w:rPr>
                <w:rFonts w:ascii="宋体" w:eastAsia="宋体" w:hAnsi="宋体" w:cs="宋体"/>
                <w:sz w:val="24"/>
                <w:szCs w:val="24"/>
              </w:rPr>
              <w:t>5</w:t>
            </w:r>
          </w:p>
        </w:tc>
        <w:tc>
          <w:tcPr>
            <w:tcW w:w="2841" w:type="dxa"/>
            <w:shd w:val="clear" w:color="auto" w:fill="auto"/>
          </w:tcPr>
          <w:p>
            <w:pPr>
              <w:spacing w:before="242" w:line="219" w:lineRule="auto"/>
              <w:ind w:left="110"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很高</w:t>
            </w:r>
          </w:p>
        </w:tc>
        <w:tc>
          <w:tcPr>
            <w:tcW w:w="2841" w:type="dxa"/>
            <w:shd w:val="clear" w:color="auto" w:fill="auto"/>
          </w:tcPr>
          <w:p>
            <w:pPr>
              <w:spacing w:before="242" w:line="220"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非常重要，其安全属性破坏后可能对组织造成非常严重的损失</w:t>
            </w:r>
          </w:p>
        </w:tc>
      </w:tr>
      <w:tr>
        <w:tblPrEx>
          <w:tblW w:w="0" w:type="auto"/>
          <w:tblInd w:w="0" w:type="dxa"/>
          <w:tblCellMar>
            <w:top w:w="0" w:type="dxa"/>
            <w:left w:w="108" w:type="dxa"/>
            <w:bottom w:w="0" w:type="dxa"/>
            <w:right w:w="108" w:type="dxa"/>
          </w:tblCellMar>
        </w:tblPrEx>
        <w:tc>
          <w:tcPr>
            <w:tcW w:w="2840" w:type="dxa"/>
            <w:shd w:val="clear" w:color="auto" w:fill="auto"/>
          </w:tcPr>
          <w:p>
            <w:pPr>
              <w:spacing w:before="244" w:line="241" w:lineRule="auto"/>
              <w:ind w:left="113" w:leftChars="0"/>
              <w:rPr>
                <w:rFonts w:ascii="宋体" w:eastAsia="宋体" w:hAnsi="宋体" w:cs="宋体" w:hint="default"/>
                <w:kern w:val="2"/>
                <w:sz w:val="24"/>
                <w:szCs w:val="24"/>
                <w:lang w:val="en-US" w:eastAsia="zh-CN" w:bidi="ar-SA"/>
              </w:rPr>
            </w:pPr>
            <w:r>
              <w:rPr>
                <w:rFonts w:ascii="宋体" w:eastAsia="宋体" w:hAnsi="宋体" w:cs="宋体"/>
                <w:sz w:val="24"/>
                <w:szCs w:val="24"/>
              </w:rPr>
              <w:t>4</w:t>
            </w:r>
          </w:p>
        </w:tc>
        <w:tc>
          <w:tcPr>
            <w:tcW w:w="2841" w:type="dxa"/>
            <w:shd w:val="clear" w:color="auto" w:fill="auto"/>
          </w:tcPr>
          <w:p>
            <w:pPr>
              <w:spacing w:before="244" w:line="219" w:lineRule="auto"/>
              <w:ind w:left="115" w:leftChars="0"/>
              <w:rPr>
                <w:rFonts w:ascii="宋体" w:eastAsia="宋体" w:hAnsi="宋体" w:cs="宋体" w:hint="default"/>
                <w:kern w:val="2"/>
                <w:sz w:val="24"/>
                <w:szCs w:val="24"/>
                <w:lang w:val="en-US" w:eastAsia="zh-CN" w:bidi="ar-SA"/>
              </w:rPr>
            </w:pPr>
            <w:r>
              <w:rPr>
                <w:rFonts w:ascii="宋体" w:eastAsia="宋体" w:hAnsi="宋体" w:cs="宋体"/>
                <w:sz w:val="24"/>
                <w:szCs w:val="24"/>
              </w:rPr>
              <w:t>高</w:t>
            </w:r>
          </w:p>
        </w:tc>
        <w:tc>
          <w:tcPr>
            <w:tcW w:w="2841" w:type="dxa"/>
            <w:shd w:val="clear" w:color="auto" w:fill="auto"/>
          </w:tcPr>
          <w:p>
            <w:pPr>
              <w:spacing w:before="244" w:line="220"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重要，其安全属性破坏后可能对组织造成比较严重的损失</w:t>
            </w:r>
          </w:p>
        </w:tc>
      </w:tr>
      <w:tr>
        <w:tblPrEx>
          <w:tblW w:w="0" w:type="auto"/>
          <w:tblInd w:w="0" w:type="dxa"/>
          <w:tblCellMar>
            <w:top w:w="0" w:type="dxa"/>
            <w:left w:w="108" w:type="dxa"/>
            <w:bottom w:w="0" w:type="dxa"/>
            <w:right w:w="108" w:type="dxa"/>
          </w:tblCellMar>
        </w:tblPrEx>
        <w:tc>
          <w:tcPr>
            <w:tcW w:w="2840" w:type="dxa"/>
            <w:shd w:val="clear" w:color="auto" w:fill="auto"/>
          </w:tcPr>
          <w:p>
            <w:pPr>
              <w:spacing w:before="252"/>
              <w:ind w:left="119" w:leftChars="0"/>
              <w:rPr>
                <w:rFonts w:ascii="宋体" w:eastAsia="宋体" w:hAnsi="宋体" w:cs="宋体"/>
                <w:kern w:val="2"/>
                <w:sz w:val="24"/>
                <w:szCs w:val="24"/>
                <w:lang w:val="en-US" w:eastAsia="zh-CN" w:bidi="ar-SA"/>
              </w:rPr>
            </w:pPr>
            <w:r>
              <w:rPr>
                <w:rFonts w:ascii="宋体" w:eastAsia="宋体" w:hAnsi="宋体" w:cs="宋体"/>
                <w:sz w:val="24"/>
                <w:szCs w:val="24"/>
              </w:rPr>
              <w:t>3</w:t>
            </w:r>
          </w:p>
        </w:tc>
        <w:tc>
          <w:tcPr>
            <w:tcW w:w="2841" w:type="dxa"/>
            <w:shd w:val="clear" w:color="auto" w:fill="auto"/>
          </w:tcPr>
          <w:p>
            <w:pPr>
              <w:spacing w:before="252" w:line="220" w:lineRule="auto"/>
              <w:ind w:left="131" w:leftChars="0"/>
              <w:rPr>
                <w:rFonts w:ascii="宋体" w:eastAsia="宋体" w:hAnsi="宋体" w:cs="宋体"/>
                <w:kern w:val="2"/>
                <w:sz w:val="24"/>
                <w:szCs w:val="24"/>
                <w:lang w:val="en-US" w:eastAsia="zh-CN" w:bidi="ar-SA"/>
              </w:rPr>
            </w:pPr>
            <w:r>
              <w:rPr>
                <w:rFonts w:ascii="宋体" w:eastAsia="宋体" w:hAnsi="宋体" w:cs="宋体"/>
                <w:sz w:val="24"/>
                <w:szCs w:val="24"/>
              </w:rPr>
              <w:t>中</w:t>
            </w:r>
          </w:p>
        </w:tc>
        <w:tc>
          <w:tcPr>
            <w:tcW w:w="2841" w:type="dxa"/>
            <w:shd w:val="clear" w:color="auto" w:fill="auto"/>
          </w:tcPr>
          <w:p>
            <w:pPr>
              <w:spacing w:before="253"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比较重要，其安全属性破坏后可能对组织造成中等</w:t>
            </w:r>
            <w:r>
              <w:rPr>
                <w:rFonts w:ascii="宋体" w:eastAsia="宋体" w:hAnsi="宋体" w:cs="宋体"/>
                <w:spacing w:val="-6"/>
                <w:sz w:val="24"/>
                <w:szCs w:val="24"/>
              </w:rPr>
              <w:t>程度的损失</w:t>
            </w:r>
          </w:p>
        </w:tc>
      </w:tr>
      <w:tr>
        <w:tblPrEx>
          <w:tblW w:w="0" w:type="auto"/>
          <w:tblInd w:w="0" w:type="dxa"/>
          <w:tblCellMar>
            <w:top w:w="0" w:type="dxa"/>
            <w:left w:w="108" w:type="dxa"/>
            <w:bottom w:w="0" w:type="dxa"/>
            <w:right w:w="108" w:type="dxa"/>
          </w:tblCellMar>
        </w:tblPrEx>
        <w:tc>
          <w:tcPr>
            <w:tcW w:w="0" w:type="auto"/>
            <w:shd w:val="clear" w:color="auto" w:fill="auto"/>
          </w:tcPr>
          <w:p>
            <w:pPr>
              <w:spacing w:before="242" w:line="241" w:lineRule="auto"/>
              <w:ind w:left="117" w:leftChars="0"/>
              <w:rPr>
                <w:rFonts w:ascii="宋体" w:eastAsia="宋体" w:hAnsi="宋体" w:cs="宋体"/>
                <w:kern w:val="2"/>
                <w:sz w:val="24"/>
                <w:szCs w:val="24"/>
                <w:lang w:val="en-US" w:eastAsia="zh-CN" w:bidi="ar-SA"/>
              </w:rPr>
            </w:pPr>
            <w:r>
              <w:rPr>
                <w:rFonts w:ascii="宋体" w:eastAsia="宋体" w:hAnsi="宋体" w:cs="宋体"/>
                <w:sz w:val="24"/>
                <w:szCs w:val="24"/>
              </w:rPr>
              <w:t>2</w:t>
            </w:r>
          </w:p>
        </w:tc>
        <w:tc>
          <w:tcPr>
            <w:tcW w:w="0" w:type="auto"/>
            <w:shd w:val="clear" w:color="auto" w:fill="auto"/>
          </w:tcPr>
          <w:p>
            <w:pPr>
              <w:spacing w:before="242" w:line="221" w:lineRule="auto"/>
              <w:ind w:left="108" w:leftChars="0"/>
              <w:rPr>
                <w:rFonts w:ascii="宋体" w:eastAsia="宋体" w:hAnsi="宋体" w:cs="宋体"/>
                <w:kern w:val="2"/>
                <w:sz w:val="24"/>
                <w:szCs w:val="24"/>
                <w:lang w:val="en-US" w:eastAsia="zh-CN" w:bidi="ar-SA"/>
              </w:rPr>
            </w:pPr>
            <w:r>
              <w:rPr>
                <w:rFonts w:ascii="宋体" w:eastAsia="宋体" w:hAnsi="宋体" w:cs="宋体"/>
                <w:sz w:val="24"/>
                <w:szCs w:val="24"/>
              </w:rPr>
              <w:t>低</w:t>
            </w:r>
          </w:p>
        </w:tc>
        <w:tc>
          <w:tcPr>
            <w:tcW w:w="0" w:type="auto"/>
            <w:shd w:val="clear" w:color="auto" w:fill="auto"/>
          </w:tcPr>
          <w:p>
            <w:pPr>
              <w:spacing w:before="242" w:line="220" w:lineRule="auto"/>
              <w:rPr>
                <w:rFonts w:ascii="宋体" w:eastAsia="宋体" w:hAnsi="宋体" w:cs="宋体"/>
                <w:kern w:val="2"/>
                <w:sz w:val="24"/>
                <w:szCs w:val="24"/>
                <w:lang w:val="en-US" w:eastAsia="zh-CN" w:bidi="ar-SA"/>
              </w:rPr>
            </w:pPr>
            <w:r>
              <w:rPr>
                <w:rFonts w:ascii="宋体" w:eastAsia="宋体" w:hAnsi="宋体" w:cs="宋体"/>
                <w:spacing w:val="-5"/>
                <w:sz w:val="24"/>
                <w:szCs w:val="24"/>
              </w:rPr>
              <w:t>不太重要，其安全属性破坏后可能对组织造成较低的损失</w:t>
            </w:r>
          </w:p>
        </w:tc>
      </w:tr>
      <w:tr>
        <w:tblPrEx>
          <w:tblW w:w="0" w:type="auto"/>
          <w:tblInd w:w="0" w:type="dxa"/>
          <w:tblCellMar>
            <w:top w:w="0" w:type="dxa"/>
            <w:left w:w="108" w:type="dxa"/>
            <w:bottom w:w="0" w:type="dxa"/>
            <w:right w:w="108" w:type="dxa"/>
          </w:tblCellMar>
        </w:tblPrEx>
        <w:tc>
          <w:tcPr>
            <w:tcW w:w="0" w:type="auto"/>
            <w:shd w:val="clear" w:color="auto" w:fill="auto"/>
          </w:tcPr>
          <w:p>
            <w:pPr>
              <w:spacing w:before="242" w:line="241" w:lineRule="auto"/>
              <w:ind w:left="132" w:leftChars="0"/>
              <w:rPr>
                <w:rFonts w:ascii="宋体" w:eastAsia="宋体" w:hAnsi="宋体" w:cs="宋体"/>
                <w:kern w:val="2"/>
                <w:sz w:val="24"/>
                <w:szCs w:val="24"/>
                <w:lang w:val="en-US" w:eastAsia="zh-CN" w:bidi="ar-SA"/>
              </w:rPr>
            </w:pPr>
            <w:r>
              <w:rPr>
                <w:rFonts w:ascii="宋体" w:eastAsia="宋体" w:hAnsi="宋体" w:cs="宋体"/>
                <w:sz w:val="24"/>
                <w:szCs w:val="24"/>
              </w:rPr>
              <w:t>1</w:t>
            </w:r>
          </w:p>
        </w:tc>
        <w:tc>
          <w:tcPr>
            <w:tcW w:w="0" w:type="auto"/>
            <w:shd w:val="clear" w:color="auto" w:fill="auto"/>
          </w:tcPr>
          <w:p>
            <w:pPr>
              <w:spacing w:before="242" w:line="220" w:lineRule="auto"/>
              <w:ind w:left="110" w:leftChars="0"/>
              <w:rPr>
                <w:rFonts w:ascii="宋体" w:eastAsia="宋体" w:hAnsi="宋体" w:cs="宋体"/>
                <w:kern w:val="2"/>
                <w:sz w:val="24"/>
                <w:szCs w:val="24"/>
                <w:lang w:val="en-US" w:eastAsia="zh-CN" w:bidi="ar-SA"/>
              </w:rPr>
            </w:pPr>
            <w:r>
              <w:rPr>
                <w:rFonts w:ascii="宋体" w:eastAsia="宋体" w:hAnsi="宋体" w:cs="宋体"/>
                <w:spacing w:val="-6"/>
                <w:sz w:val="24"/>
                <w:szCs w:val="24"/>
              </w:rPr>
              <w:t>很低</w:t>
            </w:r>
          </w:p>
        </w:tc>
        <w:tc>
          <w:tcPr>
            <w:tcW w:w="0" w:type="auto"/>
            <w:shd w:val="clear" w:color="auto" w:fill="auto"/>
          </w:tcPr>
          <w:p>
            <w:pPr>
              <w:spacing w:before="242" w:line="220" w:lineRule="auto"/>
              <w:rPr>
                <w:rFonts w:ascii="宋体" w:eastAsia="宋体" w:hAnsi="宋体" w:cs="宋体"/>
                <w:kern w:val="2"/>
                <w:sz w:val="24"/>
                <w:szCs w:val="24"/>
                <w:lang w:val="en-US" w:eastAsia="zh-CN" w:bidi="ar-SA"/>
              </w:rPr>
            </w:pPr>
            <w:r>
              <w:rPr>
                <w:rFonts w:ascii="宋体" w:eastAsia="宋体" w:hAnsi="宋体" w:cs="宋体"/>
                <w:spacing w:val="-4"/>
                <w:sz w:val="24"/>
                <w:szCs w:val="24"/>
              </w:rPr>
              <w:t>不重要，其安全属性破坏后可能对组织造成很</w:t>
            </w:r>
            <w:r>
              <w:rPr>
                <w:rFonts w:ascii="宋体" w:eastAsia="宋体" w:hAnsi="宋体" w:cs="宋体"/>
                <w:spacing w:val="-5"/>
                <w:sz w:val="24"/>
                <w:szCs w:val="24"/>
              </w:rPr>
              <w:t>小的损失，甚至忽略不计</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ascii="Wingdings" w:eastAsia="Wingdings" w:hAnsi="Wingdings" w:cs="Wingdings"/>
          <w:spacing w:val="-9"/>
          <w:sz w:val="24"/>
          <w:szCs w:val="24"/>
        </w:rPr>
        <w:t>u</w:t>
      </w:r>
      <w:r>
        <w:rPr>
          <w:rFonts w:hint="default"/>
          <w:sz w:val="24"/>
          <w:lang w:val="en-US" w:eastAsia="zh-CN"/>
        </w:rPr>
        <w:t>资产重要性等级划分表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hint="eastAsia"/>
          <w:sz w:val="24"/>
          <w:lang w:val="en-US" w:eastAsia="zh-CN"/>
        </w:rPr>
      </w:pPr>
      <w:r>
        <w:rPr>
          <w:rFonts w:ascii="宋体" w:eastAsia="宋体" w:hAnsi="宋体" w:cs="宋体" w:hint="eastAsia"/>
          <w:sz w:val="24"/>
          <w:lang w:val="en-US" w:eastAsia="zh-CN"/>
        </w:rPr>
        <w:t>阶段成果：风险评估小组确定在信息安全方面对组织业务发展（考虑相关方要求）起到关键作用的资产，根据本规则，对资产的机密性、完整性、可用性进行赋值与计算，并根据资产赋值结果得出《重要资产清单》，该清单一般应包括重要资产名称、描述、类型、重要程度、责任人/部门，应根据预先制定的规则，对资产的机密性、完整性、可用性进行赋值与计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hint="eastAsia"/>
          <w:sz w:val="24"/>
          <w:lang w:val="en-US" w:eastAsia="zh-CN"/>
        </w:rPr>
      </w:pPr>
      <w:r>
        <w:rPr>
          <w:rFonts w:ascii="宋体" w:eastAsia="宋体" w:hAnsi="宋体" w:cs="宋体" w:hint="eastAsia"/>
          <w:sz w:val="24"/>
          <w:lang w:val="en-US" w:eastAsia="zh-CN"/>
        </w:rPr>
        <w:t>在本阶段结束时应由本公司信息安全管理委员会向信息系统所有者提供《重要资产清单》，并由信息系统所有者进行书面确认，然后主要围绕重要资产展开以下实施步骤。</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资产识别阶段小结如表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74"/>
        <w:gridCol w:w="684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522" w:type="dxa"/>
            <w:gridSpan w:val="2"/>
            <w:shd w:val="clear" w:color="auto" w:fill="auto"/>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r>
              <w:rPr>
                <w:rFonts w:ascii="宋体" w:eastAsia="宋体" w:hAnsi="宋体" w:cs="宋体"/>
                <w:spacing w:val="-7"/>
                <w:sz w:val="24"/>
                <w:szCs w:val="24"/>
              </w:rPr>
              <w:t>资产识别阶段</w:t>
            </w:r>
          </w:p>
        </w:tc>
      </w:tr>
      <w:tr>
        <w:tblPrEx>
          <w:tblW w:w="0" w:type="auto"/>
          <w:tblInd w:w="0" w:type="dxa"/>
          <w:tblCellMar>
            <w:top w:w="0" w:type="dxa"/>
            <w:left w:w="108" w:type="dxa"/>
            <w:bottom w:w="0" w:type="dxa"/>
            <w:right w:w="108" w:type="dxa"/>
          </w:tblCellMar>
        </w:tblPrEx>
        <w:tc>
          <w:tcPr>
            <w:tcW w:w="1674" w:type="dxa"/>
            <w:shd w:val="clear" w:color="auto" w:fill="auto"/>
          </w:tcPr>
          <w:p>
            <w:pPr>
              <w:pStyle w:val="TableText"/>
              <w:spacing w:line="249" w:lineRule="auto"/>
            </w:pPr>
          </w:p>
          <w:p>
            <w:pPr>
              <w:pStyle w:val="TableText"/>
              <w:spacing w:line="249" w:lineRule="auto"/>
            </w:pPr>
          </w:p>
          <w:p>
            <w:pPr>
              <w:spacing w:before="78" w:line="219" w:lineRule="auto"/>
              <w:ind w:left="120"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工作任务</w:t>
            </w:r>
          </w:p>
        </w:tc>
        <w:tc>
          <w:tcPr>
            <w:tcW w:w="6848" w:type="dxa"/>
            <w:shd w:val="clear" w:color="auto" w:fill="auto"/>
          </w:tcPr>
          <w:p>
            <w:pPr>
              <w:spacing w:before="244" w:line="219" w:lineRule="auto"/>
              <w:ind w:left="113"/>
            </w:pPr>
            <w:r>
              <w:rPr>
                <w:rFonts w:ascii="宋体" w:eastAsia="宋体" w:hAnsi="宋体" w:cs="宋体"/>
                <w:spacing w:val="-5"/>
                <w:sz w:val="24"/>
                <w:szCs w:val="24"/>
              </w:rPr>
              <w:t>根据资产的表现形式对资产进行分类；</w:t>
            </w:r>
          </w:p>
          <w:p>
            <w:pPr>
              <w:spacing w:before="78" w:line="218" w:lineRule="auto"/>
              <w:ind w:left="113"/>
            </w:pPr>
            <w:r>
              <w:rPr>
                <w:rFonts w:ascii="宋体" w:eastAsia="宋体" w:hAnsi="宋体" w:cs="宋体"/>
                <w:spacing w:val="-5"/>
                <w:sz w:val="24"/>
                <w:szCs w:val="24"/>
              </w:rPr>
              <w:t>根据对资产安全价值的估价对资产进行三性（机密性、完整性、可用性）赋值；</w:t>
            </w:r>
          </w:p>
          <w:p>
            <w:pPr>
              <w:spacing w:before="79" w:line="218"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根据资产赋值结果，采用“最高的属性级别</w:t>
            </w:r>
            <w:r>
              <w:rPr>
                <w:rFonts w:ascii="宋体" w:eastAsia="宋体" w:hAnsi="宋体" w:cs="宋体"/>
                <w:spacing w:val="-93"/>
                <w:sz w:val="24"/>
                <w:szCs w:val="24"/>
              </w:rPr>
              <w:t xml:space="preserve"> </w:t>
            </w:r>
            <w:r>
              <w:rPr>
                <w:rFonts w:ascii="宋体" w:eastAsia="宋体" w:hAnsi="宋体" w:cs="宋体"/>
                <w:spacing w:val="-5"/>
                <w:sz w:val="24"/>
                <w:szCs w:val="24"/>
              </w:rPr>
              <w:t>”法评价</w:t>
            </w:r>
            <w:r>
              <w:rPr>
                <w:rFonts w:ascii="宋体" w:eastAsia="宋体" w:hAnsi="宋体" w:cs="宋体"/>
                <w:spacing w:val="-6"/>
                <w:sz w:val="24"/>
                <w:szCs w:val="24"/>
              </w:rPr>
              <w:t>出重要资产。</w:t>
            </w:r>
          </w:p>
        </w:tc>
      </w:tr>
      <w:tr>
        <w:tblPrEx>
          <w:tblW w:w="0" w:type="auto"/>
          <w:tblInd w:w="0" w:type="dxa"/>
          <w:tblCellMar>
            <w:top w:w="0" w:type="dxa"/>
            <w:left w:w="108" w:type="dxa"/>
            <w:bottom w:w="0" w:type="dxa"/>
            <w:right w:w="108" w:type="dxa"/>
          </w:tblCellMar>
        </w:tblPrEx>
        <w:tc>
          <w:tcPr>
            <w:tcW w:w="1674" w:type="dxa"/>
            <w:shd w:val="clear" w:color="auto" w:fill="auto"/>
          </w:tcPr>
          <w:p>
            <w:pPr>
              <w:spacing w:before="247" w:line="220" w:lineRule="auto"/>
              <w:ind w:left="120" w:leftChars="0"/>
              <w:rPr>
                <w:rFonts w:ascii="宋体" w:eastAsia="宋体" w:hAnsi="宋体" w:cs="宋体"/>
                <w:kern w:val="2"/>
                <w:sz w:val="24"/>
                <w:szCs w:val="24"/>
                <w:lang w:val="en-US" w:eastAsia="zh-CN" w:bidi="ar-SA"/>
              </w:rPr>
            </w:pPr>
            <w:r>
              <w:rPr>
                <w:rFonts w:ascii="宋体" w:eastAsia="宋体" w:hAnsi="宋体" w:cs="宋体"/>
                <w:spacing w:val="-5"/>
                <w:sz w:val="24"/>
                <w:szCs w:val="24"/>
              </w:rPr>
              <w:t>工作方式</w:t>
            </w:r>
          </w:p>
        </w:tc>
        <w:tc>
          <w:tcPr>
            <w:tcW w:w="6848" w:type="dxa"/>
            <w:shd w:val="clear" w:color="auto" w:fill="auto"/>
          </w:tcPr>
          <w:p>
            <w:pPr>
              <w:spacing w:before="247" w:line="221" w:lineRule="auto"/>
              <w:ind w:left="140" w:leftChars="0"/>
              <w:rPr>
                <w:rFonts w:ascii="宋体" w:eastAsia="宋体" w:hAnsi="宋体" w:cs="宋体"/>
                <w:kern w:val="2"/>
                <w:sz w:val="24"/>
                <w:szCs w:val="24"/>
                <w:lang w:val="en-US" w:eastAsia="zh-CN" w:bidi="ar-SA"/>
              </w:rPr>
            </w:pPr>
            <w:r>
              <w:rPr>
                <w:rFonts w:ascii="宋体" w:eastAsia="宋体" w:hAnsi="宋体" w:cs="宋体"/>
                <w:spacing w:val="-8"/>
                <w:sz w:val="24"/>
                <w:szCs w:val="24"/>
              </w:rPr>
              <w:t>问卷调查、人员问询</w:t>
            </w:r>
          </w:p>
        </w:tc>
      </w:tr>
      <w:tr>
        <w:tblPrEx>
          <w:tblW w:w="0" w:type="auto"/>
          <w:tblInd w:w="0" w:type="dxa"/>
          <w:tblCellMar>
            <w:top w:w="0" w:type="dxa"/>
            <w:left w:w="108" w:type="dxa"/>
            <w:bottom w:w="0" w:type="dxa"/>
            <w:right w:w="108" w:type="dxa"/>
          </w:tblCellMar>
        </w:tblPrEx>
        <w:tc>
          <w:tcPr>
            <w:tcW w:w="1674" w:type="dxa"/>
            <w:shd w:val="clear" w:color="auto" w:fill="auto"/>
          </w:tcPr>
          <w:p>
            <w:pPr>
              <w:spacing w:before="247" w:line="221" w:lineRule="auto"/>
              <w:ind w:left="119" w:leftChars="0"/>
              <w:rPr>
                <w:rFonts w:ascii="宋体" w:eastAsia="宋体" w:hAnsi="宋体" w:cs="宋体"/>
                <w:kern w:val="2"/>
                <w:sz w:val="24"/>
                <w:szCs w:val="24"/>
                <w:lang w:val="en-US" w:eastAsia="zh-CN" w:bidi="ar-SA"/>
              </w:rPr>
            </w:pPr>
            <w:r>
              <w:rPr>
                <w:rFonts w:ascii="宋体" w:eastAsia="宋体" w:hAnsi="宋体" w:cs="宋体"/>
                <w:spacing w:val="-5"/>
                <w:sz w:val="24"/>
                <w:szCs w:val="24"/>
              </w:rPr>
              <w:t>参与人员</w:t>
            </w:r>
          </w:p>
        </w:tc>
        <w:tc>
          <w:tcPr>
            <w:tcW w:w="6848" w:type="dxa"/>
            <w:shd w:val="clear" w:color="auto" w:fill="auto"/>
          </w:tcPr>
          <w:p>
            <w:pPr>
              <w:spacing w:before="247" w:line="218" w:lineRule="auto"/>
              <w:ind w:left="113" w:leftChars="0"/>
              <w:rPr>
                <w:rFonts w:ascii="宋体" w:eastAsia="宋体" w:hAnsi="宋体" w:cs="宋体"/>
                <w:kern w:val="2"/>
                <w:sz w:val="24"/>
                <w:szCs w:val="24"/>
                <w:lang w:val="en-US" w:eastAsia="zh-CN" w:bidi="ar-SA"/>
              </w:rPr>
            </w:pPr>
            <w:r>
              <w:rPr>
                <w:rFonts w:ascii="宋体" w:eastAsia="宋体" w:hAnsi="宋体" w:cs="宋体"/>
                <w:spacing w:val="-5"/>
                <w:sz w:val="24"/>
                <w:szCs w:val="24"/>
              </w:rPr>
              <w:t>信息系统所有者项目负责人及相关技术人员，评估小组</w:t>
            </w:r>
          </w:p>
        </w:tc>
      </w:tr>
      <w:tr>
        <w:tblPrEx>
          <w:tblW w:w="0" w:type="auto"/>
          <w:tblInd w:w="0" w:type="dxa"/>
          <w:tblCellMar>
            <w:top w:w="0" w:type="dxa"/>
            <w:left w:w="108" w:type="dxa"/>
            <w:bottom w:w="0" w:type="dxa"/>
            <w:right w:w="108" w:type="dxa"/>
          </w:tblCellMar>
        </w:tblPrEx>
        <w:tc>
          <w:tcPr>
            <w:tcW w:w="0" w:type="auto"/>
            <w:shd w:val="clear" w:color="auto" w:fill="auto"/>
          </w:tcPr>
          <w:p>
            <w:pPr>
              <w:spacing w:before="243" w:line="220" w:lineRule="auto"/>
              <w:ind w:left="128" w:leftChars="0"/>
              <w:rPr>
                <w:rFonts w:ascii="宋体" w:eastAsia="宋体" w:hAnsi="宋体" w:cs="宋体"/>
                <w:kern w:val="2"/>
                <w:sz w:val="24"/>
                <w:szCs w:val="24"/>
                <w:lang w:val="en-US" w:eastAsia="zh-CN" w:bidi="ar-SA"/>
              </w:rPr>
            </w:pPr>
            <w:r>
              <w:rPr>
                <w:rFonts w:ascii="宋体" w:eastAsia="宋体" w:hAnsi="宋体" w:cs="宋体"/>
                <w:spacing w:val="-7"/>
                <w:sz w:val="24"/>
                <w:szCs w:val="24"/>
              </w:rPr>
              <w:t>阶段成果</w:t>
            </w:r>
          </w:p>
        </w:tc>
        <w:tc>
          <w:tcPr>
            <w:tcW w:w="0" w:type="auto"/>
            <w:shd w:val="clear" w:color="auto" w:fill="auto"/>
          </w:tcPr>
          <w:p>
            <w:pPr>
              <w:spacing w:before="244" w:line="219" w:lineRule="auto"/>
              <w:ind w:left="119" w:leftChars="0"/>
              <w:rPr>
                <w:rFonts w:ascii="宋体" w:eastAsia="宋体" w:hAnsi="宋体" w:cs="宋体"/>
                <w:kern w:val="2"/>
                <w:sz w:val="24"/>
                <w:szCs w:val="24"/>
                <w:lang w:val="en-US" w:eastAsia="zh-CN" w:bidi="ar-SA"/>
              </w:rPr>
            </w:pPr>
            <w:r>
              <w:rPr>
                <w:rFonts w:ascii="宋体" w:eastAsia="宋体" w:hAnsi="宋体" w:cs="宋体"/>
                <w:spacing w:val="-19"/>
                <w:sz w:val="24"/>
                <w:szCs w:val="24"/>
              </w:rPr>
              <w:t>《资产识别清单》、《重要资产清单》</w:t>
            </w:r>
          </w:p>
        </w:tc>
      </w:tr>
    </w:tbl>
    <w:p>
      <w:pPr>
        <w:pStyle w:val="Heading3"/>
        <w:bidi w:val="0"/>
        <w:rPr>
          <w:rFonts w:hint="default"/>
          <w:lang w:val="en-US" w:eastAsia="zh-CN"/>
        </w:rPr>
      </w:pPr>
      <w:bookmarkStart w:id="12" w:name="_Toc7743"/>
      <w:r>
        <w:rPr>
          <w:rFonts w:hint="default"/>
          <w:lang w:val="en-US" w:eastAsia="zh-CN"/>
        </w:rPr>
        <w:t>3.4.3 威胁识别</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安全威胁是一种对组织及其资产构成潜在破坏的可能性因素或者事件。无论对于多么安全的信息系统，安全威胁是一个客观存在的事物，它是风险评估的重要因素之一。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产生安全威胁的主要因素可以分为人为因素和环境因素。人为因素又可区分为恶意和非恶意两种。环境因素包括自然界的不可抗的因素和其它物理因素。威胁作用形式可以是对信息系统直接或间接的攻击，例如非授权的泄露、篡改、删除等，在机密性、完整性或可用性等方面造成损害。也可能是偶发的、或蓄意的事件。一般来说，威胁总是要利用网络、系统、应用或数据的弱点才可能成功地对资产造成伤害。安全事件及其后果是分析威胁的重要依据。但是有相当一部分威胁发生时，由于未能造成后果，或者没有意识到，而被安全管理人员忽略。这将导致对安全威胁的认识出现偏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威胁识别过程中，本公司信息安全管理委员会通过问卷调查、人员问询的方式对信息系统所有者需要保护的每一项关键资产进行威胁识别，并根据资产所处的环境条件和资产以前遭受威胁损害的情况来判断威胁的程度。一项资产可能面临着多个威胁，同样一个威胁可能对不同的资产造成影响。</w:t>
      </w:r>
    </w:p>
    <w:p>
      <w:pPr>
        <w:pStyle w:val="Heading4"/>
        <w:bidi w:val="0"/>
        <w:rPr>
          <w:rFonts w:hint="default"/>
          <w:lang w:val="en-US" w:eastAsia="zh-CN"/>
        </w:rPr>
      </w:pPr>
      <w:r>
        <w:rPr>
          <w:rFonts w:hint="default"/>
          <w:lang w:val="en-US" w:eastAsia="zh-CN"/>
        </w:rPr>
        <w:t>3.4.3.1威胁分类</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分析存在哪些威胁种类，首先要考虑威胁的来源，信息系统的安全威胁来源可参</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考如下表。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21"/>
        <w:gridCol w:w="1560"/>
        <w:gridCol w:w="53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181" w:type="dxa"/>
            <w:gridSpan w:val="2"/>
          </w:tcPr>
          <w:p>
            <w:pPr>
              <w:spacing w:before="242" w:line="219" w:lineRule="auto"/>
              <w:ind w:left="112" w:leftChars="0"/>
              <w:rPr>
                <w:rFonts w:ascii="宋体" w:eastAsia="宋体" w:hAnsi="宋体" w:cs="宋体" w:hint="default"/>
                <w:kern w:val="2"/>
                <w:sz w:val="24"/>
                <w:szCs w:val="24"/>
                <w:lang w:val="en-US" w:eastAsia="zh-CN" w:bidi="ar-SA"/>
              </w:rPr>
            </w:pPr>
            <w:r>
              <w:rPr>
                <w:rFonts w:ascii="宋体" w:eastAsia="宋体" w:hAnsi="宋体" w:cs="宋体"/>
                <w:spacing w:val="-4"/>
                <w:sz w:val="24"/>
                <w:szCs w:val="24"/>
              </w:rPr>
              <w:t>威胁来源</w:t>
            </w:r>
          </w:p>
        </w:tc>
        <w:tc>
          <w:tcPr>
            <w:tcW w:w="5341" w:type="dxa"/>
            <w:shd w:val="clear" w:color="auto" w:fill="auto"/>
          </w:tcPr>
          <w:p>
            <w:pPr>
              <w:spacing w:before="242" w:line="219"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威胁来源描述</w:t>
            </w:r>
          </w:p>
        </w:tc>
      </w:tr>
      <w:tr>
        <w:tblPrEx>
          <w:tblW w:w="0" w:type="auto"/>
          <w:tblInd w:w="0" w:type="dxa"/>
          <w:tblLayout w:type="fixed"/>
          <w:tblCellMar>
            <w:top w:w="0" w:type="dxa"/>
            <w:left w:w="108" w:type="dxa"/>
            <w:bottom w:w="0" w:type="dxa"/>
            <w:right w:w="108" w:type="dxa"/>
          </w:tblCellMar>
        </w:tblPrEx>
        <w:tc>
          <w:tcPr>
            <w:tcW w:w="3181" w:type="dxa"/>
            <w:gridSpan w:val="2"/>
          </w:tcPr>
          <w:p>
            <w:pPr>
              <w:pStyle w:val="TableText"/>
              <w:spacing w:line="294" w:lineRule="auto"/>
            </w:pPr>
          </w:p>
          <w:p>
            <w:pPr>
              <w:spacing w:before="78" w:line="219"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环境因素</w:t>
            </w:r>
          </w:p>
        </w:tc>
        <w:tc>
          <w:tcPr>
            <w:tcW w:w="5341" w:type="dxa"/>
            <w:shd w:val="clear" w:color="auto" w:fill="auto"/>
          </w:tcPr>
          <w:p>
            <w:pPr>
              <w:spacing w:before="238" w:line="219" w:lineRule="auto"/>
              <w:jc w:val="left"/>
              <w:rPr>
                <w:rFonts w:ascii="宋体" w:eastAsia="宋体" w:hAnsi="宋体" w:cs="宋体" w:hint="default"/>
                <w:kern w:val="2"/>
                <w:sz w:val="24"/>
                <w:szCs w:val="24"/>
                <w:lang w:val="en-US" w:eastAsia="zh-CN" w:bidi="ar-SA"/>
              </w:rPr>
            </w:pPr>
            <w:r>
              <w:rPr>
                <w:rFonts w:ascii="宋体" w:eastAsia="宋体" w:hAnsi="宋体" w:cs="宋体"/>
                <w:spacing w:val="-8"/>
                <w:sz w:val="24"/>
                <w:szCs w:val="24"/>
              </w:rPr>
              <w:t>由于断电、静电、灰尘、潮湿、温度、鼠蚁虫害、电磁干扰、洪灾、</w:t>
            </w:r>
            <w:r>
              <w:rPr>
                <w:rFonts w:ascii="宋体" w:eastAsia="宋体" w:hAnsi="宋体" w:cs="宋体"/>
                <w:spacing w:val="-2"/>
                <w:sz w:val="24"/>
                <w:szCs w:val="24"/>
              </w:rPr>
              <w:t>火灾、地震等环境条件和自然灾害；意外事故或由于软件、硬件、</w:t>
            </w:r>
            <w:r>
              <w:rPr>
                <w:rFonts w:ascii="宋体" w:eastAsia="宋体" w:hAnsi="宋体" w:cs="宋体"/>
                <w:spacing w:val="-5"/>
                <w:sz w:val="24"/>
                <w:szCs w:val="24"/>
              </w:rPr>
              <w:t>数据、通讯线路方面的故障</w:t>
            </w:r>
          </w:p>
        </w:tc>
      </w:tr>
      <w:tr>
        <w:tblPrEx>
          <w:tblW w:w="0" w:type="auto"/>
          <w:tblInd w:w="0" w:type="dxa"/>
          <w:tblLayout w:type="fixed"/>
          <w:tblCellMar>
            <w:top w:w="0" w:type="dxa"/>
            <w:left w:w="108" w:type="dxa"/>
            <w:bottom w:w="0" w:type="dxa"/>
            <w:right w:w="108" w:type="dxa"/>
          </w:tblCellMar>
        </w:tblPrEx>
        <w:tc>
          <w:tcPr>
            <w:tcW w:w="1621" w:type="dxa"/>
            <w:vMerge w:val="restart"/>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r>
              <w:rPr>
                <w:rFonts w:ascii="宋体" w:eastAsia="宋体" w:hAnsi="宋体" w:cs="宋体"/>
                <w:spacing w:val="-5"/>
                <w:sz w:val="24"/>
                <w:szCs w:val="24"/>
              </w:rPr>
              <w:t>人为因素</w:t>
            </w:r>
          </w:p>
        </w:tc>
        <w:tc>
          <w:tcPr>
            <w:tcW w:w="1560" w:type="dxa"/>
            <w:shd w:val="clear" w:color="auto" w:fill="auto"/>
          </w:tcPr>
          <w:p>
            <w:pPr>
              <w:pStyle w:val="TableText"/>
              <w:spacing w:line="248" w:lineRule="auto"/>
            </w:pPr>
          </w:p>
          <w:p>
            <w:pPr>
              <w:pStyle w:val="TableText"/>
              <w:spacing w:line="248" w:lineRule="auto"/>
            </w:pPr>
          </w:p>
          <w:p>
            <w:pPr>
              <w:pStyle w:val="TableText"/>
              <w:spacing w:line="248" w:lineRule="auto"/>
            </w:pPr>
          </w:p>
          <w:p>
            <w:pPr>
              <w:pStyle w:val="TableText"/>
              <w:spacing w:line="248" w:lineRule="auto"/>
            </w:pPr>
          </w:p>
          <w:p>
            <w:pPr>
              <w:pStyle w:val="TableText"/>
              <w:spacing w:line="249" w:lineRule="auto"/>
            </w:pPr>
          </w:p>
          <w:p>
            <w:pPr>
              <w:spacing w:before="78" w:line="221"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恶意人员</w:t>
            </w:r>
          </w:p>
        </w:tc>
        <w:tc>
          <w:tcPr>
            <w:tcW w:w="5341" w:type="dxa"/>
            <w:shd w:val="clear" w:color="auto" w:fill="auto"/>
          </w:tcPr>
          <w:p>
            <w:pPr>
              <w:spacing w:before="242" w:line="219" w:lineRule="auto"/>
              <w:ind w:left="118"/>
              <w:rPr>
                <w:rFonts w:ascii="宋体" w:eastAsia="宋体" w:hAnsi="宋体" w:cs="宋体" w:hint="default"/>
                <w:kern w:val="2"/>
                <w:sz w:val="24"/>
                <w:szCs w:val="24"/>
                <w:lang w:val="en-US" w:eastAsia="zh-CN" w:bidi="ar-SA"/>
              </w:rPr>
            </w:pPr>
            <w:r>
              <w:rPr>
                <w:rFonts w:ascii="宋体" w:eastAsia="宋体" w:hAnsi="宋体" w:cs="宋体"/>
                <w:spacing w:val="-2"/>
                <w:sz w:val="24"/>
                <w:szCs w:val="24"/>
              </w:rPr>
              <w:t>不满的或有预谋的内部人员对信息系统进行恶意破坏；采用自主的</w:t>
            </w:r>
            <w:r>
              <w:rPr>
                <w:rFonts w:ascii="宋体" w:eastAsia="宋体" w:hAnsi="宋体" w:cs="宋体"/>
                <w:spacing w:val="-5"/>
                <w:sz w:val="24"/>
                <w:szCs w:val="24"/>
              </w:rPr>
              <w:t>或内外勾结的方式盗窃机密信息或进行篡改，获取利益。</w:t>
            </w:r>
            <w:r>
              <w:rPr>
                <w:rFonts w:ascii="宋体" w:eastAsia="宋体" w:hAnsi="宋体" w:cs="宋体"/>
                <w:spacing w:val="-2"/>
                <w:sz w:val="24"/>
                <w:szCs w:val="24"/>
              </w:rPr>
              <w:t>外部人员利用信息系统的脆弱性，对网络或系统的机密性、完整性</w:t>
            </w:r>
            <w:r>
              <w:rPr>
                <w:rFonts w:ascii="宋体" w:eastAsia="宋体" w:hAnsi="宋体" w:cs="宋体"/>
                <w:spacing w:val="-5"/>
                <w:sz w:val="24"/>
                <w:szCs w:val="24"/>
              </w:rPr>
              <w:t>和可用性进行破坏，以获取利益或炫耀能力。</w:t>
            </w:r>
          </w:p>
        </w:tc>
      </w:tr>
      <w:tr>
        <w:tblPrEx>
          <w:tblW w:w="0" w:type="auto"/>
          <w:tblInd w:w="0" w:type="dxa"/>
          <w:tblLayout w:type="fixed"/>
          <w:tblCellMar>
            <w:top w:w="0" w:type="dxa"/>
            <w:left w:w="108" w:type="dxa"/>
            <w:bottom w:w="0" w:type="dxa"/>
            <w:right w:w="108" w:type="dxa"/>
          </w:tblCellMar>
        </w:tblPrEx>
        <w:tc>
          <w:tcPr>
            <w:tcW w:w="1621" w:type="dxa"/>
            <w:vMerge/>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p>
        </w:tc>
        <w:tc>
          <w:tcPr>
            <w:tcW w:w="1560" w:type="dxa"/>
            <w:shd w:val="clear" w:color="auto" w:fill="auto"/>
          </w:tcPr>
          <w:p>
            <w:pPr>
              <w:pStyle w:val="TableText"/>
              <w:spacing w:line="294" w:lineRule="auto"/>
            </w:pPr>
          </w:p>
          <w:p>
            <w:pPr>
              <w:pStyle w:val="TableText"/>
              <w:spacing w:line="294" w:lineRule="auto"/>
            </w:pPr>
          </w:p>
          <w:p>
            <w:pPr>
              <w:pStyle w:val="TableText"/>
              <w:spacing w:line="295" w:lineRule="auto"/>
            </w:pPr>
          </w:p>
          <w:p>
            <w:pPr>
              <w:spacing w:before="78" w:line="220" w:lineRule="auto"/>
              <w:ind w:left="116"/>
              <w:rPr>
                <w:rFonts w:ascii="宋体" w:eastAsia="宋体" w:hAnsi="宋体" w:cs="宋体"/>
                <w:spacing w:val="31"/>
                <w:sz w:val="24"/>
                <w:szCs w:val="24"/>
              </w:rPr>
            </w:pPr>
            <w:r>
              <w:rPr>
                <w:rFonts w:ascii="宋体" w:eastAsia="宋体" w:hAnsi="宋体" w:cs="宋体"/>
                <w:spacing w:val="31"/>
                <w:sz w:val="24"/>
                <w:szCs w:val="24"/>
              </w:rPr>
              <w:t>非恶意</w:t>
            </w:r>
          </w:p>
          <w:p>
            <w:pPr>
              <w:spacing w:before="78" w:line="220" w:lineRule="auto"/>
              <w:ind w:left="116"/>
              <w:rPr>
                <w:rFonts w:ascii="宋体" w:eastAsia="宋体" w:hAnsi="宋体" w:cs="宋体"/>
                <w:kern w:val="2"/>
                <w:sz w:val="24"/>
                <w:szCs w:val="24"/>
                <w:lang w:val="en-US" w:eastAsia="zh-CN" w:bidi="ar-SA"/>
              </w:rPr>
            </w:pPr>
            <w:r>
              <w:rPr>
                <w:rFonts w:ascii="宋体" w:eastAsia="宋体" w:hAnsi="宋体" w:cs="宋体"/>
                <w:spacing w:val="31"/>
                <w:sz w:val="24"/>
                <w:szCs w:val="24"/>
              </w:rPr>
              <w:t>人</w:t>
            </w:r>
            <w:r>
              <w:rPr>
                <w:rFonts w:ascii="宋体" w:eastAsia="宋体" w:hAnsi="宋体" w:cs="宋体"/>
                <w:sz w:val="24"/>
                <w:szCs w:val="24"/>
              </w:rPr>
              <w:t>员</w:t>
            </w:r>
          </w:p>
        </w:tc>
        <w:tc>
          <w:tcPr>
            <w:tcW w:w="5341" w:type="dxa"/>
            <w:shd w:val="clear" w:color="auto" w:fill="auto"/>
          </w:tcPr>
          <w:p>
            <w:pPr>
              <w:spacing w:before="244" w:line="219" w:lineRule="auto"/>
              <w:ind w:left="143"/>
            </w:pPr>
            <w:r>
              <w:rPr>
                <w:rFonts w:ascii="宋体" w:eastAsia="宋体" w:hAnsi="宋体" w:cs="宋体"/>
                <w:spacing w:val="-3"/>
                <w:sz w:val="24"/>
                <w:szCs w:val="24"/>
              </w:rPr>
              <w:t>内部人员由于缺乏责任心，或者由于不关心和不专注，或者没有遵</w:t>
            </w:r>
          </w:p>
          <w:p>
            <w:pPr>
              <w:spacing w:before="78" w:line="219" w:lineRule="auto"/>
              <w:ind w:left="114"/>
            </w:pPr>
            <w:r>
              <w:rPr>
                <w:rFonts w:ascii="宋体" w:eastAsia="宋体" w:hAnsi="宋体" w:cs="宋体"/>
                <w:spacing w:val="-2"/>
                <w:sz w:val="24"/>
                <w:szCs w:val="24"/>
              </w:rPr>
              <w:t>循规章制度和操作流程而导致故障或被攻击；内部人员由于缺乏培</w:t>
            </w:r>
          </w:p>
          <w:p>
            <w:pPr>
              <w:spacing w:before="78" w:line="216" w:lineRule="auto"/>
              <w:ind w:left="117"/>
              <w:rPr>
                <w:rFonts w:ascii="宋体" w:eastAsia="宋体" w:hAnsi="宋体" w:cs="宋体"/>
                <w:kern w:val="2"/>
                <w:sz w:val="24"/>
                <w:szCs w:val="24"/>
                <w:lang w:val="en-US" w:eastAsia="zh-CN" w:bidi="ar-SA"/>
              </w:rPr>
            </w:pPr>
            <w:r>
              <w:rPr>
                <w:rFonts w:ascii="宋体" w:eastAsia="宋体" w:hAnsi="宋体" w:cs="宋体"/>
                <w:spacing w:val="-6"/>
                <w:sz w:val="24"/>
                <w:szCs w:val="24"/>
              </w:rPr>
              <w:t>训，专业技能不足,不具备岗位技能要求而导致信息系统故障或被攻</w:t>
            </w:r>
            <w:r>
              <w:rPr>
                <w:rFonts w:ascii="宋体" w:eastAsia="宋体" w:hAnsi="宋体" w:cs="宋体"/>
                <w:spacing w:val="-5"/>
                <w:sz w:val="24"/>
                <w:szCs w:val="24"/>
              </w:rPr>
              <w:t>击。</w:t>
            </w:r>
          </w:p>
        </w:tc>
      </w:tr>
    </w:tbl>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对安全威胁进行分类的方式有多种多样，针对上表威胁来源，可以将威胁分为以下种类。</w:t>
      </w:r>
    </w:p>
    <w:tbl>
      <w:tblPr>
        <w:tblStyle w:val="TableGrid"/>
        <w:tblW w:w="77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40"/>
        <w:gridCol w:w="2900"/>
        <w:gridCol w:w="3840"/>
      </w:tblGrid>
      <w:tr>
        <w:tblPrEx>
          <w:tblW w:w="77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987" w:type="dxa"/>
            <w:shd w:val="clear" w:color="auto" w:fill="auto"/>
          </w:tcPr>
          <w:p>
            <w:pPr>
              <w:spacing w:before="246" w:line="219" w:lineRule="auto"/>
              <w:ind w:left="115" w:leftChars="0"/>
              <w:rPr>
                <w:rFonts w:ascii="宋体" w:eastAsia="宋体" w:hAnsi="宋体" w:cs="宋体" w:hint="default"/>
                <w:kern w:val="2"/>
                <w:sz w:val="24"/>
                <w:szCs w:val="24"/>
                <w:lang w:val="en-US" w:eastAsia="zh-CN" w:bidi="ar-SA"/>
              </w:rPr>
            </w:pPr>
            <w:r>
              <w:rPr>
                <w:rFonts w:ascii="宋体" w:eastAsia="宋体" w:hAnsi="宋体" w:cs="宋体"/>
                <w:spacing w:val="-4"/>
                <w:sz w:val="24"/>
                <w:szCs w:val="24"/>
              </w:rPr>
              <w:t>威胁种类</w:t>
            </w:r>
          </w:p>
        </w:tc>
        <w:tc>
          <w:tcPr>
            <w:tcW w:w="1819" w:type="dxa"/>
            <w:shd w:val="clear" w:color="auto" w:fill="auto"/>
          </w:tcPr>
          <w:p>
            <w:pPr>
              <w:spacing w:before="246" w:line="221"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4"/>
                <w:sz w:val="24"/>
                <w:szCs w:val="24"/>
              </w:rPr>
              <w:t>威胁描述</w:t>
            </w:r>
          </w:p>
        </w:tc>
        <w:tc>
          <w:tcPr>
            <w:tcW w:w="3974" w:type="dxa"/>
            <w:shd w:val="clear" w:color="auto" w:fill="auto"/>
          </w:tcPr>
          <w:p>
            <w:pPr>
              <w:spacing w:before="246" w:line="219" w:lineRule="auto"/>
              <w:ind w:left="114" w:leftChars="0"/>
              <w:rPr>
                <w:rFonts w:ascii="宋体" w:eastAsia="宋体" w:hAnsi="宋体" w:cs="宋体" w:hint="default"/>
                <w:kern w:val="2"/>
                <w:sz w:val="24"/>
                <w:szCs w:val="24"/>
                <w:lang w:val="en-US" w:eastAsia="zh-CN" w:bidi="ar-SA"/>
              </w:rPr>
            </w:pPr>
            <w:r>
              <w:rPr>
                <w:rFonts w:ascii="宋体" w:eastAsia="宋体" w:hAnsi="宋体" w:cs="宋体"/>
                <w:spacing w:val="-4"/>
                <w:sz w:val="24"/>
                <w:szCs w:val="24"/>
              </w:rPr>
              <w:t>威胁子类</w:t>
            </w:r>
          </w:p>
        </w:tc>
      </w:tr>
      <w:tr>
        <w:tblPrEx>
          <w:tblW w:w="7780" w:type="dxa"/>
          <w:tblInd w:w="0" w:type="dxa"/>
          <w:tblCellMar>
            <w:top w:w="0" w:type="dxa"/>
            <w:left w:w="108" w:type="dxa"/>
            <w:bottom w:w="0" w:type="dxa"/>
            <w:right w:w="108" w:type="dxa"/>
          </w:tblCellMar>
        </w:tblPrEx>
        <w:tc>
          <w:tcPr>
            <w:tcW w:w="1987" w:type="dxa"/>
            <w:shd w:val="clear" w:color="auto" w:fill="auto"/>
          </w:tcPr>
          <w:p>
            <w:pPr>
              <w:spacing w:before="245" w:line="219"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软硬件故障</w:t>
            </w:r>
          </w:p>
        </w:tc>
        <w:tc>
          <w:tcPr>
            <w:tcW w:w="1819" w:type="dxa"/>
            <w:shd w:val="clear" w:color="auto" w:fill="auto"/>
          </w:tcPr>
          <w:p>
            <w:pPr>
              <w:spacing w:before="247" w:line="219" w:lineRule="auto"/>
              <w:ind w:left="119"/>
              <w:rPr>
                <w:rFonts w:ascii="宋体" w:eastAsia="宋体" w:hAnsi="宋体" w:cs="宋体" w:hint="default"/>
                <w:kern w:val="2"/>
                <w:sz w:val="24"/>
                <w:szCs w:val="24"/>
                <w:lang w:val="en-US" w:eastAsia="zh-CN" w:bidi="ar-SA"/>
              </w:rPr>
            </w:pPr>
            <w:r>
              <w:rPr>
                <w:rFonts w:ascii="宋体" w:eastAsia="宋体" w:hAnsi="宋体" w:cs="宋体"/>
                <w:spacing w:val="-7"/>
                <w:sz w:val="24"/>
                <w:szCs w:val="24"/>
              </w:rPr>
              <w:t>由于设备硬件故障、通讯链路中断、</w:t>
            </w:r>
            <w:r>
              <w:rPr>
                <w:rFonts w:ascii="宋体" w:eastAsia="宋体" w:hAnsi="宋体" w:cs="宋体"/>
                <w:spacing w:val="10"/>
                <w:sz w:val="24"/>
                <w:szCs w:val="24"/>
              </w:rPr>
              <w:t>系统本身或软件缺陷造成对业务实</w:t>
            </w:r>
            <w:r>
              <w:rPr>
                <w:rFonts w:ascii="宋体" w:eastAsia="宋体" w:hAnsi="宋体" w:cs="宋体"/>
                <w:spacing w:val="-5"/>
                <w:sz w:val="24"/>
                <w:szCs w:val="24"/>
              </w:rPr>
              <w:t>施、系统稳定运行的影响。</w:t>
            </w:r>
          </w:p>
        </w:tc>
        <w:tc>
          <w:tcPr>
            <w:tcW w:w="3974" w:type="dxa"/>
            <w:shd w:val="clear" w:color="auto" w:fill="auto"/>
          </w:tcPr>
          <w:p>
            <w:pPr>
              <w:spacing w:before="247" w:line="219" w:lineRule="auto"/>
              <w:ind w:left="115"/>
              <w:rPr>
                <w:rFonts w:ascii="宋体" w:eastAsia="宋体" w:hAnsi="宋体" w:cs="宋体" w:hint="default"/>
                <w:kern w:val="2"/>
                <w:sz w:val="24"/>
                <w:szCs w:val="24"/>
                <w:lang w:val="en-US" w:eastAsia="zh-CN" w:bidi="ar-SA"/>
              </w:rPr>
            </w:pPr>
            <w:r>
              <w:rPr>
                <w:rFonts w:ascii="宋体" w:eastAsia="宋体" w:hAnsi="宋体" w:cs="宋体"/>
                <w:spacing w:val="-3"/>
                <w:sz w:val="24"/>
                <w:szCs w:val="24"/>
              </w:rPr>
              <w:t>设备硬件故障、传输设备故障、存储媒体故障、系统软件故障、应用软件故障、数据库软件故障、开发环境故</w:t>
            </w:r>
            <w:r>
              <w:rPr>
                <w:rFonts w:ascii="宋体" w:eastAsia="宋体" w:hAnsi="宋体" w:cs="宋体"/>
                <w:spacing w:val="-11"/>
                <w:sz w:val="24"/>
                <w:szCs w:val="24"/>
              </w:rPr>
              <w:t>障。</w:t>
            </w:r>
          </w:p>
        </w:tc>
      </w:tr>
      <w:tr>
        <w:tblPrEx>
          <w:tblW w:w="7780" w:type="dxa"/>
          <w:tblInd w:w="0" w:type="dxa"/>
          <w:tblCellMar>
            <w:top w:w="0" w:type="dxa"/>
            <w:left w:w="108" w:type="dxa"/>
            <w:bottom w:w="0" w:type="dxa"/>
            <w:right w:w="108" w:type="dxa"/>
          </w:tblCellMar>
        </w:tblPrEx>
        <w:tc>
          <w:tcPr>
            <w:tcW w:w="1987" w:type="dxa"/>
            <w:shd w:val="clear" w:color="auto" w:fill="auto"/>
          </w:tcPr>
          <w:p>
            <w:pPr>
              <w:spacing w:before="78" w:line="220"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物理环境影响</w:t>
            </w:r>
          </w:p>
        </w:tc>
        <w:tc>
          <w:tcPr>
            <w:tcW w:w="1819" w:type="dxa"/>
            <w:shd w:val="clear" w:color="auto" w:fill="auto"/>
          </w:tcPr>
          <w:p>
            <w:pPr>
              <w:spacing w:before="243" w:line="219" w:lineRule="auto"/>
              <w:rPr>
                <w:rFonts w:ascii="宋体" w:eastAsia="宋体" w:hAnsi="宋体" w:cs="宋体" w:hint="default"/>
                <w:kern w:val="2"/>
                <w:sz w:val="24"/>
                <w:szCs w:val="24"/>
                <w:lang w:val="en-US" w:eastAsia="zh-CN" w:bidi="ar-SA"/>
              </w:rPr>
            </w:pPr>
            <w:r>
              <w:rPr>
                <w:rFonts w:ascii="宋体" w:eastAsia="宋体" w:hAnsi="宋体" w:cs="宋体"/>
                <w:spacing w:val="-3"/>
                <w:sz w:val="24"/>
                <w:szCs w:val="24"/>
              </w:rPr>
              <w:t>断电、静电、灰尘、潮湿、温度、鼠</w:t>
            </w:r>
            <w:r>
              <w:rPr>
                <w:rFonts w:ascii="宋体" w:eastAsia="宋体" w:hAnsi="宋体" w:cs="宋体"/>
                <w:spacing w:val="-5"/>
                <w:sz w:val="24"/>
                <w:szCs w:val="24"/>
              </w:rPr>
              <w:t>蚁虫害、电磁干扰、洪灾、火灾、地震等环境问题或自然灾害</w:t>
            </w:r>
          </w:p>
        </w:tc>
        <w:tc>
          <w:tcPr>
            <w:tcW w:w="3974" w:type="dxa"/>
            <w:shd w:val="clear" w:color="auto" w:fill="auto"/>
          </w:tcPr>
          <w:p>
            <w:pPr>
              <w:pStyle w:val="TableText"/>
              <w:rPr>
                <w:rFonts w:ascii="Arial" w:eastAsia="Arial" w:hAnsi="Arial" w:cs="Arial" w:hint="default"/>
                <w:kern w:val="2"/>
                <w:sz w:val="21"/>
                <w:szCs w:val="21"/>
                <w:lang w:val="en-US" w:eastAsia="zh-CN" w:bidi="ar-SA"/>
              </w:rPr>
            </w:pPr>
          </w:p>
        </w:tc>
      </w:tr>
      <w:tr>
        <w:tblPrEx>
          <w:tblW w:w="7780" w:type="dxa"/>
          <w:tblInd w:w="0" w:type="dxa"/>
          <w:tblCellMar>
            <w:top w:w="0" w:type="dxa"/>
            <w:left w:w="108" w:type="dxa"/>
            <w:bottom w:w="0" w:type="dxa"/>
            <w:right w:w="108" w:type="dxa"/>
          </w:tblCellMar>
        </w:tblPrEx>
        <w:trPr>
          <w:trHeight w:val="90"/>
        </w:trPr>
        <w:tc>
          <w:tcPr>
            <w:tcW w:w="0" w:type="auto"/>
            <w:shd w:val="clear" w:color="auto" w:fill="auto"/>
          </w:tcPr>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无作为或操作失误</w:t>
            </w:r>
          </w:p>
        </w:tc>
        <w:tc>
          <w:tcPr>
            <w:tcW w:w="1819" w:type="dxa"/>
            <w:shd w:val="clear" w:color="auto" w:fill="auto"/>
          </w:tcPr>
          <w:p>
            <w:pPr>
              <w:spacing w:before="243" w:line="219" w:lineRule="auto"/>
              <w:ind w:left="143"/>
              <w:rPr>
                <w:rFonts w:ascii="宋体" w:eastAsia="宋体" w:hAnsi="宋体" w:cs="宋体" w:hint="default"/>
                <w:kern w:val="2"/>
                <w:sz w:val="24"/>
                <w:szCs w:val="24"/>
                <w:lang w:val="en-US" w:eastAsia="zh-CN" w:bidi="ar-SA"/>
              </w:rPr>
            </w:pPr>
            <w:r>
              <w:rPr>
                <w:rFonts w:ascii="宋体" w:eastAsia="宋体" w:hAnsi="宋体" w:cs="宋体"/>
                <w:spacing w:val="9"/>
                <w:sz w:val="24"/>
                <w:szCs w:val="24"/>
              </w:rPr>
              <w:t>由于应该执行而没有执行相应的操</w:t>
            </w:r>
            <w:r>
              <w:rPr>
                <w:rFonts w:ascii="宋体" w:eastAsia="宋体" w:hAnsi="宋体" w:cs="宋体"/>
                <w:spacing w:val="-5"/>
                <w:sz w:val="24"/>
                <w:szCs w:val="24"/>
              </w:rPr>
              <w:t>作，或无意地执行了错误的操作，对系统造成的影响。</w:t>
            </w:r>
          </w:p>
        </w:tc>
        <w:tc>
          <w:tcPr>
            <w:tcW w:w="3974" w:type="dxa"/>
            <w:shd w:val="clear" w:color="auto" w:fill="auto"/>
          </w:tcPr>
          <w:p>
            <w:pPr>
              <w:spacing w:before="243" w:line="219"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维护错误、操作失误</w:t>
            </w:r>
          </w:p>
        </w:tc>
      </w:tr>
      <w:tr>
        <w:tblPrEx>
          <w:tblW w:w="7780" w:type="dxa"/>
          <w:tblInd w:w="0" w:type="dxa"/>
          <w:tblCellMar>
            <w:top w:w="0" w:type="dxa"/>
            <w:left w:w="108" w:type="dxa"/>
            <w:bottom w:w="0" w:type="dxa"/>
            <w:right w:w="108" w:type="dxa"/>
          </w:tblCellMar>
        </w:tblPrEx>
        <w:tc>
          <w:tcPr>
            <w:tcW w:w="0" w:type="auto"/>
            <w:shd w:val="clear" w:color="auto" w:fill="auto"/>
          </w:tcPr>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6"/>
                <w:sz w:val="24"/>
                <w:szCs w:val="24"/>
              </w:rPr>
              <w:t>管理不到位</w:t>
            </w:r>
          </w:p>
        </w:tc>
        <w:tc>
          <w:tcPr>
            <w:tcW w:w="1819" w:type="dxa"/>
            <w:shd w:val="clear" w:color="auto" w:fill="auto"/>
          </w:tcPr>
          <w:p>
            <w:pPr>
              <w:spacing w:before="244" w:line="219" w:lineRule="auto"/>
              <w:ind w:left="119"/>
              <w:rPr>
                <w:rFonts w:ascii="宋体" w:eastAsia="宋体" w:hAnsi="宋体" w:cs="宋体" w:hint="default"/>
                <w:kern w:val="2"/>
                <w:sz w:val="24"/>
                <w:szCs w:val="24"/>
                <w:lang w:val="en-US" w:eastAsia="zh-CN" w:bidi="ar-SA"/>
              </w:rPr>
            </w:pPr>
            <w:r>
              <w:rPr>
                <w:rFonts w:ascii="宋体" w:eastAsia="宋体" w:hAnsi="宋体" w:cs="宋体"/>
                <w:spacing w:val="-5"/>
                <w:sz w:val="24"/>
                <w:szCs w:val="24"/>
              </w:rPr>
              <w:t>安全管理无法落实，不到位，造成安全管理不规范，或者管理混乱，从而破坏信息系统正常有序运行。</w:t>
            </w:r>
          </w:p>
        </w:tc>
        <w:tc>
          <w:tcPr>
            <w:tcW w:w="3974" w:type="dxa"/>
            <w:shd w:val="clear" w:color="auto" w:fill="auto"/>
          </w:tcPr>
          <w:p>
            <w:pPr>
              <w:pStyle w:val="TableText"/>
              <w:rPr>
                <w:rFonts w:ascii="Arial" w:eastAsia="Arial" w:hAnsi="Arial" w:cs="Arial" w:hint="default"/>
                <w:kern w:val="2"/>
                <w:sz w:val="21"/>
                <w:szCs w:val="21"/>
                <w:lang w:val="en-US" w:eastAsia="zh-CN" w:bidi="ar-SA"/>
              </w:rPr>
            </w:pPr>
          </w:p>
        </w:tc>
      </w:tr>
      <w:tr>
        <w:tblPrEx>
          <w:tblW w:w="7780" w:type="dxa"/>
          <w:tblInd w:w="0" w:type="dxa"/>
          <w:tblCellMar>
            <w:top w:w="0" w:type="dxa"/>
            <w:left w:w="108" w:type="dxa"/>
            <w:bottom w:w="0" w:type="dxa"/>
            <w:right w:w="108" w:type="dxa"/>
          </w:tblCellMar>
        </w:tblPrEx>
        <w:trPr>
          <w:trHeight w:val="897"/>
        </w:trPr>
        <w:tc>
          <w:tcPr>
            <w:tcW w:w="0" w:type="auto"/>
            <w:shd w:val="clear" w:color="auto" w:fill="auto"/>
          </w:tcPr>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恶意代码和病毒</w:t>
            </w:r>
          </w:p>
        </w:tc>
        <w:tc>
          <w:tcPr>
            <w:tcW w:w="1819" w:type="dxa"/>
            <w:shd w:val="clear" w:color="auto" w:fill="auto"/>
          </w:tcPr>
          <w:p>
            <w:pPr>
              <w:spacing w:before="245" w:line="219" w:lineRule="auto"/>
              <w:ind w:left="119"/>
              <w:rPr>
                <w:rFonts w:ascii="宋体" w:eastAsia="宋体" w:hAnsi="宋体" w:cs="宋体" w:hint="default"/>
                <w:kern w:val="2"/>
                <w:sz w:val="24"/>
                <w:szCs w:val="24"/>
                <w:lang w:val="en-US" w:eastAsia="zh-CN" w:bidi="ar-SA"/>
              </w:rPr>
            </w:pPr>
            <w:r>
              <w:rPr>
                <w:rFonts w:ascii="宋体" w:eastAsia="宋体" w:hAnsi="宋体" w:cs="宋体"/>
                <w:spacing w:val="-5"/>
                <w:sz w:val="24"/>
                <w:szCs w:val="24"/>
              </w:rPr>
              <w:t>具有自我复制、自我传播能力，对信</w:t>
            </w:r>
            <w:r>
              <w:rPr>
                <w:rFonts w:ascii="宋体" w:eastAsia="宋体" w:hAnsi="宋体" w:cs="宋体"/>
                <w:spacing w:val="-6"/>
                <w:sz w:val="24"/>
                <w:szCs w:val="24"/>
              </w:rPr>
              <w:t>息系统构成破坏的程序代码</w:t>
            </w:r>
          </w:p>
        </w:tc>
        <w:tc>
          <w:tcPr>
            <w:tcW w:w="3974" w:type="dxa"/>
            <w:shd w:val="clear" w:color="auto" w:fill="auto"/>
          </w:tcPr>
          <w:p>
            <w:pPr>
              <w:spacing w:before="246" w:line="219" w:lineRule="auto"/>
              <w:rPr>
                <w:rFonts w:ascii="宋体" w:eastAsia="宋体" w:hAnsi="宋体" w:cs="宋体" w:hint="default"/>
                <w:kern w:val="2"/>
                <w:sz w:val="24"/>
                <w:szCs w:val="24"/>
                <w:lang w:val="en-US" w:eastAsia="zh-CN" w:bidi="ar-SA"/>
              </w:rPr>
            </w:pPr>
            <w:r>
              <w:rPr>
                <w:rFonts w:ascii="宋体" w:eastAsia="宋体" w:hAnsi="宋体" w:cs="宋体"/>
                <w:spacing w:val="-2"/>
                <w:sz w:val="24"/>
                <w:szCs w:val="24"/>
              </w:rPr>
              <w:t>恶意代码、木马后门、网络病毒、间</w:t>
            </w:r>
            <w:r>
              <w:rPr>
                <w:rFonts w:ascii="宋体" w:eastAsia="宋体" w:hAnsi="宋体" w:cs="宋体"/>
                <w:spacing w:val="-5"/>
                <w:sz w:val="24"/>
                <w:szCs w:val="24"/>
              </w:rPr>
              <w:t>谍软件、窃听软件</w:t>
            </w:r>
          </w:p>
        </w:tc>
      </w:tr>
      <w:tr>
        <w:tblPrEx>
          <w:tblW w:w="7780" w:type="dxa"/>
          <w:tblInd w:w="0" w:type="dxa"/>
          <w:tblCellMar>
            <w:top w:w="0" w:type="dxa"/>
            <w:left w:w="108" w:type="dxa"/>
            <w:bottom w:w="0" w:type="dxa"/>
            <w:right w:w="108" w:type="dxa"/>
          </w:tblCellMar>
        </w:tblPrEx>
        <w:tc>
          <w:tcPr>
            <w:tcW w:w="0" w:type="auto"/>
            <w:shd w:val="clear" w:color="auto" w:fill="auto"/>
          </w:tcPr>
          <w:p>
            <w:pPr>
              <w:pStyle w:val="TableText"/>
              <w:spacing w:line="295" w:lineRule="auto"/>
            </w:pPr>
          </w:p>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越权或滥用</w:t>
            </w:r>
          </w:p>
        </w:tc>
        <w:tc>
          <w:tcPr>
            <w:tcW w:w="1819" w:type="dxa"/>
            <w:shd w:val="clear" w:color="auto" w:fill="auto"/>
          </w:tcPr>
          <w:p>
            <w:pPr>
              <w:spacing w:before="245" w:line="219" w:lineRule="auto"/>
              <w:ind w:left="114"/>
              <w:rPr>
                <w:rFonts w:ascii="宋体" w:eastAsia="宋体" w:hAnsi="宋体" w:cs="宋体" w:hint="eastAsia"/>
                <w:kern w:val="2"/>
                <w:sz w:val="24"/>
                <w:szCs w:val="24"/>
                <w:lang w:val="en-US" w:eastAsia="zh-CN" w:bidi="ar-SA"/>
              </w:rPr>
            </w:pPr>
            <w:r>
              <w:rPr>
                <w:rFonts w:ascii="宋体" w:eastAsia="宋体" w:hAnsi="宋体" w:cs="宋体"/>
                <w:spacing w:val="-5"/>
                <w:sz w:val="24"/>
                <w:szCs w:val="24"/>
              </w:rPr>
              <w:t>通过采用一些措施，超越自己的权限访问了本来无权访问的资源；或者滥用自己的职权，做出破坏信息系统的</w:t>
            </w:r>
            <w:r>
              <w:rPr>
                <w:rFonts w:ascii="宋体" w:hAnsi="宋体" w:cs="宋体" w:hint="eastAsia"/>
                <w:spacing w:val="-5"/>
                <w:sz w:val="24"/>
                <w:szCs w:val="24"/>
                <w:lang w:val="en-US" w:eastAsia="zh-CN"/>
              </w:rPr>
              <w:t>行为</w:t>
            </w:r>
          </w:p>
        </w:tc>
        <w:tc>
          <w:tcPr>
            <w:tcW w:w="3974" w:type="dxa"/>
            <w:shd w:val="clear" w:color="auto" w:fill="auto"/>
          </w:tcPr>
          <w:p>
            <w:pPr>
              <w:spacing w:before="246" w:line="219" w:lineRule="auto"/>
              <w:ind w:left="119"/>
            </w:pPr>
            <w:r>
              <w:rPr>
                <w:rFonts w:ascii="宋体" w:eastAsia="宋体" w:hAnsi="宋体" w:cs="宋体"/>
                <w:spacing w:val="-3"/>
                <w:sz w:val="24"/>
                <w:szCs w:val="24"/>
              </w:rPr>
              <w:t>未授权访问网络资源、未授权访问系</w:t>
            </w:r>
          </w:p>
          <w:p>
            <w:pPr>
              <w:spacing w:before="78" w:line="219" w:lineRule="auto"/>
              <w:ind w:left="121"/>
            </w:pPr>
            <w:r>
              <w:rPr>
                <w:rFonts w:ascii="宋体" w:eastAsia="宋体" w:hAnsi="宋体" w:cs="宋体"/>
                <w:spacing w:val="-4"/>
                <w:sz w:val="24"/>
                <w:szCs w:val="24"/>
              </w:rPr>
              <w:t>统资源、滥用权限非正常修改系统配</w:t>
            </w:r>
          </w:p>
          <w:p>
            <w:pPr>
              <w:spacing w:before="78" w:line="219"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置或数据、滥用权限泄露秘密信息</w:t>
            </w:r>
          </w:p>
        </w:tc>
      </w:tr>
      <w:tr>
        <w:tblPrEx>
          <w:tblW w:w="7780" w:type="dxa"/>
          <w:tblInd w:w="0" w:type="dxa"/>
          <w:tblCellMar>
            <w:top w:w="0" w:type="dxa"/>
            <w:left w:w="108" w:type="dxa"/>
            <w:bottom w:w="0" w:type="dxa"/>
            <w:right w:w="108" w:type="dxa"/>
          </w:tblCellMar>
        </w:tblPrEx>
        <w:tc>
          <w:tcPr>
            <w:tcW w:w="0" w:type="auto"/>
            <w:shd w:val="clear" w:color="auto" w:fill="auto"/>
          </w:tcPr>
          <w:p>
            <w:pPr>
              <w:spacing w:before="78" w:line="221" w:lineRule="auto"/>
              <w:rPr>
                <w:rFonts w:ascii="宋体" w:eastAsia="宋体" w:hAnsi="宋体" w:cs="宋体"/>
                <w:kern w:val="2"/>
                <w:sz w:val="24"/>
                <w:szCs w:val="24"/>
                <w:lang w:val="en-US" w:eastAsia="zh-CN" w:bidi="ar-SA"/>
              </w:rPr>
            </w:pPr>
            <w:r>
              <w:rPr>
                <w:rFonts w:ascii="宋体" w:eastAsia="宋体" w:hAnsi="宋体" w:cs="宋体"/>
                <w:spacing w:val="-9"/>
                <w:sz w:val="24"/>
                <w:szCs w:val="24"/>
              </w:rPr>
              <w:t>网络攻击</w:t>
            </w:r>
          </w:p>
        </w:tc>
        <w:tc>
          <w:tcPr>
            <w:tcW w:w="1819" w:type="dxa"/>
            <w:shd w:val="clear" w:color="auto" w:fill="auto"/>
          </w:tcPr>
          <w:p>
            <w:pPr>
              <w:spacing w:before="242" w:line="219" w:lineRule="auto"/>
              <w:ind w:left="115"/>
              <w:rPr>
                <w:rFonts w:ascii="宋体" w:eastAsia="宋体" w:hAnsi="宋体" w:cs="宋体"/>
                <w:kern w:val="2"/>
                <w:sz w:val="24"/>
                <w:szCs w:val="24"/>
                <w:lang w:val="en-US" w:eastAsia="zh-CN" w:bidi="ar-SA"/>
              </w:rPr>
            </w:pPr>
            <w:r>
              <w:rPr>
                <w:rFonts w:ascii="宋体" w:eastAsia="宋体" w:hAnsi="宋体" w:cs="宋体"/>
                <w:spacing w:val="-5"/>
                <w:sz w:val="24"/>
                <w:szCs w:val="24"/>
              </w:rPr>
              <w:t>利用工具和技术，例如侦察、密码破译、安装后门、嗅探、伪造和欺骗、拒绝服务等手段，对信息系统进行攻</w:t>
            </w:r>
            <w:r>
              <w:rPr>
                <w:rFonts w:ascii="宋体" w:eastAsia="宋体" w:hAnsi="宋体" w:cs="宋体"/>
                <w:spacing w:val="-4"/>
                <w:sz w:val="24"/>
                <w:szCs w:val="24"/>
              </w:rPr>
              <w:t>击和入侵</w:t>
            </w:r>
          </w:p>
        </w:tc>
        <w:tc>
          <w:tcPr>
            <w:tcW w:w="3974" w:type="dxa"/>
            <w:shd w:val="clear" w:color="auto" w:fill="auto"/>
          </w:tcPr>
          <w:p>
            <w:pPr>
              <w:spacing w:before="241" w:line="219" w:lineRule="auto"/>
              <w:ind w:left="134"/>
              <w:rPr>
                <w:rFonts w:ascii="宋体" w:eastAsia="宋体" w:hAnsi="宋体" w:cs="宋体"/>
                <w:kern w:val="2"/>
                <w:sz w:val="24"/>
                <w:szCs w:val="24"/>
                <w:lang w:val="en-US" w:eastAsia="zh-CN" w:bidi="ar-SA"/>
              </w:rPr>
            </w:pPr>
            <w:r>
              <w:rPr>
                <w:rFonts w:ascii="宋体" w:eastAsia="宋体" w:hAnsi="宋体" w:cs="宋体"/>
                <w:spacing w:val="-3"/>
                <w:sz w:val="24"/>
                <w:szCs w:val="24"/>
              </w:rPr>
              <w:t>网络探测和信息采集、漏洞探测、嗅</w:t>
            </w:r>
            <w:r>
              <w:rPr>
                <w:rFonts w:ascii="宋体" w:eastAsia="宋体" w:hAnsi="宋体" w:cs="宋体"/>
                <w:spacing w:val="-17"/>
                <w:sz w:val="24"/>
                <w:szCs w:val="24"/>
              </w:rPr>
              <w:t>探（账户、口令、权限等）、用户身份</w:t>
            </w:r>
            <w:r>
              <w:rPr>
                <w:rFonts w:ascii="宋体" w:eastAsia="宋体" w:hAnsi="宋体" w:cs="宋体"/>
                <w:spacing w:val="-3"/>
                <w:sz w:val="24"/>
                <w:szCs w:val="24"/>
              </w:rPr>
              <w:t>伪造和欺骗、用户或业务数据的窃取</w:t>
            </w:r>
            <w:r>
              <w:rPr>
                <w:rFonts w:ascii="宋体" w:eastAsia="宋体" w:hAnsi="宋体" w:cs="宋体"/>
                <w:spacing w:val="-5"/>
                <w:sz w:val="24"/>
                <w:szCs w:val="24"/>
              </w:rPr>
              <w:t>和破坏、系统运行的控制和破坏</w:t>
            </w:r>
          </w:p>
        </w:tc>
      </w:tr>
      <w:tr>
        <w:tblPrEx>
          <w:tblW w:w="7780" w:type="dxa"/>
          <w:tblInd w:w="0" w:type="dxa"/>
          <w:tblCellMar>
            <w:top w:w="0" w:type="dxa"/>
            <w:left w:w="108" w:type="dxa"/>
            <w:bottom w:w="0" w:type="dxa"/>
            <w:right w:w="108" w:type="dxa"/>
          </w:tblCellMar>
        </w:tblPrEx>
        <w:tc>
          <w:tcPr>
            <w:tcW w:w="0" w:type="auto"/>
            <w:shd w:val="clear" w:color="auto" w:fill="auto"/>
          </w:tcPr>
          <w:p>
            <w:pPr>
              <w:spacing w:before="78" w:line="221" w:lineRule="auto"/>
              <w:rPr>
                <w:rFonts w:ascii="宋体" w:eastAsia="宋体" w:hAnsi="宋体" w:cs="宋体"/>
                <w:kern w:val="2"/>
                <w:sz w:val="24"/>
                <w:szCs w:val="24"/>
                <w:lang w:val="en-US" w:eastAsia="zh-CN" w:bidi="ar-SA"/>
              </w:rPr>
            </w:pPr>
            <w:r>
              <w:rPr>
                <w:rFonts w:ascii="宋体" w:eastAsia="宋体" w:hAnsi="宋体" w:cs="宋体"/>
                <w:spacing w:val="-5"/>
                <w:sz w:val="24"/>
                <w:szCs w:val="24"/>
              </w:rPr>
              <w:t>物理攻击</w:t>
            </w:r>
          </w:p>
        </w:tc>
        <w:tc>
          <w:tcPr>
            <w:tcW w:w="0" w:type="auto"/>
            <w:shd w:val="clear" w:color="auto" w:fill="auto"/>
          </w:tcPr>
          <w:p>
            <w:pPr>
              <w:spacing w:before="245"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通过物理的接触造成对软件、硬件、数据的破坏。</w:t>
            </w:r>
          </w:p>
        </w:tc>
        <w:tc>
          <w:tcPr>
            <w:tcW w:w="0" w:type="auto"/>
            <w:shd w:val="clear" w:color="auto" w:fill="auto"/>
          </w:tcPr>
          <w:p>
            <w:pPr>
              <w:spacing w:before="245" w:line="220" w:lineRule="auto"/>
              <w:rPr>
                <w:rFonts w:ascii="宋体" w:eastAsia="宋体" w:hAnsi="宋体" w:cs="宋体"/>
                <w:kern w:val="2"/>
                <w:sz w:val="24"/>
                <w:szCs w:val="24"/>
                <w:lang w:val="en-US" w:eastAsia="zh-CN" w:bidi="ar-SA"/>
              </w:rPr>
            </w:pPr>
            <w:r>
              <w:rPr>
                <w:rFonts w:ascii="宋体" w:eastAsia="宋体" w:hAnsi="宋体" w:cs="宋体"/>
                <w:spacing w:val="-5"/>
                <w:sz w:val="24"/>
                <w:szCs w:val="24"/>
              </w:rPr>
              <w:t>物理接触、物理破坏、盗窃</w:t>
            </w:r>
          </w:p>
        </w:tc>
      </w:tr>
      <w:tr>
        <w:tblPrEx>
          <w:tblW w:w="7780" w:type="dxa"/>
          <w:tblInd w:w="0" w:type="dxa"/>
          <w:tblCellMar>
            <w:top w:w="0" w:type="dxa"/>
            <w:left w:w="108" w:type="dxa"/>
            <w:bottom w:w="0" w:type="dxa"/>
            <w:right w:w="108" w:type="dxa"/>
          </w:tblCellMar>
        </w:tblPrEx>
        <w:tc>
          <w:tcPr>
            <w:tcW w:w="0" w:type="auto"/>
            <w:shd w:val="clear" w:color="auto" w:fill="auto"/>
          </w:tcPr>
          <w:p>
            <w:pPr>
              <w:spacing w:before="245" w:line="224" w:lineRule="auto"/>
              <w:ind w:left="120" w:leftChars="0"/>
              <w:rPr>
                <w:rFonts w:ascii="宋体" w:eastAsia="宋体" w:hAnsi="宋体" w:cs="宋体"/>
                <w:kern w:val="2"/>
                <w:sz w:val="24"/>
                <w:szCs w:val="24"/>
                <w:lang w:val="en-US" w:eastAsia="zh-CN" w:bidi="ar-SA"/>
              </w:rPr>
            </w:pPr>
            <w:r>
              <w:rPr>
                <w:rFonts w:ascii="宋体" w:eastAsia="宋体" w:hAnsi="宋体" w:cs="宋体"/>
                <w:spacing w:val="-7"/>
                <w:sz w:val="24"/>
                <w:szCs w:val="24"/>
              </w:rPr>
              <w:t>泄密</w:t>
            </w:r>
          </w:p>
        </w:tc>
        <w:tc>
          <w:tcPr>
            <w:tcW w:w="0" w:type="auto"/>
            <w:shd w:val="clear" w:color="auto" w:fill="auto"/>
          </w:tcPr>
          <w:p>
            <w:pPr>
              <w:spacing w:before="246" w:line="219" w:lineRule="auto"/>
              <w:ind w:left="114" w:leftChars="0"/>
              <w:rPr>
                <w:rFonts w:ascii="宋体" w:eastAsia="宋体" w:hAnsi="宋体" w:cs="宋体"/>
                <w:kern w:val="2"/>
                <w:sz w:val="24"/>
                <w:szCs w:val="24"/>
                <w:lang w:val="en-US" w:eastAsia="zh-CN" w:bidi="ar-SA"/>
              </w:rPr>
            </w:pPr>
            <w:r>
              <w:rPr>
                <w:rFonts w:ascii="宋体" w:eastAsia="宋体" w:hAnsi="宋体" w:cs="宋体"/>
                <w:spacing w:val="-5"/>
                <w:sz w:val="24"/>
                <w:szCs w:val="24"/>
              </w:rPr>
              <w:t>信息泄漏给不应了解的他人</w:t>
            </w:r>
          </w:p>
        </w:tc>
        <w:tc>
          <w:tcPr>
            <w:tcW w:w="0" w:type="auto"/>
            <w:shd w:val="clear" w:color="auto" w:fill="auto"/>
          </w:tcPr>
          <w:p>
            <w:pPr>
              <w:spacing w:before="246" w:line="219" w:lineRule="auto"/>
              <w:rPr>
                <w:rFonts w:ascii="宋体" w:eastAsia="宋体" w:hAnsi="宋体" w:cs="宋体"/>
                <w:kern w:val="2"/>
                <w:sz w:val="24"/>
                <w:szCs w:val="24"/>
                <w:lang w:val="en-US" w:eastAsia="zh-CN" w:bidi="ar-SA"/>
              </w:rPr>
            </w:pPr>
            <w:r>
              <w:rPr>
                <w:rFonts w:ascii="宋体" w:eastAsia="宋体" w:hAnsi="宋体" w:cs="宋体"/>
                <w:spacing w:val="-7"/>
                <w:sz w:val="24"/>
                <w:szCs w:val="24"/>
              </w:rPr>
              <w:t>内部信息泄露、外部信息泄露</w:t>
            </w:r>
          </w:p>
        </w:tc>
      </w:tr>
      <w:tr>
        <w:tblPrEx>
          <w:tblW w:w="7780" w:type="dxa"/>
          <w:tblInd w:w="0" w:type="dxa"/>
          <w:tblCellMar>
            <w:top w:w="0" w:type="dxa"/>
            <w:left w:w="108" w:type="dxa"/>
            <w:bottom w:w="0" w:type="dxa"/>
            <w:right w:w="108" w:type="dxa"/>
          </w:tblCellMar>
        </w:tblPrEx>
        <w:tc>
          <w:tcPr>
            <w:tcW w:w="0" w:type="auto"/>
            <w:shd w:val="clear" w:color="auto" w:fill="auto"/>
          </w:tcPr>
          <w:p>
            <w:pPr>
              <w:pStyle w:val="TableText"/>
              <w:spacing w:line="295" w:lineRule="auto"/>
            </w:pPr>
          </w:p>
          <w:p>
            <w:pPr>
              <w:pStyle w:val="TableText"/>
              <w:spacing w:line="295" w:lineRule="auto"/>
            </w:pPr>
          </w:p>
          <w:p>
            <w:pPr>
              <w:pStyle w:val="TableText"/>
              <w:spacing w:line="295" w:lineRule="auto"/>
            </w:pPr>
          </w:p>
          <w:p>
            <w:pPr>
              <w:spacing w:before="78" w:line="219" w:lineRule="auto"/>
              <w:ind w:left="115" w:leftChars="0"/>
              <w:rPr>
                <w:rFonts w:ascii="宋体" w:eastAsia="宋体" w:hAnsi="宋体" w:cs="宋体"/>
                <w:kern w:val="2"/>
                <w:sz w:val="24"/>
                <w:szCs w:val="24"/>
                <w:lang w:val="en-US" w:eastAsia="zh-CN" w:bidi="ar-SA"/>
              </w:rPr>
            </w:pPr>
            <w:r>
              <w:rPr>
                <w:rFonts w:ascii="宋体" w:eastAsia="宋体" w:hAnsi="宋体" w:cs="宋体"/>
                <w:spacing w:val="-5"/>
                <w:sz w:val="24"/>
                <w:szCs w:val="24"/>
              </w:rPr>
              <w:t>篡改</w:t>
            </w:r>
          </w:p>
        </w:tc>
        <w:tc>
          <w:tcPr>
            <w:tcW w:w="0" w:type="auto"/>
            <w:shd w:val="clear" w:color="auto" w:fill="auto"/>
          </w:tcPr>
          <w:p>
            <w:pPr>
              <w:pStyle w:val="TableText"/>
              <w:spacing w:line="264" w:lineRule="auto"/>
            </w:pPr>
          </w:p>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非法修改信息，破坏信息的完整性，使系统的安全性降低或信息不可用</w:t>
            </w:r>
          </w:p>
        </w:tc>
        <w:tc>
          <w:tcPr>
            <w:tcW w:w="0" w:type="auto"/>
            <w:shd w:val="clear" w:color="auto" w:fill="auto"/>
          </w:tcPr>
          <w:p>
            <w:pPr>
              <w:spacing w:before="246" w:line="219" w:lineRule="auto"/>
              <w:rPr>
                <w:rFonts w:ascii="宋体" w:eastAsia="宋体" w:hAnsi="宋体" w:cs="宋体"/>
                <w:kern w:val="2"/>
                <w:sz w:val="24"/>
                <w:szCs w:val="24"/>
                <w:lang w:val="en-US" w:eastAsia="zh-CN" w:bidi="ar-SA"/>
              </w:rPr>
            </w:pPr>
            <w:r>
              <w:rPr>
                <w:rFonts w:ascii="宋体" w:eastAsia="宋体" w:hAnsi="宋体" w:cs="宋体"/>
                <w:spacing w:val="-3"/>
                <w:sz w:val="24"/>
                <w:szCs w:val="24"/>
              </w:rPr>
              <w:t>篡改网络配置信息、篡改系统配置信</w:t>
            </w:r>
            <w:r>
              <w:rPr>
                <w:rFonts w:ascii="宋体" w:eastAsia="宋体" w:hAnsi="宋体" w:cs="宋体"/>
                <w:spacing w:val="-4"/>
                <w:sz w:val="24"/>
                <w:szCs w:val="24"/>
              </w:rPr>
              <w:t>息、篡改安全配置信息、篡改用户身</w:t>
            </w:r>
            <w:r>
              <w:rPr>
                <w:rFonts w:ascii="宋体" w:eastAsia="宋体" w:hAnsi="宋体" w:cs="宋体"/>
                <w:spacing w:val="-5"/>
                <w:sz w:val="24"/>
                <w:szCs w:val="24"/>
              </w:rPr>
              <w:t>份信息或业务数据信息</w:t>
            </w:r>
          </w:p>
        </w:tc>
      </w:tr>
      <w:tr>
        <w:tblPrEx>
          <w:tblW w:w="7780" w:type="dxa"/>
          <w:tblInd w:w="0" w:type="dxa"/>
          <w:tblCellMar>
            <w:top w:w="0" w:type="dxa"/>
            <w:left w:w="108" w:type="dxa"/>
            <w:bottom w:w="0" w:type="dxa"/>
            <w:right w:w="108" w:type="dxa"/>
          </w:tblCellMar>
        </w:tblPrEx>
        <w:tc>
          <w:tcPr>
            <w:tcW w:w="0" w:type="auto"/>
            <w:shd w:val="clear" w:color="auto" w:fill="auto"/>
          </w:tcPr>
          <w:p>
            <w:pPr>
              <w:pStyle w:val="TableText"/>
              <w:spacing w:line="263" w:lineRule="auto"/>
            </w:pPr>
          </w:p>
          <w:p>
            <w:pPr>
              <w:pStyle w:val="TableText"/>
              <w:spacing w:line="264" w:lineRule="auto"/>
            </w:pPr>
          </w:p>
          <w:p>
            <w:pPr>
              <w:spacing w:before="78" w:line="219" w:lineRule="auto"/>
              <w:ind w:left="115" w:leftChars="0"/>
              <w:rPr>
                <w:rFonts w:ascii="宋体" w:eastAsia="宋体" w:hAnsi="宋体" w:cs="宋体"/>
                <w:kern w:val="2"/>
                <w:sz w:val="24"/>
                <w:szCs w:val="24"/>
                <w:lang w:val="en-US" w:eastAsia="zh-CN" w:bidi="ar-SA"/>
              </w:rPr>
            </w:pPr>
            <w:r>
              <w:rPr>
                <w:rFonts w:ascii="宋体" w:eastAsia="宋体" w:hAnsi="宋体" w:cs="宋体"/>
                <w:spacing w:val="-5"/>
                <w:sz w:val="24"/>
                <w:szCs w:val="24"/>
              </w:rPr>
              <w:t>抵赖</w:t>
            </w:r>
          </w:p>
        </w:tc>
        <w:tc>
          <w:tcPr>
            <w:tcW w:w="0" w:type="auto"/>
            <w:shd w:val="clear" w:color="auto" w:fill="auto"/>
          </w:tcPr>
          <w:p>
            <w:pPr>
              <w:spacing w:before="248"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不承认收到的信息和所作的操作和交</w:t>
            </w:r>
            <w:r>
              <w:rPr>
                <w:rFonts w:ascii="宋体" w:eastAsia="宋体" w:hAnsi="宋体" w:cs="宋体"/>
                <w:sz w:val="24"/>
                <w:szCs w:val="24"/>
              </w:rPr>
              <w:t>易</w:t>
            </w:r>
          </w:p>
        </w:tc>
        <w:tc>
          <w:tcPr>
            <w:tcW w:w="0" w:type="auto"/>
            <w:shd w:val="clear" w:color="auto" w:fill="auto"/>
          </w:tcPr>
          <w:p>
            <w:pPr>
              <w:spacing w:before="248"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原发抵赖、接收抵赖、第三方抵赖</w:t>
            </w:r>
          </w:p>
        </w:tc>
      </w:tr>
    </w:tbl>
    <w:p>
      <w:pPr>
        <w:pStyle w:val="BodyText"/>
        <w:spacing w:before="242" w:line="219" w:lineRule="auto"/>
        <w:ind w:left="2100" w:firstLine="420" w:leftChars="0" w:firstLineChars="0"/>
        <w:jc w:val="both"/>
        <w:rPr>
          <w:sz w:val="24"/>
          <w:szCs w:val="24"/>
        </w:rPr>
      </w:pPr>
      <w:r>
        <w:rPr>
          <w:spacing w:val="-5"/>
          <w:sz w:val="24"/>
          <w:szCs w:val="24"/>
        </w:rPr>
        <w:t>威胁种类列表</w:t>
      </w:r>
    </w:p>
    <w:p>
      <w:pPr>
        <w:pStyle w:val="Heading4"/>
        <w:bidi w:val="0"/>
        <w:rPr>
          <w:rFonts w:hint="default"/>
          <w:lang w:val="en-US" w:eastAsia="zh-CN"/>
        </w:rPr>
      </w:pPr>
      <w:r>
        <w:rPr>
          <w:rFonts w:hint="default"/>
          <w:lang w:val="en-US" w:eastAsia="zh-CN"/>
        </w:rPr>
        <w:t>3.4.3.2威胁赋值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评估确定威胁发生的可能性是威胁评估阶段的重要工作，评估者采用经验法判断法，参考有关的统计数据来判断威胁发生的频率或者发生的概率。其中，威胁发生的可能性受以下因素影响：</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 xml:space="preserve"> </w:t>
      </w:r>
      <w:r>
        <w:rPr>
          <w:position w:val="-5"/>
          <w:sz w:val="24"/>
          <w:szCs w:val="24"/>
        </w:rPr>
        <w:drawing>
          <wp:inline distT="0" distB="0" distL="0" distR="0">
            <wp:extent cx="107950" cy="168275"/>
            <wp:effectExtent l="0" t="0" r="13970" b="14605"/>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资产的吸引力；</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 xml:space="preserve"> </w:t>
      </w:r>
      <w:r>
        <w:rPr>
          <w:position w:val="-5"/>
          <w:sz w:val="24"/>
          <w:szCs w:val="24"/>
        </w:rPr>
        <w:drawing>
          <wp:inline distT="0" distB="0" distL="0" distR="0">
            <wp:extent cx="107950" cy="168275"/>
            <wp:effectExtent l="0" t="0" r="13970" b="14605"/>
            <wp:docPr id="16" name="IM 30"/>
            <wp:cNvGraphicFramePr/>
            <a:graphic xmlns:a="http://schemas.openxmlformats.org/drawingml/2006/main">
              <a:graphicData uri="http://schemas.openxmlformats.org/drawingml/2006/picture">
                <pic:pic xmlns:pic="http://schemas.openxmlformats.org/drawingml/2006/picture">
                  <pic:nvPicPr>
                    <pic:cNvPr id="16" name="IM 3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 xml:space="preserve"> 资产转化成报酬的难易程度；</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 xml:space="preserve"> </w:t>
      </w:r>
      <w:r>
        <w:rPr>
          <w:position w:val="-5"/>
          <w:sz w:val="24"/>
          <w:szCs w:val="24"/>
        </w:rPr>
        <w:drawing>
          <wp:inline distT="0" distB="0" distL="0" distR="0">
            <wp:extent cx="107950" cy="168275"/>
            <wp:effectExtent l="0" t="0" r="13970" b="14605"/>
            <wp:docPr id="17" name="IM 30"/>
            <wp:cNvGraphicFramePr/>
            <a:graphic xmlns:a="http://schemas.openxmlformats.org/drawingml/2006/main">
              <a:graphicData uri="http://schemas.openxmlformats.org/drawingml/2006/picture">
                <pic:pic xmlns:pic="http://schemas.openxmlformats.org/drawingml/2006/picture">
                  <pic:nvPicPr>
                    <pic:cNvPr id="17" name="IM 3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威胁的技术力量；</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 xml:space="preserve"> </w:t>
      </w:r>
      <w:r>
        <w:rPr>
          <w:position w:val="-5"/>
          <w:sz w:val="24"/>
          <w:szCs w:val="24"/>
        </w:rPr>
        <w:drawing>
          <wp:inline distT="0" distB="0" distL="0" distR="0">
            <wp:extent cx="107950" cy="168275"/>
            <wp:effectExtent l="0" t="0" r="13970" b="14605"/>
            <wp:docPr id="18" name="IM 30"/>
            <wp:cNvGraphicFramePr/>
            <a:graphic xmlns:a="http://schemas.openxmlformats.org/drawingml/2006/main">
              <a:graphicData uri="http://schemas.openxmlformats.org/drawingml/2006/picture">
                <pic:pic xmlns:pic="http://schemas.openxmlformats.org/drawingml/2006/picture">
                  <pic:nvPicPr>
                    <pic:cNvPr id="18" name="IM 3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脆弱性被利用的难易程度。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操作过程中，威胁的可能性赋值，除了考虑上面几个因素，还需要参考下面三方面的资料和信息来源，如这些资料或者信息能够提供具体数值的，则这些数值就是在特定评估环境中各种威胁发生的可能性。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通过过去的安全事件报告或记录，统计各种发生过的威胁和其发生频率；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在评估体实际环境中，通过 IDS（Intrusion Detection Systems，入侵检测系统）获取的威胁发生数据的统计和分析，各种日志中威胁发生的数据的统计和分析；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过去一年或两年来国际机构发布的对于整个社会或特定行业安全威胁发生频率的统计数据均值。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威胁的评估就是针对重要信息资产，比对威胁来源列表和种类列表后得到的威胁列表，依据经验对列表中的威胁发生可能性进行的评估。最终威胁的赋值依照威胁赋值表采用定性的相对等级的方式。威胁的等级划分为五级，从 1 到 5 分别代表五个级别的威胁发生可能性。等级数值越大，威胁发生的可能性越大。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当然，评估者也可以根据被评估系统的实际情况自定义威胁的等级，但该评定方法必须在事先得到信息系统所有者认可。</w:t>
      </w:r>
    </w:p>
    <w:tbl>
      <w:tblPr>
        <w:tblStyle w:val="TableGrid"/>
        <w:tblW w:w="92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66"/>
        <w:gridCol w:w="976"/>
        <w:gridCol w:w="7519"/>
      </w:tblGrid>
      <w:tr>
        <w:tblPrEx>
          <w:tblW w:w="92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66" w:type="dxa"/>
            <w:shd w:val="clear" w:color="auto" w:fill="auto"/>
          </w:tcPr>
          <w:p>
            <w:pPr>
              <w:spacing w:before="248" w:line="219" w:lineRule="auto"/>
              <w:ind w:left="108"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等级</w:t>
            </w:r>
          </w:p>
        </w:tc>
        <w:tc>
          <w:tcPr>
            <w:tcW w:w="976" w:type="dxa"/>
            <w:shd w:val="clear" w:color="auto" w:fill="auto"/>
          </w:tcPr>
          <w:p>
            <w:pPr>
              <w:spacing w:before="248" w:line="220" w:lineRule="auto"/>
              <w:ind w:left="104"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标识</w:t>
            </w:r>
          </w:p>
        </w:tc>
        <w:tc>
          <w:tcPr>
            <w:tcW w:w="7519" w:type="dxa"/>
            <w:shd w:val="clear" w:color="auto" w:fill="auto"/>
          </w:tcPr>
          <w:p>
            <w:pPr>
              <w:spacing w:before="248" w:line="220" w:lineRule="auto"/>
              <w:ind w:left="110" w:leftChars="0"/>
              <w:rPr>
                <w:rFonts w:ascii="宋体" w:eastAsia="宋体" w:hAnsi="宋体" w:cs="宋体" w:hint="default"/>
                <w:kern w:val="2"/>
                <w:sz w:val="24"/>
                <w:szCs w:val="24"/>
                <w:lang w:val="en-US" w:eastAsia="zh-CN" w:bidi="ar-SA"/>
              </w:rPr>
            </w:pPr>
            <w:r>
              <w:rPr>
                <w:rFonts w:ascii="宋体" w:eastAsia="宋体" w:hAnsi="宋体" w:cs="宋体"/>
                <w:spacing w:val="-8"/>
                <w:sz w:val="24"/>
                <w:szCs w:val="24"/>
              </w:rPr>
              <w:t>定义</w:t>
            </w:r>
          </w:p>
        </w:tc>
      </w:tr>
      <w:tr>
        <w:tblPrEx>
          <w:tblW w:w="9261" w:type="dxa"/>
          <w:tblInd w:w="0" w:type="dxa"/>
          <w:tblCellMar>
            <w:top w:w="0" w:type="dxa"/>
            <w:left w:w="108" w:type="dxa"/>
            <w:bottom w:w="0" w:type="dxa"/>
            <w:right w:w="108" w:type="dxa"/>
          </w:tblCellMar>
        </w:tblPrEx>
        <w:tc>
          <w:tcPr>
            <w:tcW w:w="766" w:type="dxa"/>
            <w:shd w:val="clear" w:color="auto" w:fill="auto"/>
          </w:tcPr>
          <w:p>
            <w:pPr>
              <w:pStyle w:val="TableText"/>
              <w:spacing w:line="260" w:lineRule="auto"/>
            </w:pPr>
          </w:p>
          <w:p>
            <w:pPr>
              <w:pStyle w:val="TableText"/>
              <w:spacing w:line="261" w:lineRule="auto"/>
            </w:pPr>
          </w:p>
          <w:p>
            <w:pPr>
              <w:spacing w:before="78"/>
              <w:ind w:left="111" w:leftChars="0"/>
              <w:rPr>
                <w:rFonts w:ascii="宋体" w:eastAsia="宋体" w:hAnsi="宋体" w:cs="宋体" w:hint="default"/>
                <w:kern w:val="2"/>
                <w:sz w:val="24"/>
                <w:szCs w:val="24"/>
                <w:lang w:val="en-US" w:eastAsia="zh-CN" w:bidi="ar-SA"/>
              </w:rPr>
            </w:pPr>
            <w:r>
              <w:rPr>
                <w:rFonts w:ascii="宋体" w:eastAsia="宋体" w:hAnsi="宋体" w:cs="宋体"/>
                <w:sz w:val="24"/>
                <w:szCs w:val="24"/>
              </w:rPr>
              <w:t>5</w:t>
            </w:r>
          </w:p>
        </w:tc>
        <w:tc>
          <w:tcPr>
            <w:tcW w:w="976" w:type="dxa"/>
            <w:shd w:val="clear" w:color="auto" w:fill="auto"/>
          </w:tcPr>
          <w:p>
            <w:pPr>
              <w:pStyle w:val="TableText"/>
              <w:spacing w:line="261" w:lineRule="auto"/>
            </w:pPr>
          </w:p>
          <w:p>
            <w:pPr>
              <w:pStyle w:val="TableText"/>
              <w:spacing w:line="261" w:lineRule="auto"/>
            </w:pPr>
          </w:p>
          <w:p>
            <w:pPr>
              <w:spacing w:before="78" w:line="219" w:lineRule="auto"/>
              <w:ind w:left="104"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很高</w:t>
            </w:r>
          </w:p>
        </w:tc>
        <w:tc>
          <w:tcPr>
            <w:tcW w:w="7519" w:type="dxa"/>
            <w:shd w:val="clear" w:color="auto" w:fill="auto"/>
          </w:tcPr>
          <w:p>
            <w:pPr>
              <w:spacing w:before="242" w:line="219" w:lineRule="auto"/>
              <w:ind w:left="125"/>
            </w:pPr>
            <w:r>
              <w:rPr>
                <w:rFonts w:ascii="宋体" w:eastAsia="宋体" w:hAnsi="宋体" w:cs="宋体"/>
                <w:spacing w:val="-7"/>
                <w:sz w:val="24"/>
                <w:szCs w:val="24"/>
              </w:rPr>
              <w:t>出现的频率很高（或≥1</w:t>
            </w:r>
            <w:r>
              <w:rPr>
                <w:rFonts w:ascii="宋体" w:eastAsia="宋体" w:hAnsi="宋体" w:cs="宋体"/>
                <w:spacing w:val="-43"/>
                <w:sz w:val="24"/>
                <w:szCs w:val="24"/>
              </w:rPr>
              <w:t xml:space="preserve"> </w:t>
            </w:r>
            <w:r>
              <w:rPr>
                <w:rFonts w:ascii="宋体" w:eastAsia="宋体" w:hAnsi="宋体" w:cs="宋体"/>
                <w:spacing w:val="-7"/>
                <w:sz w:val="24"/>
                <w:szCs w:val="24"/>
              </w:rPr>
              <w:t>次/周</w:t>
            </w:r>
            <w:r>
              <w:rPr>
                <w:rFonts w:ascii="宋体" w:eastAsia="宋体" w:hAnsi="宋体" w:cs="宋体"/>
                <w:spacing w:val="-61"/>
                <w:w w:val="97"/>
                <w:sz w:val="24"/>
                <w:szCs w:val="24"/>
              </w:rPr>
              <w:t>），</w:t>
            </w:r>
            <w:r>
              <w:rPr>
                <w:rFonts w:ascii="宋体" w:eastAsia="宋体" w:hAnsi="宋体" w:cs="宋体"/>
                <w:spacing w:val="-7"/>
                <w:sz w:val="24"/>
                <w:szCs w:val="24"/>
              </w:rPr>
              <w:t>或在大多数情况下几乎不可避免；或可</w:t>
            </w:r>
          </w:p>
          <w:p>
            <w:pPr>
              <w:spacing w:before="78" w:line="220" w:lineRule="auto"/>
              <w:ind w:left="132" w:leftChars="0"/>
              <w:rPr>
                <w:rFonts w:ascii="宋体" w:eastAsia="宋体" w:hAnsi="宋体" w:cs="宋体" w:hint="default"/>
                <w:kern w:val="2"/>
                <w:sz w:val="24"/>
                <w:szCs w:val="24"/>
                <w:lang w:val="en-US" w:eastAsia="zh-CN" w:bidi="ar-SA"/>
              </w:rPr>
            </w:pPr>
            <w:r>
              <w:rPr>
                <w:rFonts w:ascii="宋体" w:eastAsia="宋体" w:hAnsi="宋体" w:cs="宋体"/>
                <w:spacing w:val="-8"/>
                <w:sz w:val="24"/>
                <w:szCs w:val="24"/>
              </w:rPr>
              <w:t>以证实经常发生过。</w:t>
            </w:r>
          </w:p>
        </w:tc>
      </w:tr>
      <w:tr>
        <w:tblPrEx>
          <w:tblW w:w="9261" w:type="dxa"/>
          <w:tblInd w:w="0" w:type="dxa"/>
          <w:tblCellMar>
            <w:top w:w="0" w:type="dxa"/>
            <w:left w:w="108" w:type="dxa"/>
            <w:bottom w:w="0" w:type="dxa"/>
            <w:right w:w="108" w:type="dxa"/>
          </w:tblCellMar>
        </w:tblPrEx>
        <w:tc>
          <w:tcPr>
            <w:tcW w:w="766" w:type="dxa"/>
            <w:shd w:val="clear" w:color="auto" w:fill="auto"/>
          </w:tcPr>
          <w:p>
            <w:pPr>
              <w:pStyle w:val="TableText"/>
              <w:spacing w:line="264" w:lineRule="auto"/>
            </w:pPr>
          </w:p>
          <w:p>
            <w:pPr>
              <w:pStyle w:val="TableText"/>
              <w:spacing w:line="264" w:lineRule="auto"/>
            </w:pPr>
          </w:p>
          <w:p>
            <w:pPr>
              <w:spacing w:before="78" w:line="241" w:lineRule="auto"/>
              <w:ind w:left="105" w:leftChars="0"/>
              <w:rPr>
                <w:rFonts w:ascii="宋体" w:eastAsia="宋体" w:hAnsi="宋体" w:cs="宋体"/>
                <w:kern w:val="2"/>
                <w:sz w:val="24"/>
                <w:szCs w:val="24"/>
                <w:lang w:val="en-US" w:eastAsia="zh-CN" w:bidi="ar-SA"/>
              </w:rPr>
            </w:pPr>
            <w:r>
              <w:rPr>
                <w:rFonts w:ascii="宋体" w:eastAsia="宋体" w:hAnsi="宋体" w:cs="宋体"/>
                <w:sz w:val="24"/>
                <w:szCs w:val="24"/>
              </w:rPr>
              <w:t>4</w:t>
            </w:r>
          </w:p>
        </w:tc>
        <w:tc>
          <w:tcPr>
            <w:tcW w:w="976" w:type="dxa"/>
            <w:shd w:val="clear" w:color="auto" w:fill="auto"/>
          </w:tcPr>
          <w:p>
            <w:pPr>
              <w:pStyle w:val="TableText"/>
              <w:spacing w:line="264" w:lineRule="auto"/>
            </w:pPr>
          </w:p>
          <w:p>
            <w:pPr>
              <w:pStyle w:val="TableText"/>
              <w:spacing w:line="264" w:lineRule="auto"/>
            </w:pPr>
          </w:p>
          <w:p>
            <w:pPr>
              <w:spacing w:before="78" w:line="219" w:lineRule="auto"/>
              <w:ind w:left="109" w:leftChars="0"/>
              <w:rPr>
                <w:rFonts w:ascii="宋体" w:eastAsia="宋体" w:hAnsi="宋体" w:cs="宋体"/>
                <w:kern w:val="2"/>
                <w:sz w:val="24"/>
                <w:szCs w:val="24"/>
                <w:lang w:val="en-US" w:eastAsia="zh-CN" w:bidi="ar-SA"/>
              </w:rPr>
            </w:pPr>
            <w:r>
              <w:rPr>
                <w:rFonts w:ascii="宋体" w:eastAsia="宋体" w:hAnsi="宋体" w:cs="宋体"/>
                <w:sz w:val="24"/>
                <w:szCs w:val="24"/>
              </w:rPr>
              <w:t>高</w:t>
            </w:r>
          </w:p>
        </w:tc>
        <w:tc>
          <w:tcPr>
            <w:tcW w:w="7519" w:type="dxa"/>
            <w:shd w:val="clear" w:color="auto" w:fill="auto"/>
          </w:tcPr>
          <w:p>
            <w:pPr>
              <w:spacing w:before="246" w:line="219" w:lineRule="auto"/>
              <w:ind w:left="125"/>
              <w:rPr>
                <w:rFonts w:ascii="宋体" w:eastAsia="宋体" w:hAnsi="宋体" w:cs="宋体"/>
                <w:kern w:val="2"/>
                <w:sz w:val="24"/>
                <w:szCs w:val="24"/>
                <w:lang w:val="en-US" w:eastAsia="zh-CN" w:bidi="ar-SA"/>
              </w:rPr>
            </w:pPr>
            <w:r>
              <w:rPr>
                <w:rFonts w:ascii="宋体" w:eastAsia="宋体" w:hAnsi="宋体" w:cs="宋体"/>
                <w:spacing w:val="-7"/>
                <w:sz w:val="24"/>
                <w:szCs w:val="24"/>
              </w:rPr>
              <w:t>出现的频率较高（或≥1</w:t>
            </w:r>
            <w:r>
              <w:rPr>
                <w:rFonts w:ascii="宋体" w:eastAsia="宋体" w:hAnsi="宋体" w:cs="宋体"/>
                <w:spacing w:val="-46"/>
                <w:sz w:val="24"/>
                <w:szCs w:val="24"/>
              </w:rPr>
              <w:t xml:space="preserve"> </w:t>
            </w:r>
            <w:r>
              <w:rPr>
                <w:rFonts w:ascii="宋体" w:eastAsia="宋体" w:hAnsi="宋体" w:cs="宋体"/>
                <w:spacing w:val="-7"/>
                <w:sz w:val="24"/>
                <w:szCs w:val="24"/>
              </w:rPr>
              <w:t>次/月</w:t>
            </w:r>
            <w:r>
              <w:rPr>
                <w:rFonts w:ascii="宋体" w:eastAsia="宋体" w:hAnsi="宋体" w:cs="宋体"/>
                <w:spacing w:val="-63"/>
                <w:sz w:val="24"/>
                <w:szCs w:val="24"/>
              </w:rPr>
              <w:t>），</w:t>
            </w:r>
            <w:r>
              <w:rPr>
                <w:rFonts w:ascii="宋体" w:eastAsia="宋体" w:hAnsi="宋体" w:cs="宋体"/>
                <w:spacing w:val="-7"/>
                <w:sz w:val="24"/>
                <w:szCs w:val="24"/>
              </w:rPr>
              <w:t>或在大多数情况下很有可能会发生；或</w:t>
            </w:r>
            <w:r>
              <w:rPr>
                <w:rFonts w:ascii="宋体" w:eastAsia="宋体" w:hAnsi="宋体" w:cs="宋体"/>
                <w:spacing w:val="-5"/>
                <w:sz w:val="24"/>
                <w:szCs w:val="24"/>
              </w:rPr>
              <w:t>可以证实多次发生过。</w:t>
            </w:r>
          </w:p>
        </w:tc>
      </w:tr>
      <w:tr>
        <w:tblPrEx>
          <w:tblW w:w="9261" w:type="dxa"/>
          <w:tblInd w:w="0" w:type="dxa"/>
          <w:tblCellMar>
            <w:top w:w="0" w:type="dxa"/>
            <w:left w:w="108" w:type="dxa"/>
            <w:bottom w:w="0" w:type="dxa"/>
            <w:right w:w="108" w:type="dxa"/>
          </w:tblCellMar>
        </w:tblPrEx>
        <w:tc>
          <w:tcPr>
            <w:tcW w:w="0" w:type="auto"/>
            <w:shd w:val="clear" w:color="auto" w:fill="auto"/>
          </w:tcPr>
          <w:p>
            <w:pPr>
              <w:pStyle w:val="TableText"/>
              <w:spacing w:line="263" w:lineRule="auto"/>
            </w:pPr>
          </w:p>
          <w:p>
            <w:pPr>
              <w:pStyle w:val="TableText"/>
              <w:spacing w:line="264" w:lineRule="auto"/>
            </w:pPr>
          </w:p>
          <w:p>
            <w:pPr>
              <w:spacing w:before="78"/>
              <w:ind w:left="111" w:leftChars="0"/>
              <w:rPr>
                <w:rFonts w:ascii="宋体" w:eastAsia="宋体" w:hAnsi="宋体" w:cs="宋体"/>
                <w:kern w:val="2"/>
                <w:sz w:val="24"/>
                <w:szCs w:val="24"/>
                <w:lang w:val="en-US" w:eastAsia="zh-CN" w:bidi="ar-SA"/>
              </w:rPr>
            </w:pPr>
            <w:r>
              <w:rPr>
                <w:rFonts w:ascii="宋体" w:eastAsia="宋体" w:hAnsi="宋体" w:cs="宋体"/>
                <w:sz w:val="24"/>
                <w:szCs w:val="24"/>
              </w:rPr>
              <w:t>3</w:t>
            </w:r>
          </w:p>
        </w:tc>
        <w:tc>
          <w:tcPr>
            <w:tcW w:w="976" w:type="dxa"/>
            <w:shd w:val="clear" w:color="auto" w:fill="auto"/>
          </w:tcPr>
          <w:p>
            <w:pPr>
              <w:pStyle w:val="TableText"/>
              <w:spacing w:line="263" w:lineRule="auto"/>
            </w:pPr>
          </w:p>
          <w:p>
            <w:pPr>
              <w:pStyle w:val="TableText"/>
              <w:spacing w:line="264" w:lineRule="auto"/>
            </w:pPr>
          </w:p>
          <w:p>
            <w:pPr>
              <w:spacing w:before="78" w:line="220" w:lineRule="auto"/>
              <w:ind w:left="125" w:leftChars="0"/>
              <w:rPr>
                <w:rFonts w:ascii="宋体" w:eastAsia="宋体" w:hAnsi="宋体" w:cs="宋体"/>
                <w:kern w:val="2"/>
                <w:sz w:val="24"/>
                <w:szCs w:val="24"/>
                <w:lang w:val="en-US" w:eastAsia="zh-CN" w:bidi="ar-SA"/>
              </w:rPr>
            </w:pPr>
            <w:r>
              <w:rPr>
                <w:rFonts w:ascii="宋体" w:eastAsia="宋体" w:hAnsi="宋体" w:cs="宋体"/>
                <w:sz w:val="24"/>
                <w:szCs w:val="24"/>
              </w:rPr>
              <w:t>中</w:t>
            </w:r>
          </w:p>
        </w:tc>
        <w:tc>
          <w:tcPr>
            <w:tcW w:w="7519" w:type="dxa"/>
            <w:shd w:val="clear" w:color="auto" w:fill="auto"/>
          </w:tcPr>
          <w:p>
            <w:pPr>
              <w:spacing w:before="246" w:line="219" w:lineRule="auto"/>
              <w:ind w:left="125"/>
              <w:rPr>
                <w:rFonts w:ascii="宋体" w:eastAsia="宋体" w:hAnsi="宋体" w:cs="宋体"/>
                <w:kern w:val="2"/>
                <w:sz w:val="24"/>
                <w:szCs w:val="24"/>
                <w:lang w:val="en-US" w:eastAsia="zh-CN" w:bidi="ar-SA"/>
              </w:rPr>
            </w:pPr>
            <w:r>
              <w:rPr>
                <w:rFonts w:ascii="宋体" w:eastAsia="宋体" w:hAnsi="宋体" w:cs="宋体"/>
                <w:spacing w:val="-4"/>
                <w:sz w:val="24"/>
                <w:szCs w:val="24"/>
              </w:rPr>
              <w:t>出现的频率中等（或&gt;1</w:t>
            </w:r>
            <w:r>
              <w:rPr>
                <w:rFonts w:ascii="宋体" w:eastAsia="宋体" w:hAnsi="宋体" w:cs="宋体"/>
                <w:spacing w:val="-46"/>
                <w:sz w:val="24"/>
                <w:szCs w:val="24"/>
              </w:rPr>
              <w:t xml:space="preserve"> </w:t>
            </w:r>
            <w:r>
              <w:rPr>
                <w:rFonts w:ascii="宋体" w:eastAsia="宋体" w:hAnsi="宋体" w:cs="宋体"/>
                <w:spacing w:val="-4"/>
                <w:sz w:val="24"/>
                <w:szCs w:val="24"/>
              </w:rPr>
              <w:t>次/半年</w:t>
            </w:r>
            <w:r>
              <w:rPr>
                <w:rFonts w:ascii="宋体" w:eastAsia="宋体" w:hAnsi="宋体" w:cs="宋体"/>
                <w:spacing w:val="-53"/>
                <w:sz w:val="24"/>
                <w:szCs w:val="24"/>
              </w:rPr>
              <w:t>）；</w:t>
            </w:r>
            <w:r>
              <w:rPr>
                <w:rFonts w:ascii="宋体" w:eastAsia="宋体" w:hAnsi="宋体" w:cs="宋体"/>
                <w:spacing w:val="-4"/>
                <w:sz w:val="24"/>
                <w:szCs w:val="24"/>
              </w:rPr>
              <w:t>或在某种情况下可能会发生；或被证</w:t>
            </w:r>
            <w:r>
              <w:rPr>
                <w:rFonts w:ascii="宋体" w:eastAsia="宋体" w:hAnsi="宋体" w:cs="宋体"/>
                <w:spacing w:val="-6"/>
                <w:sz w:val="24"/>
                <w:szCs w:val="24"/>
              </w:rPr>
              <w:t>实曾经发生过。</w:t>
            </w:r>
          </w:p>
        </w:tc>
      </w:tr>
      <w:tr>
        <w:tblPrEx>
          <w:tblW w:w="9261" w:type="dxa"/>
          <w:tblInd w:w="0" w:type="dxa"/>
          <w:tblCellMar>
            <w:top w:w="0" w:type="dxa"/>
            <w:left w:w="108" w:type="dxa"/>
            <w:bottom w:w="0" w:type="dxa"/>
            <w:right w:w="108" w:type="dxa"/>
          </w:tblCellMar>
        </w:tblPrEx>
        <w:tc>
          <w:tcPr>
            <w:tcW w:w="0" w:type="auto"/>
            <w:shd w:val="clear" w:color="auto" w:fill="auto"/>
          </w:tcPr>
          <w:p>
            <w:pPr>
              <w:spacing w:before="257" w:line="241" w:lineRule="auto"/>
              <w:ind w:left="109" w:leftChars="0"/>
              <w:rPr>
                <w:rFonts w:ascii="宋体" w:eastAsia="宋体" w:hAnsi="宋体" w:cs="宋体"/>
                <w:kern w:val="2"/>
                <w:sz w:val="24"/>
                <w:szCs w:val="24"/>
                <w:lang w:val="en-US" w:eastAsia="zh-CN" w:bidi="ar-SA"/>
              </w:rPr>
            </w:pPr>
            <w:r>
              <w:rPr>
                <w:rFonts w:ascii="宋体" w:eastAsia="宋体" w:hAnsi="宋体" w:cs="宋体"/>
                <w:sz w:val="24"/>
                <w:szCs w:val="24"/>
              </w:rPr>
              <w:t>2</w:t>
            </w:r>
          </w:p>
        </w:tc>
        <w:tc>
          <w:tcPr>
            <w:tcW w:w="976" w:type="dxa"/>
            <w:shd w:val="clear" w:color="auto" w:fill="auto"/>
          </w:tcPr>
          <w:p>
            <w:pPr>
              <w:spacing w:before="257" w:line="221" w:lineRule="auto"/>
              <w:ind w:left="102" w:leftChars="0"/>
              <w:rPr>
                <w:rFonts w:ascii="宋体" w:eastAsia="宋体" w:hAnsi="宋体" w:cs="宋体"/>
                <w:kern w:val="2"/>
                <w:sz w:val="24"/>
                <w:szCs w:val="24"/>
                <w:lang w:val="en-US" w:eastAsia="zh-CN" w:bidi="ar-SA"/>
              </w:rPr>
            </w:pPr>
            <w:r>
              <w:rPr>
                <w:rFonts w:ascii="宋体" w:eastAsia="宋体" w:hAnsi="宋体" w:cs="宋体"/>
                <w:sz w:val="24"/>
                <w:szCs w:val="24"/>
              </w:rPr>
              <w:t>低</w:t>
            </w:r>
          </w:p>
        </w:tc>
        <w:tc>
          <w:tcPr>
            <w:tcW w:w="7519" w:type="dxa"/>
            <w:shd w:val="clear" w:color="auto" w:fill="auto"/>
          </w:tcPr>
          <w:p>
            <w:pPr>
              <w:spacing w:before="258"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出现的频率较小，或一般不太可能发生；或没有被证实发生过。</w:t>
            </w:r>
          </w:p>
        </w:tc>
      </w:tr>
      <w:tr>
        <w:tblPrEx>
          <w:tblW w:w="9261" w:type="dxa"/>
          <w:tblInd w:w="0" w:type="dxa"/>
          <w:tblCellMar>
            <w:top w:w="0" w:type="dxa"/>
            <w:left w:w="108" w:type="dxa"/>
            <w:bottom w:w="0" w:type="dxa"/>
            <w:right w:w="108" w:type="dxa"/>
          </w:tblCellMar>
        </w:tblPrEx>
        <w:tc>
          <w:tcPr>
            <w:tcW w:w="0" w:type="auto"/>
            <w:shd w:val="clear" w:color="auto" w:fill="auto"/>
          </w:tcPr>
          <w:p>
            <w:pPr>
              <w:spacing w:before="261" w:line="241" w:lineRule="auto"/>
              <w:ind w:left="124" w:leftChars="0"/>
              <w:rPr>
                <w:rFonts w:ascii="宋体" w:eastAsia="宋体" w:hAnsi="宋体" w:cs="宋体"/>
                <w:kern w:val="2"/>
                <w:sz w:val="24"/>
                <w:szCs w:val="24"/>
                <w:lang w:val="en-US" w:eastAsia="zh-CN" w:bidi="ar-SA"/>
              </w:rPr>
            </w:pPr>
            <w:r>
              <w:rPr>
                <w:rFonts w:ascii="宋体" w:eastAsia="宋体" w:hAnsi="宋体" w:cs="宋体"/>
                <w:sz w:val="24"/>
                <w:szCs w:val="24"/>
              </w:rPr>
              <w:t>1</w:t>
            </w:r>
          </w:p>
        </w:tc>
        <w:tc>
          <w:tcPr>
            <w:tcW w:w="976" w:type="dxa"/>
            <w:shd w:val="clear" w:color="auto" w:fill="auto"/>
          </w:tcPr>
          <w:p>
            <w:pPr>
              <w:spacing w:before="261" w:line="220" w:lineRule="auto"/>
              <w:ind w:left="104" w:leftChars="0"/>
              <w:rPr>
                <w:rFonts w:ascii="宋体" w:eastAsia="宋体" w:hAnsi="宋体" w:cs="宋体"/>
                <w:kern w:val="2"/>
                <w:sz w:val="24"/>
                <w:szCs w:val="24"/>
                <w:lang w:val="en-US" w:eastAsia="zh-CN" w:bidi="ar-SA"/>
              </w:rPr>
            </w:pPr>
            <w:r>
              <w:rPr>
                <w:rFonts w:ascii="宋体" w:eastAsia="宋体" w:hAnsi="宋体" w:cs="宋体"/>
                <w:spacing w:val="-6"/>
                <w:sz w:val="24"/>
                <w:szCs w:val="24"/>
              </w:rPr>
              <w:t>很低</w:t>
            </w:r>
          </w:p>
        </w:tc>
        <w:tc>
          <w:tcPr>
            <w:tcW w:w="7519" w:type="dxa"/>
            <w:shd w:val="clear" w:color="auto" w:fill="auto"/>
          </w:tcPr>
          <w:p>
            <w:pPr>
              <w:spacing w:before="261" w:line="219" w:lineRule="auto"/>
              <w:rPr>
                <w:rFonts w:ascii="宋体" w:eastAsia="宋体" w:hAnsi="宋体" w:cs="宋体"/>
                <w:kern w:val="2"/>
                <w:sz w:val="24"/>
                <w:szCs w:val="24"/>
                <w:lang w:val="en-US" w:eastAsia="zh-CN" w:bidi="ar-SA"/>
              </w:rPr>
            </w:pPr>
            <w:r>
              <w:rPr>
                <w:rFonts w:ascii="宋体" w:eastAsia="宋体" w:hAnsi="宋体" w:cs="宋体"/>
                <w:spacing w:val="-4"/>
                <w:sz w:val="24"/>
                <w:szCs w:val="24"/>
              </w:rPr>
              <w:t>威胁几乎不可能发生，仅可能在非常罕见和例外的</w:t>
            </w:r>
            <w:r>
              <w:rPr>
                <w:rFonts w:ascii="宋体" w:eastAsia="宋体" w:hAnsi="宋体" w:cs="宋体"/>
                <w:spacing w:val="-5"/>
                <w:sz w:val="24"/>
                <w:szCs w:val="24"/>
              </w:rPr>
              <w:t>情况下发生。</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978" w:firstLineChars="1418"/>
        <w:jc w:val="left"/>
        <w:textAlignment w:val="auto"/>
        <w:rPr>
          <w:rFonts w:hint="default"/>
          <w:sz w:val="24"/>
          <w:lang w:val="en-US" w:eastAsia="zh-CN"/>
        </w:rPr>
      </w:pPr>
      <w:r>
        <w:rPr>
          <w:rFonts w:hint="default"/>
          <w:sz w:val="24"/>
          <w:lang w:val="en-US" w:eastAsia="zh-CN"/>
        </w:rPr>
        <w:t>威胁赋值表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阶段成果：在本阶段结束后本公司信息安全管理委员会应根据组织的重要信息资产、环境等因素，形成威胁的分类方法及具体的威胁列表，并向信息系统所有者提供《威胁列表》，为风险评估提供支持（可附在风险评估程序中，也可单独形成文件）。 《威胁列表》通常包括威胁名称、种类、来源、动机及出现的频率等，须由信息系统所有者书面确认。</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威胁识别阶段小结：</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639"/>
        <w:gridCol w:w="488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522" w:type="dxa"/>
            <w:gridSpan w:val="2"/>
            <w:shd w:val="clear" w:color="auto" w:fill="auto"/>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r>
              <w:rPr>
                <w:rFonts w:ascii="宋体" w:eastAsia="宋体" w:hAnsi="宋体" w:cs="宋体"/>
                <w:spacing w:val="-5"/>
                <w:sz w:val="24"/>
                <w:szCs w:val="24"/>
              </w:rPr>
              <w:t>威胁识别阶段</w:t>
            </w:r>
          </w:p>
        </w:tc>
      </w:tr>
      <w:tr>
        <w:tblPrEx>
          <w:tblW w:w="0" w:type="auto"/>
          <w:tblInd w:w="0" w:type="dxa"/>
          <w:tblCellMar>
            <w:top w:w="0" w:type="dxa"/>
            <w:left w:w="108" w:type="dxa"/>
            <w:bottom w:w="0" w:type="dxa"/>
            <w:right w:w="108" w:type="dxa"/>
          </w:tblCellMar>
        </w:tblPrEx>
        <w:tc>
          <w:tcPr>
            <w:tcW w:w="4261" w:type="dxa"/>
            <w:shd w:val="clear" w:color="auto" w:fill="auto"/>
          </w:tcPr>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工作任务</w:t>
            </w:r>
          </w:p>
        </w:tc>
        <w:tc>
          <w:tcPr>
            <w:tcW w:w="4261" w:type="dxa"/>
            <w:shd w:val="clear" w:color="auto" w:fill="auto"/>
          </w:tcPr>
          <w:p>
            <w:pPr>
              <w:spacing w:before="245" w:line="219" w:lineRule="auto"/>
              <w:jc w:val="both"/>
              <w:rPr>
                <w:rFonts w:ascii="宋体" w:eastAsia="宋体" w:hAnsi="宋体" w:cs="宋体" w:hint="default"/>
                <w:kern w:val="2"/>
                <w:sz w:val="24"/>
                <w:szCs w:val="24"/>
                <w:lang w:val="en-US" w:eastAsia="zh-CN" w:bidi="ar-SA"/>
              </w:rPr>
            </w:pPr>
            <w:r>
              <w:rPr>
                <w:rFonts w:ascii="宋体" w:eastAsia="宋体" w:hAnsi="宋体" w:cs="宋体"/>
                <w:spacing w:val="-7"/>
                <w:sz w:val="24"/>
                <w:szCs w:val="24"/>
              </w:rPr>
              <w:t>对信息系统所有者需要保护的每一项重要信息资产进行威胁识别；</w:t>
            </w:r>
            <w:r>
              <w:rPr>
                <w:rFonts w:ascii="宋体" w:eastAsia="宋体" w:hAnsi="宋体" w:cs="宋体"/>
                <w:spacing w:val="-5"/>
                <w:sz w:val="24"/>
                <w:szCs w:val="24"/>
              </w:rPr>
              <w:t>判断威胁发生的频率或者发生的概率，进行威胁赋值。</w:t>
            </w:r>
          </w:p>
        </w:tc>
      </w:tr>
      <w:tr>
        <w:tblPrEx>
          <w:tblW w:w="0" w:type="auto"/>
          <w:tblInd w:w="0" w:type="dxa"/>
          <w:tblCellMar>
            <w:top w:w="0" w:type="dxa"/>
            <w:left w:w="108" w:type="dxa"/>
            <w:bottom w:w="0" w:type="dxa"/>
            <w:right w:w="108" w:type="dxa"/>
          </w:tblCellMar>
        </w:tblPrEx>
        <w:tc>
          <w:tcPr>
            <w:tcW w:w="4261" w:type="dxa"/>
            <w:shd w:val="clear" w:color="auto" w:fill="auto"/>
          </w:tcPr>
          <w:p>
            <w:pPr>
              <w:spacing w:before="245" w:line="220" w:lineRule="auto"/>
              <w:ind w:left="119" w:leftChars="0"/>
              <w:rPr>
                <w:rFonts w:ascii="宋体" w:eastAsia="宋体" w:hAnsi="宋体" w:cs="宋体"/>
                <w:kern w:val="2"/>
                <w:sz w:val="24"/>
                <w:szCs w:val="24"/>
                <w:lang w:val="en-US" w:eastAsia="zh-CN" w:bidi="ar-SA"/>
              </w:rPr>
            </w:pPr>
            <w:r>
              <w:rPr>
                <w:rFonts w:ascii="宋体" w:eastAsia="宋体" w:hAnsi="宋体" w:cs="宋体"/>
                <w:spacing w:val="-5"/>
                <w:sz w:val="24"/>
                <w:szCs w:val="24"/>
              </w:rPr>
              <w:t>工作方式</w:t>
            </w:r>
          </w:p>
        </w:tc>
        <w:tc>
          <w:tcPr>
            <w:tcW w:w="4261" w:type="dxa"/>
            <w:shd w:val="clear" w:color="auto" w:fill="auto"/>
          </w:tcPr>
          <w:p>
            <w:pPr>
              <w:spacing w:before="245" w:line="221" w:lineRule="auto"/>
              <w:rPr>
                <w:rFonts w:ascii="宋体" w:eastAsia="宋体" w:hAnsi="宋体" w:cs="宋体"/>
                <w:kern w:val="2"/>
                <w:sz w:val="24"/>
                <w:szCs w:val="24"/>
                <w:lang w:val="en-US" w:eastAsia="zh-CN" w:bidi="ar-SA"/>
              </w:rPr>
            </w:pPr>
            <w:r>
              <w:rPr>
                <w:rFonts w:ascii="宋体" w:eastAsia="宋体" w:hAnsi="宋体" w:cs="宋体"/>
                <w:spacing w:val="-8"/>
                <w:sz w:val="24"/>
                <w:szCs w:val="24"/>
              </w:rPr>
              <w:t>问卷调查、人员问询</w:t>
            </w:r>
          </w:p>
        </w:tc>
      </w:tr>
      <w:tr>
        <w:tblPrEx>
          <w:tblW w:w="0" w:type="auto"/>
          <w:tblInd w:w="0" w:type="dxa"/>
          <w:tblCellMar>
            <w:top w:w="0" w:type="dxa"/>
            <w:left w:w="108" w:type="dxa"/>
            <w:bottom w:w="0" w:type="dxa"/>
            <w:right w:w="108" w:type="dxa"/>
          </w:tblCellMar>
        </w:tblPrEx>
        <w:tc>
          <w:tcPr>
            <w:tcW w:w="0" w:type="auto"/>
            <w:shd w:val="clear" w:color="auto" w:fill="auto"/>
          </w:tcPr>
          <w:p>
            <w:pPr>
              <w:spacing w:before="247" w:line="221" w:lineRule="auto"/>
              <w:ind w:left="118" w:leftChars="0"/>
              <w:rPr>
                <w:rFonts w:ascii="宋体" w:eastAsia="宋体" w:hAnsi="宋体" w:cs="宋体"/>
                <w:kern w:val="2"/>
                <w:sz w:val="24"/>
                <w:szCs w:val="24"/>
                <w:lang w:val="en-US" w:eastAsia="zh-CN" w:bidi="ar-SA"/>
              </w:rPr>
            </w:pPr>
            <w:r>
              <w:rPr>
                <w:rFonts w:ascii="宋体" w:eastAsia="宋体" w:hAnsi="宋体" w:cs="宋体"/>
                <w:spacing w:val="-5"/>
                <w:sz w:val="24"/>
                <w:szCs w:val="24"/>
              </w:rPr>
              <w:t>参与人员</w:t>
            </w:r>
          </w:p>
        </w:tc>
        <w:tc>
          <w:tcPr>
            <w:tcW w:w="0" w:type="auto"/>
            <w:shd w:val="clear" w:color="auto" w:fill="auto"/>
          </w:tcPr>
          <w:p>
            <w:pPr>
              <w:spacing w:before="248" w:line="218" w:lineRule="auto"/>
              <w:rPr>
                <w:rFonts w:ascii="宋体" w:eastAsia="宋体" w:hAnsi="宋体" w:cs="宋体"/>
                <w:kern w:val="2"/>
                <w:sz w:val="24"/>
                <w:szCs w:val="24"/>
                <w:lang w:val="en-US" w:eastAsia="zh-CN" w:bidi="ar-SA"/>
              </w:rPr>
            </w:pPr>
            <w:r>
              <w:rPr>
                <w:rFonts w:ascii="宋体" w:eastAsia="宋体" w:hAnsi="宋体" w:cs="宋体"/>
                <w:spacing w:val="-5"/>
                <w:sz w:val="24"/>
                <w:szCs w:val="24"/>
              </w:rPr>
              <w:t>信息系统所有者项目负责人及相关技术人员，评估小组</w:t>
            </w:r>
          </w:p>
        </w:tc>
      </w:tr>
      <w:tr>
        <w:tblPrEx>
          <w:tblW w:w="0" w:type="auto"/>
          <w:tblInd w:w="0" w:type="dxa"/>
          <w:tblCellMar>
            <w:top w:w="0" w:type="dxa"/>
            <w:left w:w="108" w:type="dxa"/>
            <w:bottom w:w="0" w:type="dxa"/>
            <w:right w:w="108" w:type="dxa"/>
          </w:tblCellMar>
        </w:tblPrEx>
        <w:tc>
          <w:tcPr>
            <w:tcW w:w="0" w:type="auto"/>
            <w:shd w:val="clear" w:color="auto" w:fill="auto"/>
          </w:tcPr>
          <w:p>
            <w:pPr>
              <w:spacing w:before="247" w:line="220" w:lineRule="auto"/>
              <w:ind w:left="127" w:leftChars="0"/>
              <w:rPr>
                <w:rFonts w:ascii="宋体" w:eastAsia="宋体" w:hAnsi="宋体" w:cs="宋体"/>
                <w:kern w:val="2"/>
                <w:sz w:val="24"/>
                <w:szCs w:val="24"/>
                <w:lang w:val="en-US" w:eastAsia="zh-CN" w:bidi="ar-SA"/>
              </w:rPr>
            </w:pPr>
            <w:r>
              <w:rPr>
                <w:rFonts w:ascii="宋体" w:eastAsia="宋体" w:hAnsi="宋体" w:cs="宋体"/>
                <w:spacing w:val="-7"/>
                <w:sz w:val="24"/>
                <w:szCs w:val="24"/>
              </w:rPr>
              <w:t>阶段成果</w:t>
            </w:r>
          </w:p>
        </w:tc>
        <w:tc>
          <w:tcPr>
            <w:tcW w:w="0" w:type="auto"/>
            <w:shd w:val="clear" w:color="auto" w:fill="auto"/>
          </w:tcPr>
          <w:p>
            <w:pPr>
              <w:spacing w:before="247" w:line="218" w:lineRule="auto"/>
              <w:rPr>
                <w:rFonts w:ascii="宋体" w:eastAsia="宋体" w:hAnsi="宋体" w:cs="宋体"/>
                <w:kern w:val="2"/>
                <w:sz w:val="24"/>
                <w:szCs w:val="24"/>
                <w:lang w:val="en-US" w:eastAsia="zh-CN" w:bidi="ar-SA"/>
              </w:rPr>
            </w:pPr>
            <w:r>
              <w:rPr>
                <w:rFonts w:ascii="宋体" w:eastAsia="宋体" w:hAnsi="宋体" w:cs="宋体"/>
                <w:spacing w:val="-5"/>
                <w:sz w:val="24"/>
                <w:szCs w:val="24"/>
              </w:rPr>
              <w:t>《信息安全风险评估表》中的威胁识别部分</w:t>
            </w:r>
          </w:p>
        </w:tc>
      </w:tr>
    </w:tbl>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pPr>
        <w:pStyle w:val="Heading3"/>
        <w:bidi w:val="0"/>
        <w:rPr>
          <w:rFonts w:hint="default"/>
          <w:lang w:val="en-US" w:eastAsia="zh-CN"/>
        </w:rPr>
      </w:pPr>
      <w:bookmarkStart w:id="13" w:name="_Toc6077"/>
      <w:r>
        <w:rPr>
          <w:rFonts w:hint="default"/>
          <w:lang w:val="en-US" w:eastAsia="zh-CN"/>
        </w:rPr>
        <w:t>3.4.4 脆弱性识别</w:t>
      </w:r>
      <w:bookmarkEnd w:id="13"/>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是对一个或多个资产弱点的总称。脆弱性识别也称为弱点识别，是风险评估中重要的内容。弱点是资产本身固有的缺陷，任何一种资产均具有脆弱性，并非“不合格”品，它可以被威胁利用、引起资产或商业目标的损害。弱点包括物理环境、组织、过程、人员、管理、配置、硬件、软件和信息等各种资产的脆弱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值得注意的是，弱点虽然是资产本身固有的，但它本身不会造成损失，它只是一种条件或环境、可能导致被威胁利用而造成资产损失。所以如果没有相应的威胁发生，单纯的弱点并不会对资产造成损害。那些没有安全威胁的弱点可以不需要实施安全保护措施，但它们必须记录下来以确保当环境、条件有所变化时能随之加以改变。需要注意的是不正确的、起不到应有作用的或没有正确实施的安全保护措施本身就可能是一个安全薄弱环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识别将针对每一项需要保护的信息资产，找出每一种威胁所能利用的脆弱性，并对脆弱性的严重程度进行评估，即对脆弱性被威胁利用的可能性进行评估，最终为其赋相应等级值。在进行脆弱性评估时，提供的数据应该来自于这些资产的拥有者或使用者，来自于相关业务领域的专家以及软硬件信息系统方面的专业人员。</w:t>
      </w:r>
    </w:p>
    <w:p>
      <w:pPr>
        <w:pStyle w:val="Heading4"/>
        <w:bidi w:val="0"/>
        <w:rPr>
          <w:rFonts w:hint="default"/>
          <w:lang w:val="en-US" w:eastAsia="zh-CN"/>
        </w:rPr>
      </w:pPr>
      <w:r>
        <w:rPr>
          <w:rFonts w:hint="default"/>
          <w:lang w:val="en-US" w:eastAsia="zh-CN"/>
        </w:rPr>
        <w:t>3.4.4.1脆弱性识别内容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脆弱性的识别可以以资产为核心，即根据每个资产分别识别其存在的弱点，然后综合评价该资产的脆弱性；也可以分物理、网络、系统、应用等层次进行识别，然后与资产、威胁结合起来。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脆弱性主要从技术和管理两个方面进行评估，涉及物理层、网络层、系统层、应用层、管理层等各个层面的安全问题。表 3.12 列出了脆弱性的分类。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8"/>
        <w:gridCol w:w="870"/>
        <w:gridCol w:w="691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65" w:type="dxa"/>
            <w:shd w:val="clear" w:color="auto" w:fill="auto"/>
          </w:tcPr>
          <w:p>
            <w:pPr>
              <w:spacing w:before="246" w:line="219" w:lineRule="auto"/>
              <w:ind w:left="116"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脆弱性分类</w:t>
            </w:r>
          </w:p>
        </w:tc>
        <w:tc>
          <w:tcPr>
            <w:tcW w:w="1025" w:type="dxa"/>
            <w:shd w:val="clear" w:color="auto" w:fill="auto"/>
          </w:tcPr>
          <w:p>
            <w:pPr>
              <w:spacing w:before="247" w:line="221" w:lineRule="auto"/>
              <w:ind w:left="116"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名称</w:t>
            </w:r>
          </w:p>
        </w:tc>
        <w:tc>
          <w:tcPr>
            <w:tcW w:w="6632" w:type="dxa"/>
            <w:shd w:val="clear" w:color="auto" w:fill="auto"/>
          </w:tcPr>
          <w:p>
            <w:pPr>
              <w:spacing w:before="247" w:line="219"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包含内容</w:t>
            </w:r>
          </w:p>
        </w:tc>
      </w:tr>
      <w:tr>
        <w:tblPrEx>
          <w:tblW w:w="0" w:type="auto"/>
          <w:tblInd w:w="0" w:type="dxa"/>
          <w:tblCellMar>
            <w:top w:w="0" w:type="dxa"/>
            <w:left w:w="108" w:type="dxa"/>
            <w:bottom w:w="0" w:type="dxa"/>
            <w:right w:w="108" w:type="dxa"/>
          </w:tblCellMar>
        </w:tblPrEx>
        <w:tc>
          <w:tcPr>
            <w:tcW w:w="865" w:type="dxa"/>
            <w:vMerge w:val="restart"/>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p>
          <w:p>
            <w:pPr>
              <w:bidi w:val="0"/>
              <w:rPr>
                <w:rFonts w:ascii="Times New Roman" w:eastAsia="宋体" w:hAnsi="Times New Roman" w:cs="Times New Roman" w:hint="default"/>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jc w:val="left"/>
              <w:rPr>
                <w:rFonts w:eastAsia="宋体" w:hint="default"/>
                <w:lang w:val="en-US" w:eastAsia="zh-CN"/>
              </w:rPr>
            </w:pPr>
            <w:r>
              <w:rPr>
                <w:rFonts w:hint="eastAsia"/>
                <w:lang w:val="en-US" w:eastAsia="zh-CN"/>
              </w:rPr>
              <w:t>技术和操作脆弱性</w:t>
            </w:r>
          </w:p>
        </w:tc>
        <w:tc>
          <w:tcPr>
            <w:tcW w:w="1025" w:type="dxa"/>
            <w:shd w:val="clear" w:color="auto" w:fill="auto"/>
          </w:tcPr>
          <w:p>
            <w:pPr>
              <w:spacing w:before="78" w:line="220"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物理环境</w:t>
            </w:r>
          </w:p>
        </w:tc>
        <w:tc>
          <w:tcPr>
            <w:tcW w:w="6632" w:type="dxa"/>
            <w:shd w:val="clear" w:color="auto" w:fill="auto"/>
          </w:tcPr>
          <w:p>
            <w:pPr>
              <w:spacing w:before="242" w:line="219" w:lineRule="auto"/>
              <w:rPr>
                <w:rFonts w:ascii="宋体" w:eastAsia="宋体" w:hAnsi="宋体" w:cs="宋体" w:hint="default"/>
                <w:kern w:val="2"/>
                <w:sz w:val="24"/>
                <w:szCs w:val="24"/>
                <w:lang w:val="en-US" w:eastAsia="zh-CN" w:bidi="ar-SA"/>
              </w:rPr>
            </w:pPr>
            <w:r>
              <w:rPr>
                <w:rFonts w:ascii="宋体" w:eastAsia="宋体" w:hAnsi="宋体" w:cs="宋体"/>
                <w:spacing w:val="-2"/>
                <w:sz w:val="24"/>
                <w:szCs w:val="24"/>
              </w:rPr>
              <w:t>从机房场地、机房防火、机房供配电、机房防静电、机房接地与防雷、电磁防护、通信线路的保护、机房区域防护、机房设</w:t>
            </w:r>
            <w:r>
              <w:rPr>
                <w:rFonts w:ascii="宋体" w:eastAsia="宋体" w:hAnsi="宋体" w:cs="宋体"/>
                <w:spacing w:val="-5"/>
                <w:sz w:val="24"/>
                <w:szCs w:val="24"/>
              </w:rPr>
              <w:t>备管理等方面进行识别。</w:t>
            </w:r>
          </w:p>
        </w:tc>
      </w:tr>
      <w:tr>
        <w:tblPrEx>
          <w:tblW w:w="0" w:type="auto"/>
          <w:tblInd w:w="0" w:type="dxa"/>
          <w:tblCellMar>
            <w:top w:w="0" w:type="dxa"/>
            <w:left w:w="108" w:type="dxa"/>
            <w:bottom w:w="0" w:type="dxa"/>
            <w:right w:w="108" w:type="dxa"/>
          </w:tblCellMar>
        </w:tblPrEx>
        <w:tc>
          <w:tcPr>
            <w:tcW w:w="865" w:type="dxa"/>
            <w:vMerge/>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p>
        </w:tc>
        <w:tc>
          <w:tcPr>
            <w:tcW w:w="1025" w:type="dxa"/>
            <w:shd w:val="clear" w:color="auto" w:fill="auto"/>
          </w:tcPr>
          <w:p>
            <w:pPr>
              <w:spacing w:before="78" w:line="220" w:lineRule="auto"/>
              <w:rPr>
                <w:rFonts w:ascii="宋体" w:eastAsia="宋体" w:hAnsi="宋体" w:cs="宋体" w:hint="default"/>
                <w:kern w:val="2"/>
                <w:sz w:val="24"/>
                <w:szCs w:val="24"/>
                <w:lang w:val="en-US" w:eastAsia="zh-CN" w:bidi="ar-SA"/>
              </w:rPr>
            </w:pPr>
            <w:r>
              <w:rPr>
                <w:rFonts w:ascii="宋体" w:eastAsia="宋体" w:hAnsi="宋体" w:cs="宋体"/>
                <w:spacing w:val="-9"/>
                <w:sz w:val="24"/>
                <w:szCs w:val="24"/>
              </w:rPr>
              <w:t>网络结构</w:t>
            </w:r>
          </w:p>
        </w:tc>
        <w:tc>
          <w:tcPr>
            <w:tcW w:w="0" w:type="auto"/>
            <w:shd w:val="clear" w:color="auto" w:fill="auto"/>
          </w:tcPr>
          <w:p>
            <w:pPr>
              <w:spacing w:before="244" w:line="219" w:lineRule="auto"/>
              <w:rPr>
                <w:rFonts w:ascii="宋体" w:eastAsia="宋体" w:hAnsi="宋体" w:cs="宋体" w:hint="default"/>
                <w:kern w:val="2"/>
                <w:sz w:val="24"/>
                <w:szCs w:val="24"/>
                <w:lang w:val="en-US" w:eastAsia="zh-CN" w:bidi="ar-SA"/>
              </w:rPr>
            </w:pPr>
            <w:r>
              <w:rPr>
                <w:rFonts w:ascii="宋体" w:eastAsia="宋体" w:hAnsi="宋体" w:cs="宋体"/>
                <w:spacing w:val="-2"/>
                <w:sz w:val="24"/>
                <w:szCs w:val="24"/>
              </w:rPr>
              <w:t>从网络结构设计、边界保护、外部访问控制策略、内部访问控</w:t>
            </w:r>
            <w:r>
              <w:rPr>
                <w:rFonts w:ascii="宋体" w:eastAsia="宋体" w:hAnsi="宋体" w:cs="宋体"/>
                <w:spacing w:val="-5"/>
                <w:sz w:val="24"/>
                <w:szCs w:val="24"/>
              </w:rPr>
              <w:t>制策略、网络设备安全配置等方面进行识别。</w:t>
            </w:r>
          </w:p>
        </w:tc>
      </w:tr>
      <w:tr>
        <w:tblPrEx>
          <w:tblW w:w="0" w:type="auto"/>
          <w:tblInd w:w="0" w:type="dxa"/>
          <w:tblCellMar>
            <w:top w:w="0" w:type="dxa"/>
            <w:left w:w="108" w:type="dxa"/>
            <w:bottom w:w="0" w:type="dxa"/>
            <w:right w:w="108" w:type="dxa"/>
          </w:tblCellMar>
        </w:tblPrEx>
        <w:tc>
          <w:tcPr>
            <w:tcW w:w="865" w:type="dxa"/>
            <w:vMerge/>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p>
        </w:tc>
        <w:tc>
          <w:tcPr>
            <w:tcW w:w="1025" w:type="dxa"/>
            <w:shd w:val="clear" w:color="auto" w:fill="auto"/>
          </w:tcPr>
          <w:p>
            <w:pPr>
              <w:spacing w:before="78" w:line="220" w:lineRule="auto"/>
              <w:rPr>
                <w:rFonts w:ascii="宋体" w:eastAsia="宋体" w:hAnsi="宋体" w:cs="宋体"/>
                <w:kern w:val="2"/>
                <w:sz w:val="24"/>
                <w:szCs w:val="24"/>
                <w:lang w:val="en-US" w:eastAsia="zh-CN" w:bidi="ar-SA"/>
              </w:rPr>
            </w:pPr>
            <w:r>
              <w:rPr>
                <w:rFonts w:ascii="宋体" w:eastAsia="宋体" w:hAnsi="宋体" w:cs="宋体"/>
                <w:spacing w:val="-9"/>
                <w:sz w:val="24"/>
                <w:szCs w:val="24"/>
              </w:rPr>
              <w:t>系统 环境（含操作系统及系统服务）</w:t>
            </w:r>
          </w:p>
        </w:tc>
        <w:tc>
          <w:tcPr>
            <w:tcW w:w="0" w:type="auto"/>
            <w:shd w:val="clear" w:color="auto" w:fill="auto"/>
          </w:tcPr>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2"/>
                <w:sz w:val="24"/>
                <w:szCs w:val="24"/>
              </w:rPr>
              <w:t>从补丁安装、鉴别机制、口令机制、访问控制、网络和服务设</w:t>
            </w:r>
            <w:r>
              <w:rPr>
                <w:rFonts w:ascii="宋体" w:eastAsia="宋体" w:hAnsi="宋体" w:cs="宋体"/>
                <w:spacing w:val="-5"/>
                <w:sz w:val="24"/>
                <w:szCs w:val="24"/>
              </w:rPr>
              <w:t>置、备份恢复机制、审计机制等方面进行识别。</w:t>
            </w:r>
          </w:p>
        </w:tc>
      </w:tr>
      <w:tr>
        <w:tblPrEx>
          <w:tblW w:w="0" w:type="auto"/>
          <w:tblInd w:w="0" w:type="dxa"/>
          <w:tblCellMar>
            <w:top w:w="0" w:type="dxa"/>
            <w:left w:w="108" w:type="dxa"/>
            <w:bottom w:w="0" w:type="dxa"/>
            <w:right w:w="108" w:type="dxa"/>
          </w:tblCellMar>
        </w:tblPrEx>
        <w:tc>
          <w:tcPr>
            <w:tcW w:w="865" w:type="dxa"/>
            <w:vMerge/>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p>
        </w:tc>
        <w:tc>
          <w:tcPr>
            <w:tcW w:w="1025" w:type="dxa"/>
            <w:shd w:val="clear" w:color="auto" w:fill="auto"/>
          </w:tcPr>
          <w:p>
            <w:pPr>
              <w:spacing w:before="246" w:line="219" w:lineRule="auto"/>
              <w:ind w:left="113" w:leftChars="0"/>
              <w:rPr>
                <w:rFonts w:ascii="宋体" w:eastAsia="宋体" w:hAnsi="宋体" w:cs="宋体"/>
                <w:kern w:val="2"/>
                <w:sz w:val="24"/>
                <w:szCs w:val="24"/>
                <w:lang w:val="en-US" w:eastAsia="zh-CN" w:bidi="ar-SA"/>
              </w:rPr>
            </w:pPr>
            <w:r>
              <w:rPr>
                <w:rFonts w:ascii="宋体" w:eastAsia="宋体" w:hAnsi="宋体" w:cs="宋体"/>
                <w:spacing w:val="-5"/>
                <w:sz w:val="24"/>
                <w:szCs w:val="24"/>
              </w:rPr>
              <w:t>应用中间件</w:t>
            </w:r>
          </w:p>
        </w:tc>
        <w:tc>
          <w:tcPr>
            <w:tcW w:w="0" w:type="auto"/>
            <w:shd w:val="clear" w:color="auto" w:fill="auto"/>
          </w:tcPr>
          <w:p>
            <w:pPr>
              <w:spacing w:before="246" w:line="219" w:lineRule="auto"/>
              <w:ind w:left="116" w:leftChars="0"/>
              <w:rPr>
                <w:rFonts w:ascii="宋体" w:eastAsia="宋体" w:hAnsi="宋体" w:cs="宋体"/>
                <w:kern w:val="2"/>
                <w:sz w:val="24"/>
                <w:szCs w:val="24"/>
                <w:lang w:val="en-US" w:eastAsia="zh-CN" w:bidi="ar-SA"/>
              </w:rPr>
            </w:pPr>
            <w:r>
              <w:rPr>
                <w:rFonts w:ascii="宋体" w:eastAsia="宋体" w:hAnsi="宋体" w:cs="宋体"/>
                <w:spacing w:val="-5"/>
                <w:sz w:val="24"/>
                <w:szCs w:val="24"/>
              </w:rPr>
              <w:t>从协议安全、交易完整性、数据完整性等方面进行识别</w:t>
            </w:r>
          </w:p>
        </w:tc>
      </w:tr>
      <w:tr>
        <w:tblPrEx>
          <w:tblW w:w="0" w:type="auto"/>
          <w:tblInd w:w="0" w:type="dxa"/>
          <w:tblCellMar>
            <w:top w:w="0" w:type="dxa"/>
            <w:left w:w="108" w:type="dxa"/>
            <w:bottom w:w="0" w:type="dxa"/>
            <w:right w:w="108" w:type="dxa"/>
          </w:tblCellMar>
        </w:tblPrEx>
        <w:tc>
          <w:tcPr>
            <w:tcW w:w="865" w:type="dxa"/>
            <w:vMerge/>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p>
        </w:tc>
        <w:tc>
          <w:tcPr>
            <w:tcW w:w="1025" w:type="dxa"/>
            <w:shd w:val="clear" w:color="auto" w:fill="auto"/>
          </w:tcPr>
          <w:p>
            <w:pPr>
              <w:spacing w:before="78" w:line="221" w:lineRule="auto"/>
              <w:rPr>
                <w:rFonts w:ascii="宋体" w:eastAsia="宋体" w:hAnsi="宋体" w:cs="宋体"/>
                <w:kern w:val="2"/>
                <w:sz w:val="24"/>
                <w:szCs w:val="24"/>
                <w:lang w:val="en-US" w:eastAsia="zh-CN" w:bidi="ar-SA"/>
              </w:rPr>
            </w:pPr>
            <w:r>
              <w:rPr>
                <w:rFonts w:ascii="宋体" w:eastAsia="宋体" w:hAnsi="宋体" w:cs="宋体"/>
                <w:spacing w:val="-5"/>
                <w:sz w:val="24"/>
                <w:szCs w:val="24"/>
              </w:rPr>
              <w:t>应用系统</w:t>
            </w:r>
          </w:p>
        </w:tc>
        <w:tc>
          <w:tcPr>
            <w:tcW w:w="0" w:type="auto"/>
            <w:shd w:val="clear" w:color="auto" w:fill="auto"/>
          </w:tcPr>
          <w:p>
            <w:pPr>
              <w:spacing w:before="243" w:line="219" w:lineRule="auto"/>
              <w:ind w:left="116"/>
              <w:rPr>
                <w:rFonts w:ascii="宋体" w:eastAsia="宋体" w:hAnsi="宋体" w:cs="宋体"/>
                <w:kern w:val="2"/>
                <w:sz w:val="24"/>
                <w:szCs w:val="24"/>
                <w:lang w:val="en-US" w:eastAsia="zh-CN" w:bidi="ar-SA"/>
              </w:rPr>
            </w:pPr>
            <w:r>
              <w:rPr>
                <w:rFonts w:ascii="宋体" w:eastAsia="宋体" w:hAnsi="宋体" w:cs="宋体"/>
                <w:spacing w:val="-2"/>
                <w:sz w:val="24"/>
                <w:szCs w:val="24"/>
              </w:rPr>
              <w:t>从审计机制、审计存储、访问控制策略、数据完整性、通信、</w:t>
            </w:r>
            <w:r>
              <w:rPr>
                <w:rFonts w:ascii="宋体" w:eastAsia="宋体" w:hAnsi="宋体" w:cs="宋体"/>
                <w:spacing w:val="-5"/>
                <w:sz w:val="24"/>
                <w:szCs w:val="24"/>
              </w:rPr>
              <w:t>鉴别机制、密码保护等方面进行识别</w:t>
            </w:r>
          </w:p>
        </w:tc>
      </w:tr>
      <w:tr>
        <w:tblPrEx>
          <w:tblW w:w="0" w:type="auto"/>
          <w:tblInd w:w="0" w:type="dxa"/>
          <w:tblCellMar>
            <w:top w:w="0" w:type="dxa"/>
            <w:left w:w="108" w:type="dxa"/>
            <w:bottom w:w="0" w:type="dxa"/>
            <w:right w:w="108" w:type="dxa"/>
          </w:tblCellMar>
        </w:tblPrEx>
        <w:tc>
          <w:tcPr>
            <w:tcW w:w="865" w:type="dxa"/>
            <w:vMerge/>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vertAlign w:val="baseline"/>
                <w:lang w:val="en-US" w:eastAsia="zh-CN"/>
              </w:rPr>
            </w:pPr>
          </w:p>
        </w:tc>
        <w:tc>
          <w:tcPr>
            <w:tcW w:w="1025" w:type="dxa"/>
            <w:shd w:val="clear" w:color="auto" w:fill="auto"/>
          </w:tcPr>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4"/>
                <w:sz w:val="24"/>
                <w:szCs w:val="24"/>
              </w:rPr>
              <w:t>操作方面</w:t>
            </w:r>
          </w:p>
        </w:tc>
        <w:tc>
          <w:tcPr>
            <w:tcW w:w="0" w:type="auto"/>
            <w:shd w:val="clear" w:color="auto" w:fill="auto"/>
          </w:tcPr>
          <w:p>
            <w:pPr>
              <w:spacing w:before="247" w:line="219" w:lineRule="auto"/>
              <w:ind w:left="116"/>
              <w:rPr>
                <w:rFonts w:ascii="宋体" w:eastAsia="宋体" w:hAnsi="宋体" w:cs="宋体"/>
                <w:kern w:val="2"/>
                <w:sz w:val="24"/>
                <w:szCs w:val="24"/>
                <w:lang w:val="en-US" w:eastAsia="zh-CN" w:bidi="ar-SA"/>
              </w:rPr>
            </w:pPr>
            <w:r>
              <w:rPr>
                <w:rFonts w:ascii="宋体" w:eastAsia="宋体" w:hAnsi="宋体" w:cs="宋体"/>
                <w:spacing w:val="-2"/>
                <w:sz w:val="24"/>
                <w:szCs w:val="24"/>
              </w:rPr>
              <w:t>软件和系统在配置、操作、使用中的缺陷，包括人员日常工作</w:t>
            </w:r>
            <w:r>
              <w:rPr>
                <w:rFonts w:ascii="宋体" w:eastAsia="宋体" w:hAnsi="宋体" w:cs="宋体"/>
                <w:spacing w:val="-6"/>
                <w:sz w:val="24"/>
                <w:szCs w:val="24"/>
              </w:rPr>
              <w:t>中的不良习惯，审计或备份的缺乏进行识别。</w:t>
            </w:r>
          </w:p>
        </w:tc>
      </w:tr>
      <w:tr>
        <w:tblPrEx>
          <w:tblW w:w="0" w:type="auto"/>
          <w:tblInd w:w="0" w:type="dxa"/>
          <w:tblCellMar>
            <w:top w:w="0" w:type="dxa"/>
            <w:left w:w="108" w:type="dxa"/>
            <w:bottom w:w="0" w:type="dxa"/>
            <w:right w:w="108" w:type="dxa"/>
          </w:tblCellMar>
        </w:tblPrEx>
        <w:tc>
          <w:tcPr>
            <w:tcW w:w="865" w:type="dxa"/>
            <w:vMerge w:val="restart"/>
            <w:shd w:val="clear" w:color="auto" w:fill="auto"/>
          </w:tcPr>
          <w:p>
            <w:pPr>
              <w:pStyle w:val="TableText"/>
              <w:spacing w:line="262" w:lineRule="auto"/>
            </w:pPr>
          </w:p>
          <w:p>
            <w:pPr>
              <w:pStyle w:val="TableText"/>
              <w:spacing w:line="262" w:lineRule="auto"/>
            </w:pPr>
          </w:p>
          <w:p>
            <w:pPr>
              <w:spacing w:before="78" w:line="219" w:lineRule="auto"/>
              <w:ind w:left="122"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管理脆弱性</w:t>
            </w:r>
          </w:p>
        </w:tc>
        <w:tc>
          <w:tcPr>
            <w:tcW w:w="1025" w:type="dxa"/>
            <w:shd w:val="clear" w:color="auto" w:fill="auto"/>
          </w:tcPr>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技术管理</w:t>
            </w:r>
          </w:p>
        </w:tc>
        <w:tc>
          <w:tcPr>
            <w:tcW w:w="0" w:type="auto"/>
            <w:shd w:val="clear" w:color="auto" w:fill="auto"/>
          </w:tcPr>
          <w:p>
            <w:pPr>
              <w:spacing w:before="247" w:line="219" w:lineRule="auto"/>
              <w:ind w:left="116"/>
              <w:rPr>
                <w:rFonts w:ascii="宋体" w:eastAsia="宋体" w:hAnsi="宋体" w:cs="宋体"/>
                <w:kern w:val="2"/>
                <w:sz w:val="24"/>
                <w:szCs w:val="24"/>
                <w:lang w:val="en-US" w:eastAsia="zh-CN" w:bidi="ar-SA"/>
              </w:rPr>
            </w:pPr>
            <w:r>
              <w:rPr>
                <w:rFonts w:ascii="宋体" w:eastAsia="宋体" w:hAnsi="宋体" w:cs="宋体"/>
                <w:spacing w:val="-2"/>
                <w:sz w:val="24"/>
                <w:szCs w:val="24"/>
              </w:rPr>
              <w:t>从物理和环境安全、通信与操作管理、访问控制、系统开发与</w:t>
            </w:r>
            <w:r>
              <w:rPr>
                <w:rFonts w:ascii="宋体" w:eastAsia="宋体" w:hAnsi="宋体" w:cs="宋体"/>
                <w:spacing w:val="-5"/>
                <w:sz w:val="24"/>
                <w:szCs w:val="24"/>
              </w:rPr>
              <w:t>维护、业务连续性等方面进行识别</w:t>
            </w:r>
          </w:p>
        </w:tc>
      </w:tr>
      <w:tr>
        <w:tblPrEx>
          <w:tblW w:w="0" w:type="auto"/>
          <w:tblInd w:w="0" w:type="dxa"/>
          <w:tblCellMar>
            <w:top w:w="0" w:type="dxa"/>
            <w:left w:w="108" w:type="dxa"/>
            <w:bottom w:w="0" w:type="dxa"/>
            <w:right w:w="108" w:type="dxa"/>
          </w:tblCellMar>
        </w:tblPrEx>
        <w:tc>
          <w:tcPr>
            <w:tcW w:w="865" w:type="dxa"/>
            <w:vMerge/>
            <w:shd w:val="clear" w:color="auto" w:fill="auto"/>
          </w:tcPr>
          <w:p>
            <w:pPr>
              <w:spacing w:before="78" w:line="219" w:lineRule="auto"/>
              <w:ind w:left="122" w:leftChars="0"/>
              <w:rPr>
                <w:rFonts w:ascii="宋体" w:eastAsia="宋体" w:hAnsi="宋体" w:cs="宋体"/>
                <w:spacing w:val="-6"/>
                <w:sz w:val="24"/>
                <w:szCs w:val="24"/>
              </w:rPr>
            </w:pPr>
          </w:p>
        </w:tc>
        <w:tc>
          <w:tcPr>
            <w:tcW w:w="1025" w:type="dxa"/>
            <w:shd w:val="clear" w:color="auto" w:fill="auto"/>
          </w:tcPr>
          <w:p>
            <w:pPr>
              <w:spacing w:before="78" w:line="219" w:lineRule="auto"/>
              <w:rPr>
                <w:rFonts w:ascii="宋体" w:eastAsia="宋体" w:hAnsi="宋体" w:cs="宋体"/>
                <w:kern w:val="2"/>
                <w:sz w:val="24"/>
                <w:szCs w:val="24"/>
                <w:lang w:val="en-US" w:eastAsia="zh-CN" w:bidi="ar-SA"/>
              </w:rPr>
            </w:pPr>
            <w:r>
              <w:rPr>
                <w:rFonts w:ascii="宋体" w:eastAsia="宋体" w:hAnsi="宋体" w:cs="宋体"/>
                <w:spacing w:val="-5"/>
                <w:sz w:val="24"/>
                <w:szCs w:val="24"/>
              </w:rPr>
              <w:t>组织管理</w:t>
            </w:r>
          </w:p>
        </w:tc>
        <w:tc>
          <w:tcPr>
            <w:tcW w:w="0" w:type="auto"/>
            <w:shd w:val="clear" w:color="auto" w:fill="auto"/>
          </w:tcPr>
          <w:p>
            <w:pPr>
              <w:spacing w:before="248" w:line="219" w:lineRule="auto"/>
              <w:ind w:left="116"/>
              <w:rPr>
                <w:rFonts w:ascii="宋体" w:eastAsia="宋体" w:hAnsi="宋体" w:cs="宋体"/>
                <w:kern w:val="2"/>
                <w:sz w:val="24"/>
                <w:szCs w:val="24"/>
                <w:lang w:val="en-US" w:eastAsia="zh-CN" w:bidi="ar-SA"/>
              </w:rPr>
            </w:pPr>
            <w:r>
              <w:rPr>
                <w:rFonts w:ascii="宋体" w:eastAsia="宋体" w:hAnsi="宋体" w:cs="宋体"/>
                <w:spacing w:val="-2"/>
                <w:sz w:val="24"/>
                <w:szCs w:val="24"/>
              </w:rPr>
              <w:t>从安全策略、组织安全、资产分类与控制、人员安全、符合性</w:t>
            </w:r>
            <w:r>
              <w:rPr>
                <w:rFonts w:ascii="宋体" w:eastAsia="宋体" w:hAnsi="宋体" w:cs="宋体"/>
                <w:spacing w:val="-5"/>
                <w:sz w:val="24"/>
                <w:szCs w:val="24"/>
              </w:rPr>
              <w:t>等方面进行识别</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脆弱性的分类具体描述如下：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物理安全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信息系统的物理安全是指包括计算机、网络在内的所有与信息系统安全相关的环境、设备、存储介质的安全。物理安全的评估内容包括：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物理环境安全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0" name="IM 40"/>
            <wp:cNvGraphicFramePr/>
            <a:graphic xmlns:a="http://schemas.openxmlformats.org/drawingml/2006/main">
              <a:graphicData uri="http://schemas.openxmlformats.org/drawingml/2006/picture">
                <pic:pic xmlns:pic="http://schemas.openxmlformats.org/drawingml/2006/picture">
                  <pic:nvPicPr>
                    <pic:cNvPr id="20"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包括机房物理位置的选择、防火、防水和防潮、防静电、防雷击、电磁防护、温湿度控制、电力供应、物理访问控制等。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1" name="IM 40"/>
            <wp:cNvGraphicFramePr/>
            <a:graphic xmlns:a="http://schemas.openxmlformats.org/drawingml/2006/main">
              <a:graphicData uri="http://schemas.openxmlformats.org/drawingml/2006/picture">
                <pic:pic xmlns:pic="http://schemas.openxmlformats.org/drawingml/2006/picture">
                  <pic:nvPicPr>
                    <pic:cNvPr id="21"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设备安全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2" name="IM 40"/>
            <wp:cNvGraphicFramePr/>
            <a:graphic xmlns:a="http://schemas.openxmlformats.org/drawingml/2006/main">
              <a:graphicData uri="http://schemas.openxmlformats.org/drawingml/2006/picture">
                <pic:pic xmlns:pic="http://schemas.openxmlformats.org/drawingml/2006/picture">
                  <pic:nvPicPr>
                    <pic:cNvPr id="22"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包括设备采购、安装、访问、废弃等方面的安全。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3" name="IM 40"/>
            <wp:cNvGraphicFramePr/>
            <a:graphic xmlns:a="http://schemas.openxmlformats.org/drawingml/2006/main">
              <a:graphicData uri="http://schemas.openxmlformats.org/drawingml/2006/picture">
                <pic:pic xmlns:pic="http://schemas.openxmlformats.org/drawingml/2006/picture">
                  <pic:nvPicPr>
                    <pic:cNvPr id="23"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存储介质安全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4" name="IM 40"/>
            <wp:cNvGraphicFramePr/>
            <a:graphic xmlns:a="http://schemas.openxmlformats.org/drawingml/2006/main">
              <a:graphicData uri="http://schemas.openxmlformats.org/drawingml/2006/picture">
                <pic:pic xmlns:pic="http://schemas.openxmlformats.org/drawingml/2006/picture">
                  <pic:nvPicPr>
                    <pic:cNvPr id="24"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包括介质管理、使用、销毁等方面的安全。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5" name="IM 40"/>
            <wp:cNvGraphicFramePr/>
            <a:graphic xmlns:a="http://schemas.openxmlformats.org/drawingml/2006/main">
              <a:graphicData uri="http://schemas.openxmlformats.org/drawingml/2006/picture">
                <pic:pic xmlns:pic="http://schemas.openxmlformats.org/drawingml/2006/picture">
                  <pic:nvPicPr>
                    <pic:cNvPr id="25"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6" name="IM 40"/>
            <wp:cNvGraphicFramePr/>
            <a:graphic xmlns:a="http://schemas.openxmlformats.org/drawingml/2006/main">
              <a:graphicData uri="http://schemas.openxmlformats.org/drawingml/2006/picture">
                <pic:pic xmlns:pic="http://schemas.openxmlformats.org/drawingml/2006/picture">
                  <pic:nvPicPr>
                    <pic:cNvPr id="26"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网络安全是指包括路由器、交换机、通信线路在内的，及由其组成信息系统网络环境的安全。网络安全的评估内容包括：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7" name="IM 40"/>
            <wp:cNvGraphicFramePr/>
            <a:graphic xmlns:a="http://schemas.openxmlformats.org/drawingml/2006/main">
              <a:graphicData uri="http://schemas.openxmlformats.org/drawingml/2006/picture">
                <pic:pic xmlns:pic="http://schemas.openxmlformats.org/drawingml/2006/picture">
                  <pic:nvPicPr>
                    <pic:cNvPr id="27"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网络边界安全；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8" name="IM 40"/>
            <wp:cNvGraphicFramePr/>
            <a:graphic xmlns:a="http://schemas.openxmlformats.org/drawingml/2006/main">
              <a:graphicData uri="http://schemas.openxmlformats.org/drawingml/2006/picture">
                <pic:pic xmlns:pic="http://schemas.openxmlformats.org/drawingml/2006/picture">
                  <pic:nvPicPr>
                    <pic:cNvPr id="28"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网络系统安全设计；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29" name="IM 40"/>
            <wp:cNvGraphicFramePr/>
            <a:graphic xmlns:a="http://schemas.openxmlformats.org/drawingml/2006/main">
              <a:graphicData uri="http://schemas.openxmlformats.org/drawingml/2006/picture">
                <pic:pic xmlns:pic="http://schemas.openxmlformats.org/drawingml/2006/picture">
                  <pic:nvPicPr>
                    <pic:cNvPr id="29"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网络设备安全功能及使用；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31" name="IM 40"/>
            <wp:cNvGraphicFramePr/>
            <a:graphic xmlns:a="http://schemas.openxmlformats.org/drawingml/2006/main">
              <a:graphicData uri="http://schemas.openxmlformats.org/drawingml/2006/picture">
                <pic:pic xmlns:pic="http://schemas.openxmlformats.org/drawingml/2006/picture">
                  <pic:nvPicPr>
                    <pic:cNvPr id="31"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网络访问控制；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32" name="IM 40"/>
            <wp:cNvGraphicFramePr/>
            <a:graphic xmlns:a="http://schemas.openxmlformats.org/drawingml/2006/main">
              <a:graphicData uri="http://schemas.openxmlformats.org/drawingml/2006/picture">
                <pic:pic xmlns:pic="http://schemas.openxmlformats.org/drawingml/2006/picture">
                  <pic:nvPicPr>
                    <pic:cNvPr id="32"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网络安全检测分析；</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33" name="IM 40"/>
            <wp:cNvGraphicFramePr/>
            <a:graphic xmlns:a="http://schemas.openxmlformats.org/drawingml/2006/main">
              <a:graphicData uri="http://schemas.openxmlformats.org/drawingml/2006/picture">
                <pic:pic xmlns:pic="http://schemas.openxmlformats.org/drawingml/2006/picture">
                  <pic:nvPicPr>
                    <pic:cNvPr id="33"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网络连接；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34" name="IM 40"/>
            <wp:cNvGraphicFramePr/>
            <a:graphic xmlns:a="http://schemas.openxmlformats.org/drawingml/2006/main">
              <a:graphicData uri="http://schemas.openxmlformats.org/drawingml/2006/picture">
                <pic:pic xmlns:pic="http://schemas.openxmlformats.org/drawingml/2006/picture">
                  <pic:nvPicPr>
                    <pic:cNvPr id="34"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网络可用性。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35" name="IM 40"/>
            <wp:cNvGraphicFramePr/>
            <a:graphic xmlns:a="http://schemas.openxmlformats.org/drawingml/2006/main">
              <a:graphicData uri="http://schemas.openxmlformats.org/drawingml/2006/picture">
                <pic:pic xmlns:pic="http://schemas.openxmlformats.org/drawingml/2006/picture">
                  <pic:nvPicPr>
                    <pic:cNvPr id="35"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系统环境中主机安全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主机安全主要是指基于主机操作系统、数据库系统以及应用平台层面的安全，对主机安全的评估内容包括：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36" name="IM 40"/>
            <wp:cNvGraphicFramePr/>
            <a:graphic xmlns:a="http://schemas.openxmlformats.org/drawingml/2006/main">
              <a:graphicData uri="http://schemas.openxmlformats.org/drawingml/2006/picture">
                <pic:pic xmlns:pic="http://schemas.openxmlformats.org/drawingml/2006/picture">
                  <pic:nvPicPr>
                    <pic:cNvPr id="36"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账号安全；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0" b="0"/>
            <wp:docPr id="37" name="IM 40"/>
            <wp:cNvGraphicFramePr/>
            <a:graphic xmlns:a="http://schemas.openxmlformats.org/drawingml/2006/main">
              <a:graphicData uri="http://schemas.openxmlformats.org/drawingml/2006/picture">
                <pic:pic xmlns:pic="http://schemas.openxmlformats.org/drawingml/2006/picture">
                  <pic:nvPicPr>
                    <pic:cNvPr id="37"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文件系统安全；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39" name="IM 40"/>
            <wp:cNvGraphicFramePr/>
            <a:graphic xmlns:a="http://schemas.openxmlformats.org/drawingml/2006/main">
              <a:graphicData uri="http://schemas.openxmlformats.org/drawingml/2006/picture">
                <pic:pic xmlns:pic="http://schemas.openxmlformats.org/drawingml/2006/picture">
                  <pic:nvPicPr>
                    <pic:cNvPr id="39"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网络（系统）服务安全；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41" name="IM 40"/>
            <wp:cNvGraphicFramePr/>
            <a:graphic xmlns:a="http://schemas.openxmlformats.org/drawingml/2006/main">
              <a:graphicData uri="http://schemas.openxmlformats.org/drawingml/2006/picture">
                <pic:pic xmlns:pic="http://schemas.openxmlformats.org/drawingml/2006/picture">
                  <pic:nvPicPr>
                    <pic:cNvPr id="41"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系统访问控制；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42" name="IM 40"/>
            <wp:cNvGraphicFramePr/>
            <a:graphic xmlns:a="http://schemas.openxmlformats.org/drawingml/2006/main">
              <a:graphicData uri="http://schemas.openxmlformats.org/drawingml/2006/picture">
                <pic:pic xmlns:pic="http://schemas.openxmlformats.org/drawingml/2006/picture">
                  <pic:nvPicPr>
                    <pic:cNvPr id="42"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日志及监控审计；</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left"/>
        <w:textAlignment w:val="auto"/>
        <w:rPr>
          <w:rFonts w:hint="default"/>
          <w:sz w:val="24"/>
          <w:lang w:val="en-US" w:eastAsia="zh-CN"/>
        </w:rPr>
      </w:pPr>
      <w:r>
        <w:rPr>
          <w:position w:val="-4"/>
          <w:sz w:val="24"/>
          <w:szCs w:val="24"/>
        </w:rPr>
        <w:drawing>
          <wp:inline distT="0" distB="0" distL="0" distR="0">
            <wp:extent cx="107950" cy="168275"/>
            <wp:effectExtent l="0" t="0" r="13970" b="14605"/>
            <wp:docPr id="43" name="IM 40"/>
            <wp:cNvGraphicFramePr/>
            <a:graphic xmlns:a="http://schemas.openxmlformats.org/drawingml/2006/main">
              <a:graphicData uri="http://schemas.openxmlformats.org/drawingml/2006/picture">
                <pic:pic xmlns:pic="http://schemas.openxmlformats.org/drawingml/2006/picture">
                  <pic:nvPicPr>
                    <pic:cNvPr id="43"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拒绝服务保护；</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44" name="IM 40"/>
            <wp:cNvGraphicFramePr/>
            <a:graphic xmlns:a="http://schemas.openxmlformats.org/drawingml/2006/main">
              <a:graphicData uri="http://schemas.openxmlformats.org/drawingml/2006/picture">
                <pic:pic xmlns:pic="http://schemas.openxmlformats.org/drawingml/2006/picture">
                  <pic:nvPicPr>
                    <pic:cNvPr id="44"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补丁管理；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45" name="IM 40"/>
            <wp:cNvGraphicFramePr/>
            <a:graphic xmlns:a="http://schemas.openxmlformats.org/drawingml/2006/main">
              <a:graphicData uri="http://schemas.openxmlformats.org/drawingml/2006/picture">
                <pic:pic xmlns:pic="http://schemas.openxmlformats.org/drawingml/2006/picture">
                  <pic:nvPicPr>
                    <pic:cNvPr id="45"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病毒及恶意代码防护；</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46" name="IM 40"/>
            <wp:cNvGraphicFramePr/>
            <a:graphic xmlns:a="http://schemas.openxmlformats.org/drawingml/2006/main">
              <a:graphicData uri="http://schemas.openxmlformats.org/drawingml/2006/picture">
                <pic:pic xmlns:pic="http://schemas.openxmlformats.org/drawingml/2006/picture">
                  <pic:nvPicPr>
                    <pic:cNvPr id="46"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系统备份与恢复；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47" name="IM 40"/>
            <wp:cNvGraphicFramePr/>
            <a:graphic xmlns:a="http://schemas.openxmlformats.org/drawingml/2006/main">
              <a:graphicData uri="http://schemas.openxmlformats.org/drawingml/2006/picture">
                <pic:pic xmlns:pic="http://schemas.openxmlformats.org/drawingml/2006/picture">
                  <pic:nvPicPr>
                    <pic:cNvPr id="47"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数据库账号安全；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48" name="IM 40"/>
            <wp:cNvGraphicFramePr/>
            <a:graphic xmlns:a="http://schemas.openxmlformats.org/drawingml/2006/main">
              <a:graphicData uri="http://schemas.openxmlformats.org/drawingml/2006/picture">
                <pic:pic xmlns:pic="http://schemas.openxmlformats.org/drawingml/2006/picture">
                  <pic:nvPicPr>
                    <pic:cNvPr id="48"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数据库访问控制；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49" name="IM 40"/>
            <wp:cNvGraphicFramePr/>
            <a:graphic xmlns:a="http://schemas.openxmlformats.org/drawingml/2006/main">
              <a:graphicData uri="http://schemas.openxmlformats.org/drawingml/2006/picture">
                <pic:pic xmlns:pic="http://schemas.openxmlformats.org/drawingml/2006/picture">
                  <pic:nvPicPr>
                    <pic:cNvPr id="49"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数据库存储过程安全;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50" name="IM 40"/>
            <wp:cNvGraphicFramePr/>
            <a:graphic xmlns:a="http://schemas.openxmlformats.org/drawingml/2006/main">
              <a:graphicData uri="http://schemas.openxmlformats.org/drawingml/2006/picture">
                <pic:pic xmlns:pic="http://schemas.openxmlformats.org/drawingml/2006/picture">
                  <pic:nvPicPr>
                    <pic:cNvPr id="50"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数据库备份与恢复；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0" b="0"/>
            <wp:docPr id="51" name="IM 40"/>
            <wp:cNvGraphicFramePr/>
            <a:graphic xmlns:a="http://schemas.openxmlformats.org/drawingml/2006/main">
              <a:graphicData uri="http://schemas.openxmlformats.org/drawingml/2006/picture">
                <pic:pic xmlns:pic="http://schemas.openxmlformats.org/drawingml/2006/picture">
                  <pic:nvPicPr>
                    <pic:cNvPr id="51"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数据库系统日志审计。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53" name="IM 40"/>
            <wp:cNvGraphicFramePr/>
            <a:graphic xmlns:a="http://schemas.openxmlformats.org/drawingml/2006/main">
              <a:graphicData uri="http://schemas.openxmlformats.org/drawingml/2006/picture">
                <pic:pic xmlns:pic="http://schemas.openxmlformats.org/drawingml/2006/picture">
                  <pic:nvPicPr>
                    <pic:cNvPr id="53"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应用安全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应用安全主要是指应用系统设计、开发安全。对应用安全的评估内容包括：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54" name="IM 40"/>
            <wp:cNvGraphicFramePr/>
            <a:graphic xmlns:a="http://schemas.openxmlformats.org/drawingml/2006/main">
              <a:graphicData uri="http://schemas.openxmlformats.org/drawingml/2006/picture">
                <pic:pic xmlns:pic="http://schemas.openxmlformats.org/drawingml/2006/picture">
                  <pic:nvPicPr>
                    <pic:cNvPr id="54"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应用系统架构与设计安全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55" name="IM 40"/>
            <wp:cNvGraphicFramePr/>
            <a:graphic xmlns:a="http://schemas.openxmlformats.org/drawingml/2006/main">
              <a:graphicData uri="http://schemas.openxmlformats.org/drawingml/2006/picture">
                <pic:pic xmlns:pic="http://schemas.openxmlformats.org/drawingml/2006/picture">
                  <pic:nvPicPr>
                    <pic:cNvPr id="55"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身份鉴别；</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57" name="IM 40"/>
            <wp:cNvGraphicFramePr/>
            <a:graphic xmlns:a="http://schemas.openxmlformats.org/drawingml/2006/main">
              <a:graphicData uri="http://schemas.openxmlformats.org/drawingml/2006/picture">
                <pic:pic xmlns:pic="http://schemas.openxmlformats.org/drawingml/2006/picture">
                  <pic:nvPicPr>
                    <pic:cNvPr id="57"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访问控制；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58" name="IM 40"/>
            <wp:cNvGraphicFramePr/>
            <a:graphic xmlns:a="http://schemas.openxmlformats.org/drawingml/2006/main">
              <a:graphicData uri="http://schemas.openxmlformats.org/drawingml/2006/picture">
                <pic:pic xmlns:pic="http://schemas.openxmlformats.org/drawingml/2006/picture">
                  <pic:nvPicPr>
                    <pic:cNvPr id="58"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交易的安全性；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59" name="IM 40"/>
            <wp:cNvGraphicFramePr/>
            <a:graphic xmlns:a="http://schemas.openxmlformats.org/drawingml/2006/main">
              <a:graphicData uri="http://schemas.openxmlformats.org/drawingml/2006/picture">
                <pic:pic xmlns:pic="http://schemas.openxmlformats.org/drawingml/2006/picture">
                  <pic:nvPicPr>
                    <pic:cNvPr id="59"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数据的安全性；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60" name="IM 40"/>
            <wp:cNvGraphicFramePr/>
            <a:graphic xmlns:a="http://schemas.openxmlformats.org/drawingml/2006/main">
              <a:graphicData uri="http://schemas.openxmlformats.org/drawingml/2006/picture">
                <pic:pic xmlns:pic="http://schemas.openxmlformats.org/drawingml/2006/picture">
                  <pic:nvPicPr>
                    <pic:cNvPr id="60"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密码支持；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61" name="IM 40"/>
            <wp:cNvGraphicFramePr/>
            <a:graphic xmlns:a="http://schemas.openxmlformats.org/drawingml/2006/main">
              <a:graphicData uri="http://schemas.openxmlformats.org/drawingml/2006/picture">
                <pic:pic xmlns:pic="http://schemas.openxmlformats.org/drawingml/2006/picture">
                  <pic:nvPicPr>
                    <pic:cNvPr id="61"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异常处理；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62" name="IM 40"/>
            <wp:cNvGraphicFramePr/>
            <a:graphic xmlns:a="http://schemas.openxmlformats.org/drawingml/2006/main">
              <a:graphicData uri="http://schemas.openxmlformats.org/drawingml/2006/picture">
                <pic:pic xmlns:pic="http://schemas.openxmlformats.org/drawingml/2006/picture">
                  <pic:nvPicPr>
                    <pic:cNvPr id="62"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备份与故障恢复；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63" name="IM 40"/>
            <wp:cNvGraphicFramePr/>
            <a:graphic xmlns:a="http://schemas.openxmlformats.org/drawingml/2006/main">
              <a:graphicData uri="http://schemas.openxmlformats.org/drawingml/2006/picture">
                <pic:pic xmlns:pic="http://schemas.openxmlformats.org/drawingml/2006/picture">
                  <pic:nvPicPr>
                    <pic:cNvPr id="63"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安全审计；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64" name="IM 40"/>
            <wp:cNvGraphicFramePr/>
            <a:graphic xmlns:a="http://schemas.openxmlformats.org/drawingml/2006/main">
              <a:graphicData uri="http://schemas.openxmlformats.org/drawingml/2006/picture">
                <pic:pic xmlns:pic="http://schemas.openxmlformats.org/drawingml/2006/picture">
                  <pic:nvPicPr>
                    <pic:cNvPr id="64"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资源利用；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65" name="IM 40"/>
            <wp:cNvGraphicFramePr/>
            <a:graphic xmlns:a="http://schemas.openxmlformats.org/drawingml/2006/main">
              <a:graphicData uri="http://schemas.openxmlformats.org/drawingml/2006/picture">
                <pic:pic xmlns:pic="http://schemas.openxmlformats.org/drawingml/2006/picture">
                  <pic:nvPicPr>
                    <pic:cNvPr id="65"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安全管理。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66" name="IM 40"/>
            <wp:cNvGraphicFramePr/>
            <a:graphic xmlns:a="http://schemas.openxmlformats.org/drawingml/2006/main">
              <a:graphicData uri="http://schemas.openxmlformats.org/drawingml/2006/picture">
                <pic:pic xmlns:pic="http://schemas.openxmlformats.org/drawingml/2006/picture">
                  <pic:nvPicPr>
                    <pic:cNvPr id="66"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应用系统实现安全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67" name="IM 40"/>
            <wp:cNvGraphicFramePr/>
            <a:graphic xmlns:a="http://schemas.openxmlformats.org/drawingml/2006/main">
              <a:graphicData uri="http://schemas.openxmlformats.org/drawingml/2006/picture">
                <pic:pic xmlns:pic="http://schemas.openxmlformats.org/drawingml/2006/picture">
                  <pic:nvPicPr>
                    <pic:cNvPr id="67"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账户安全；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68" name="IM 40"/>
            <wp:cNvGraphicFramePr/>
            <a:graphic xmlns:a="http://schemas.openxmlformats.org/drawingml/2006/main">
              <a:graphicData uri="http://schemas.openxmlformats.org/drawingml/2006/picture">
                <pic:pic xmlns:pic="http://schemas.openxmlformats.org/drawingml/2006/picture">
                  <pic:nvPicPr>
                    <pic:cNvPr id="68"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输入合法性检测；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69" name="IM 40"/>
            <wp:cNvGraphicFramePr/>
            <a:graphic xmlns:a="http://schemas.openxmlformats.org/drawingml/2006/main">
              <a:graphicData uri="http://schemas.openxmlformats.org/drawingml/2006/picture">
                <pic:pic xmlns:pic="http://schemas.openxmlformats.org/drawingml/2006/picture">
                  <pic:nvPicPr>
                    <pic:cNvPr id="69"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口令猜测；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70" name="IM 40"/>
            <wp:cNvGraphicFramePr/>
            <a:graphic xmlns:a="http://schemas.openxmlformats.org/drawingml/2006/main">
              <a:graphicData uri="http://schemas.openxmlformats.org/drawingml/2006/picture">
                <pic:pic xmlns:pic="http://schemas.openxmlformats.org/drawingml/2006/picture">
                  <pic:nvPicPr>
                    <pic:cNvPr id="70"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应用层拒绝服务（DOS）。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71" name="IM 40"/>
            <wp:cNvGraphicFramePr/>
            <a:graphic xmlns:a="http://schemas.openxmlformats.org/drawingml/2006/main">
              <a:graphicData uri="http://schemas.openxmlformats.org/drawingml/2006/picture">
                <pic:pic xmlns:pic="http://schemas.openxmlformats.org/drawingml/2006/picture">
                  <pic:nvPicPr>
                    <pic:cNvPr id="71"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B/S 应用实现安全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72" name="IM 40"/>
            <wp:cNvGraphicFramePr/>
            <a:graphic xmlns:a="http://schemas.openxmlformats.org/drawingml/2006/main">
              <a:graphicData uri="http://schemas.openxmlformats.org/drawingml/2006/picture">
                <pic:pic xmlns:pic="http://schemas.openxmlformats.org/drawingml/2006/picture">
                  <pic:nvPicPr>
                    <pic:cNvPr id="72"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网站探测；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73" name="IM 40"/>
            <wp:cNvGraphicFramePr/>
            <a:graphic xmlns:a="http://schemas.openxmlformats.org/drawingml/2006/main">
              <a:graphicData uri="http://schemas.openxmlformats.org/drawingml/2006/picture">
                <pic:pic xmlns:pic="http://schemas.openxmlformats.org/drawingml/2006/picture">
                  <pic:nvPicPr>
                    <pic:cNvPr id="73"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已知漏洞攻击；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74" name="IM 40"/>
            <wp:cNvGraphicFramePr/>
            <a:graphic xmlns:a="http://schemas.openxmlformats.org/drawingml/2006/main">
              <a:graphicData uri="http://schemas.openxmlformats.org/drawingml/2006/picture">
                <pic:pic xmlns:pic="http://schemas.openxmlformats.org/drawingml/2006/picture">
                  <pic:nvPicPr>
                    <pic:cNvPr id="74"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参数操控；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75" name="IM 40"/>
            <wp:cNvGraphicFramePr/>
            <a:graphic xmlns:a="http://schemas.openxmlformats.org/drawingml/2006/main">
              <a:graphicData uri="http://schemas.openxmlformats.org/drawingml/2006/picture">
                <pic:pic xmlns:pic="http://schemas.openxmlformats.org/drawingml/2006/picture">
                  <pic:nvPicPr>
                    <pic:cNvPr id="75"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跨站脚本；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76" name="IM 40"/>
            <wp:cNvGraphicFramePr/>
            <a:graphic xmlns:a="http://schemas.openxmlformats.org/drawingml/2006/main">
              <a:graphicData uri="http://schemas.openxmlformats.org/drawingml/2006/picture">
                <pic:pic xmlns:pic="http://schemas.openxmlformats.org/drawingml/2006/picture">
                  <pic:nvPicPr>
                    <pic:cNvPr id="76"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指令注入；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77" name="IM 40"/>
            <wp:cNvGraphicFramePr/>
            <a:graphic xmlns:a="http://schemas.openxmlformats.org/drawingml/2006/main">
              <a:graphicData uri="http://schemas.openxmlformats.org/drawingml/2006/picture">
                <pic:pic xmlns:pic="http://schemas.openxmlformats.org/drawingml/2006/picture">
                  <pic:nvPicPr>
                    <pic:cNvPr id="77" name="IM 40"/>
                    <pic:cNvPicPr/>
                  </pic:nvPicPr>
                  <pic:blipFill>
                    <a:blip xmlns:r="http://schemas.openxmlformats.org/officeDocument/2006/relationships" r:embed="rId8"/>
                    <a:stretch>
                      <a:fillRect/>
                    </a:stretch>
                  </pic:blipFill>
                  <pic:spPr>
                    <a:xfrm>
                      <a:off x="0" y="0"/>
                      <a:ext cx="108203" cy="168859"/>
                    </a:xfrm>
                    <a:prstGeom prst="rect">
                      <a:avLst/>
                    </a:prstGeom>
                  </pic:spPr>
                </pic:pic>
              </a:graphicData>
            </a:graphic>
          </wp:inline>
        </w:drawing>
      </w:r>
      <w:r>
        <w:rPr>
          <w:rFonts w:hint="default"/>
          <w:sz w:val="24"/>
          <w:lang w:val="en-US" w:eastAsia="zh-CN"/>
        </w:rPr>
        <w:t>HTTP 方法利用。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position w:val="-5"/>
          <w:sz w:val="24"/>
          <w:szCs w:val="24"/>
        </w:rPr>
        <w:drawing>
          <wp:inline distT="0" distB="0" distL="0" distR="0">
            <wp:extent cx="122555" cy="168275"/>
            <wp:effectExtent l="0" t="0" r="14605" b="14605"/>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xmlns:r="http://schemas.openxmlformats.org/officeDocument/2006/relationships" r:embed="rId9"/>
                    <a:stretch>
                      <a:fillRect/>
                    </a:stretch>
                  </pic:blipFill>
                  <pic:spPr>
                    <a:xfrm>
                      <a:off x="0" y="0"/>
                      <a:ext cx="122986" cy="168859"/>
                    </a:xfrm>
                    <a:prstGeom prst="rect">
                      <a:avLst/>
                    </a:prstGeom>
                  </pic:spPr>
                </pic:pic>
              </a:graphicData>
            </a:graphic>
          </wp:inline>
        </w:drawing>
      </w:r>
      <w:r>
        <w:rPr>
          <w:rFonts w:hint="default"/>
          <w:sz w:val="24"/>
          <w:lang w:val="en-US" w:eastAsia="zh-CN"/>
        </w:rPr>
        <w:t>管理安全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管理安全主要包括组织架构、安全策略、安全运行制度等方面，其评估的内容包括：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组织和人员安全；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78" name="IM 148"/>
            <wp:cNvGraphicFramePr/>
            <a:graphic xmlns:a="http://schemas.openxmlformats.org/drawingml/2006/main">
              <a:graphicData uri="http://schemas.openxmlformats.org/drawingml/2006/picture">
                <pic:pic xmlns:pic="http://schemas.openxmlformats.org/drawingml/2006/picture">
                  <pic:nvPicPr>
                    <pic:cNvPr id="78"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安全评估；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79" name="IM 148"/>
            <wp:cNvGraphicFramePr/>
            <a:graphic xmlns:a="http://schemas.openxmlformats.org/drawingml/2006/main">
              <a:graphicData uri="http://schemas.openxmlformats.org/drawingml/2006/picture">
                <pic:pic xmlns:pic="http://schemas.openxmlformats.org/drawingml/2006/picture">
                  <pic:nvPicPr>
                    <pic:cNvPr id="79"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第三方组织与外包安全；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80" name="IM 148"/>
            <wp:cNvGraphicFramePr/>
            <a:graphic xmlns:a="http://schemas.openxmlformats.org/drawingml/2006/main">
              <a:graphicData uri="http://schemas.openxmlformats.org/drawingml/2006/picture">
                <pic:pic xmlns:pic="http://schemas.openxmlformats.org/drawingml/2006/picture">
                  <pic:nvPicPr>
                    <pic:cNvPr id="80"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信息资产分类、分级；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81" name="IM 148"/>
            <wp:cNvGraphicFramePr/>
            <a:graphic xmlns:a="http://schemas.openxmlformats.org/drawingml/2006/main">
              <a:graphicData uri="http://schemas.openxmlformats.org/drawingml/2006/picture">
                <pic:pic xmlns:pic="http://schemas.openxmlformats.org/drawingml/2006/picture">
                  <pic:nvPicPr>
                    <pic:cNvPr id="81"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日常操作与维护管理；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82" name="IM 148"/>
            <wp:cNvGraphicFramePr/>
            <a:graphic xmlns:a="http://schemas.openxmlformats.org/drawingml/2006/main">
              <a:graphicData uri="http://schemas.openxmlformats.org/drawingml/2006/picture">
                <pic:pic xmlns:pic="http://schemas.openxmlformats.org/drawingml/2006/picture">
                  <pic:nvPicPr>
                    <pic:cNvPr id="82"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变更；</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position w:val="-4"/>
          <w:sz w:val="24"/>
          <w:szCs w:val="24"/>
        </w:rPr>
        <w:drawing>
          <wp:inline distT="0" distB="0" distL="0" distR="0">
            <wp:extent cx="107950" cy="168275"/>
            <wp:effectExtent l="0" t="0" r="13970" b="14605"/>
            <wp:docPr id="83" name="IM 148"/>
            <wp:cNvGraphicFramePr/>
            <a:graphic xmlns:a="http://schemas.openxmlformats.org/drawingml/2006/main">
              <a:graphicData uri="http://schemas.openxmlformats.org/drawingml/2006/picture">
                <pic:pic xmlns:pic="http://schemas.openxmlformats.org/drawingml/2006/picture">
                  <pic:nvPicPr>
                    <pic:cNvPr id="83"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备份与故障恢复；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84" name="IM 148"/>
            <wp:cNvGraphicFramePr/>
            <a:graphic xmlns:a="http://schemas.openxmlformats.org/drawingml/2006/main">
              <a:graphicData uri="http://schemas.openxmlformats.org/drawingml/2006/picture">
                <pic:pic xmlns:pic="http://schemas.openxmlformats.org/drawingml/2006/picture">
                  <pic:nvPicPr>
                    <pic:cNvPr id="84"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应急处理；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85" name="IM 148"/>
            <wp:cNvGraphicFramePr/>
            <a:graphic xmlns:a="http://schemas.openxmlformats.org/drawingml/2006/main">
              <a:graphicData uri="http://schemas.openxmlformats.org/drawingml/2006/picture">
                <pic:pic xmlns:pic="http://schemas.openxmlformats.org/drawingml/2006/picture">
                  <pic:nvPicPr>
                    <pic:cNvPr id="85"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业务持续性管理；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w:t>
      </w:r>
      <w:r>
        <w:rPr>
          <w:rFonts w:hint="eastAsia"/>
          <w:sz w:val="24"/>
          <w:lang w:val="en-US" w:eastAsia="zh-CN"/>
        </w:rPr>
        <w:t xml:space="preserve"> </w:t>
      </w:r>
      <w:r>
        <w:rPr>
          <w:position w:val="-4"/>
          <w:sz w:val="24"/>
          <w:szCs w:val="24"/>
        </w:rPr>
        <w:drawing>
          <wp:inline distT="0" distB="0" distL="0" distR="0">
            <wp:extent cx="107950" cy="168275"/>
            <wp:effectExtent l="0" t="0" r="13970" b="14605"/>
            <wp:docPr id="86" name="IM 148"/>
            <wp:cNvGraphicFramePr/>
            <a:graphic xmlns:a="http://schemas.openxmlformats.org/drawingml/2006/main">
              <a:graphicData uri="http://schemas.openxmlformats.org/drawingml/2006/picture">
                <pic:pic xmlns:pic="http://schemas.openxmlformats.org/drawingml/2006/picture">
                  <pic:nvPicPr>
                    <pic:cNvPr id="86" name="IM 148"/>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hint="default"/>
          <w:sz w:val="24"/>
          <w:lang w:val="en-US" w:eastAsia="zh-CN"/>
        </w:rPr>
        <w:t>认证/认可。</w:t>
      </w:r>
    </w:p>
    <w:p>
      <w:pPr>
        <w:pStyle w:val="Heading4"/>
        <w:bidi w:val="0"/>
        <w:rPr>
          <w:rFonts w:hint="default"/>
          <w:lang w:val="en-US" w:eastAsia="zh-CN"/>
        </w:rPr>
      </w:pPr>
      <w:r>
        <w:rPr>
          <w:rFonts w:hint="default"/>
          <w:lang w:val="en-US" w:eastAsia="zh-CN"/>
        </w:rPr>
        <w:t>3.4.4.2脆弱性识别方法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脆弱性识别所采用的方法主要为：问卷调查、人员问询、工具扫描、手动检查、文档审查、渗透测试等。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识别在技术方面主要是通过远程和本地两种方式进行系统测试、对网络设备和主机等进行人工检查，以保证技术脆弱性评估的全面性和有效性。通常情况下包括现场手工检查与审核、设备工具测试、渗透测试等活动，这些活动都是为了发现资产的弱点。为了不影响业务的开展，减少评估带来的风险，本标准规定：本公司信息安全管理委员会必须事先书面说明自动工具扫描或渗透测试的风险和不可恢复性，除非得到信息系统所有者的书面认可，不得进行自动工具扫描或渗透测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此外，脆弱性识别进行安全检查与测试时会涉及被检测对象的核心秘密，如：系统配置、安全漏洞等，具有一定的风险，在实施这些检测活动前需要获得相关部门的授权，明确检测时间、检测对象、本公司信息安全管理委员会与信息系统所有者双方的权利、责任与义务，并签字认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安全检查与测试的方法主要如下：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手工安全检测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参照重要资产清单，使用检查表（Checklist）逐一手工检查测试服务或系统类资产的管理或技术弱点，包括：网络设备（路由器/交换机等）安全检测、操作系统/服务安全检测、数据库管理系统安全检测、应用系统安全检测、安全设备（防火墙等）安全检测等。需要注意的是，由于业务信息、软件、硬件资产本身存在弱点无法改变，因此对这三类资产只针对资产所处环境进行弱点检测，如：对硬件设备物理环境弱点检测，对软件处应用平台、传输网络环境进行弱点检测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为了保证手工安全检测的顺利完成，本公司信息安全管理委员会事前需要制定详细的实施计划，在检测完成后要形成安全检测报告。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设备工具测试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参照重要资产清单，使用设备及测试工具逐一比对资产的配置或技术弱点，包括网络安全测试、系统安全测试、数据库安全测试、应用安全测试等。由于仪器设备在测试过程中具有一定的攻击性，因此需要审慎实施测试活动，包括严格规定测试的时间/范围/内容等，并作好应急准备，使测试活动对业务的影响降到最低。</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为了保证设备工具测试的顺利完成，本公司信息安全管理委员会事前需要制定详细的测试计划和突发安全事件的应急处理计划，并得到信息系统所有者的许可。在测试完成后要汇总测试报告。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 xml:space="preserve"> 渗透测试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渗透测试是模拟黑客行为对目标对象进行入侵， 目的是发现目标对象的管理与技术弱点以及这些弱点被成功利用的可能。渗透测试对测试人员的技术能力要求较高，相比设备工具测试，渗透测试则具有较强的攻击性，因此信息系统所有者可以根据自己的技术实力，以及其它实际情况决定是否实施渗透测试，如果实施，需要严格控制测试的时间/范围等，并作好应急准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信息系统安全运行的前提下，本公司信息安全管理委员会事前需要制定详细的渗透测试计划和突发安全事件的应急处理计划，在得到信息系统所有者许可的同时，由信息系统所有者技术负责人现场监督下实施开展。在渗透测试完成后由本公司信息安全管理委员会形成渗透测试报告。</w:t>
      </w:r>
    </w:p>
    <w:p>
      <w:pPr>
        <w:pStyle w:val="BodyText"/>
        <w:spacing w:line="219" w:lineRule="auto"/>
        <w:rPr>
          <w:sz w:val="24"/>
          <w:szCs w:val="24"/>
        </w:rPr>
      </w:pPr>
      <w:r>
        <w:rPr>
          <w:position w:val="-5"/>
          <w:sz w:val="24"/>
          <w:szCs w:val="24"/>
        </w:rPr>
        <w:drawing>
          <wp:inline distT="0" distB="0" distL="0" distR="0">
            <wp:extent cx="122555" cy="168275"/>
            <wp:effectExtent l="0" t="0" r="14605" b="14605"/>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xmlns:r="http://schemas.openxmlformats.org/officeDocument/2006/relationships" r:embed="rId9"/>
                    <a:stretch>
                      <a:fillRect/>
                    </a:stretch>
                  </pic:blipFill>
                  <pic:spPr>
                    <a:xfrm>
                      <a:off x="0" y="0"/>
                      <a:ext cx="122986" cy="168859"/>
                    </a:xfrm>
                    <a:prstGeom prst="rect">
                      <a:avLst/>
                    </a:prstGeom>
                  </pic:spPr>
                </pic:pic>
              </a:graphicData>
            </a:graphic>
          </wp:inline>
        </w:drawing>
      </w:r>
      <w:r>
        <w:rPr>
          <w:spacing w:val="97"/>
          <w:sz w:val="24"/>
          <w:szCs w:val="24"/>
        </w:rPr>
        <w:t xml:space="preserve"> </w:t>
      </w:r>
      <w:r>
        <w:rPr>
          <w:b/>
          <w:bCs/>
          <w:spacing w:val="-7"/>
          <w:sz w:val="24"/>
          <w:szCs w:val="24"/>
        </w:rPr>
        <w:t>脆弱性赋值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评估将针对每一项需要保护的信息资产，找出每一种威胁可能利用的脆弱性，并对脆弱性的严重程度进行评估，换句话说，就是对脆弱性被威胁利用的可能性进行评估。最终脆弱性的赋值采用经验判断法，依据脆弱性的种类列表综合判断一旦遭受威胁列表中的威胁，定性出相对等级的方式。脆弱性的等级划分为五级，从 1 到5 分别代表五个级别的某种资产脆弱程度。等级越大，脆弱程度越高。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同样，评估者也可以根据被评估系统的实际情况自定义脆弱性的等级。但该评定方法必须在事先得到信息系统所有者认可。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资产的脆弱性与组织对其所采取的安全控制有关，因此判定威胁发生的可能性时应特别关注已有的安全控制对资产脆弱性的影响。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阶段成果：在本阶段结束后本公司信息安全管理委员会应针对不同分类的评估对象自身的弱点，形成脆弱性列表，并向信息系统所有者提供（列表可附在风险评估程序中，也可单独形成文件），为风险评估提供支持。《脆弱性列表》一般包括具体弱点的名称、描述、类型及严重程度等，须由信息系统所有者书面确认。</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脆弱性识别阶段小结如表</w:t>
      </w:r>
    </w:p>
    <w:tbl>
      <w:tblPr>
        <w:tblStyle w:val="TableGrid"/>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11"/>
        <w:gridCol w:w="6615"/>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526" w:type="dxa"/>
            <w:gridSpan w:val="2"/>
            <w:shd w:val="clear" w:color="auto" w:fill="auto"/>
          </w:tcPr>
          <w:p>
            <w:pPr>
              <w:spacing w:before="247" w:line="219" w:lineRule="auto"/>
              <w:ind w:left="116"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脆弱性识别阶段</w:t>
            </w:r>
          </w:p>
        </w:tc>
      </w:tr>
      <w:tr>
        <w:tblPrEx>
          <w:tblW w:w="8526" w:type="dxa"/>
          <w:tblInd w:w="0" w:type="dxa"/>
          <w:tblCellMar>
            <w:top w:w="0" w:type="dxa"/>
            <w:left w:w="108" w:type="dxa"/>
            <w:bottom w:w="0" w:type="dxa"/>
            <w:right w:w="108" w:type="dxa"/>
          </w:tblCellMar>
        </w:tblPrEx>
        <w:tc>
          <w:tcPr>
            <w:tcW w:w="1911" w:type="dxa"/>
            <w:shd w:val="clear" w:color="auto" w:fill="auto"/>
          </w:tcPr>
          <w:p>
            <w:pPr>
              <w:pStyle w:val="TableText"/>
              <w:spacing w:line="261" w:lineRule="auto"/>
            </w:pPr>
          </w:p>
          <w:p>
            <w:pPr>
              <w:pStyle w:val="TableText"/>
              <w:spacing w:line="262" w:lineRule="auto"/>
            </w:pPr>
          </w:p>
          <w:p>
            <w:pPr>
              <w:spacing w:before="78" w:line="219"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工作任务</w:t>
            </w:r>
          </w:p>
        </w:tc>
        <w:tc>
          <w:tcPr>
            <w:tcW w:w="6615" w:type="dxa"/>
            <w:shd w:val="clear" w:color="auto" w:fill="auto"/>
          </w:tcPr>
          <w:p>
            <w:pPr>
              <w:spacing w:before="242" w:line="219" w:lineRule="auto"/>
              <w:ind w:left="140"/>
            </w:pPr>
            <w:r>
              <w:rPr>
                <w:rFonts w:ascii="宋体" w:eastAsia="宋体" w:hAnsi="宋体" w:cs="宋体"/>
                <w:spacing w:val="-5"/>
                <w:sz w:val="24"/>
                <w:szCs w:val="24"/>
              </w:rPr>
              <w:t>以资产为核心，从技术和管理两个方面识别</w:t>
            </w:r>
            <w:r>
              <w:rPr>
                <w:rFonts w:ascii="宋体" w:eastAsia="宋体" w:hAnsi="宋体" w:cs="宋体"/>
                <w:spacing w:val="-6"/>
                <w:sz w:val="24"/>
                <w:szCs w:val="24"/>
              </w:rPr>
              <w:t>其存在的弱点；</w:t>
            </w:r>
          </w:p>
          <w:p>
            <w:pPr>
              <w:spacing w:before="78" w:line="218" w:lineRule="auto"/>
              <w:ind w:left="112" w:leftChars="0"/>
              <w:rPr>
                <w:rFonts w:ascii="宋体" w:eastAsia="宋体" w:hAnsi="宋体" w:cs="宋体" w:hint="default"/>
                <w:kern w:val="2"/>
                <w:sz w:val="24"/>
                <w:szCs w:val="24"/>
                <w:lang w:val="en-US" w:eastAsia="zh-CN" w:bidi="ar-SA"/>
              </w:rPr>
            </w:pPr>
            <w:r>
              <w:rPr>
                <w:rFonts w:ascii="宋体" w:eastAsia="宋体" w:hAnsi="宋体" w:cs="宋体"/>
                <w:spacing w:val="-4"/>
                <w:sz w:val="24"/>
                <w:szCs w:val="24"/>
              </w:rPr>
              <w:t>对脆弱性被威胁利用的可能性进行评估，对脆弱</w:t>
            </w:r>
            <w:r>
              <w:rPr>
                <w:rFonts w:ascii="宋体" w:eastAsia="宋体" w:hAnsi="宋体" w:cs="宋体"/>
                <w:spacing w:val="-5"/>
                <w:sz w:val="24"/>
                <w:szCs w:val="24"/>
              </w:rPr>
              <w:t>性进行赋值</w:t>
            </w:r>
          </w:p>
        </w:tc>
      </w:tr>
      <w:tr>
        <w:tblPrEx>
          <w:tblW w:w="8526" w:type="dxa"/>
          <w:tblInd w:w="0" w:type="dxa"/>
          <w:tblCellMar>
            <w:top w:w="0" w:type="dxa"/>
            <w:left w:w="108" w:type="dxa"/>
            <w:bottom w:w="0" w:type="dxa"/>
            <w:right w:w="108" w:type="dxa"/>
          </w:tblCellMar>
        </w:tblPrEx>
        <w:tc>
          <w:tcPr>
            <w:tcW w:w="1911" w:type="dxa"/>
            <w:shd w:val="clear" w:color="auto" w:fill="auto"/>
          </w:tcPr>
          <w:p>
            <w:pPr>
              <w:spacing w:before="246" w:line="220"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工作方式</w:t>
            </w:r>
          </w:p>
        </w:tc>
        <w:tc>
          <w:tcPr>
            <w:tcW w:w="6615" w:type="dxa"/>
            <w:shd w:val="clear" w:color="auto" w:fill="auto"/>
          </w:tcPr>
          <w:p>
            <w:pPr>
              <w:spacing w:before="246" w:line="219" w:lineRule="auto"/>
              <w:ind w:left="140"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问卷调查、人员问询、手动检查、文档审查等</w:t>
            </w:r>
          </w:p>
        </w:tc>
      </w:tr>
      <w:tr>
        <w:tblPrEx>
          <w:tblW w:w="8526" w:type="dxa"/>
          <w:tblInd w:w="0" w:type="dxa"/>
          <w:tblCellMar>
            <w:top w:w="0" w:type="dxa"/>
            <w:left w:w="108" w:type="dxa"/>
            <w:bottom w:w="0" w:type="dxa"/>
            <w:right w:w="108" w:type="dxa"/>
          </w:tblCellMar>
        </w:tblPrEx>
        <w:tc>
          <w:tcPr>
            <w:tcW w:w="1911" w:type="dxa"/>
            <w:shd w:val="clear" w:color="auto" w:fill="auto"/>
          </w:tcPr>
          <w:p>
            <w:pPr>
              <w:spacing w:before="247" w:line="221" w:lineRule="auto"/>
              <w:ind w:left="118"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参与人员</w:t>
            </w:r>
          </w:p>
        </w:tc>
        <w:tc>
          <w:tcPr>
            <w:tcW w:w="6615" w:type="dxa"/>
            <w:shd w:val="clear" w:color="auto" w:fill="auto"/>
          </w:tcPr>
          <w:p>
            <w:pPr>
              <w:spacing w:before="247" w:line="218" w:lineRule="auto"/>
              <w:ind w:left="113"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信息系统所有者项目负责人及相关技术人员，评估小组</w:t>
            </w:r>
          </w:p>
        </w:tc>
      </w:tr>
      <w:tr>
        <w:tblPrEx>
          <w:tblW w:w="8526" w:type="dxa"/>
          <w:tblInd w:w="0" w:type="dxa"/>
          <w:tblCellMar>
            <w:top w:w="0" w:type="dxa"/>
            <w:left w:w="108" w:type="dxa"/>
            <w:bottom w:w="0" w:type="dxa"/>
            <w:right w:w="108" w:type="dxa"/>
          </w:tblCellMar>
        </w:tblPrEx>
        <w:tc>
          <w:tcPr>
            <w:tcW w:w="1911" w:type="dxa"/>
            <w:shd w:val="clear" w:color="auto" w:fill="auto"/>
          </w:tcPr>
          <w:p>
            <w:pPr>
              <w:spacing w:before="246" w:line="220" w:lineRule="auto"/>
              <w:ind w:left="126"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阶段成果</w:t>
            </w:r>
          </w:p>
        </w:tc>
        <w:tc>
          <w:tcPr>
            <w:tcW w:w="6615" w:type="dxa"/>
            <w:shd w:val="clear" w:color="auto" w:fill="auto"/>
          </w:tcPr>
          <w:p>
            <w:pPr>
              <w:spacing w:before="246" w:line="218"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《信息安全风险评估表》中的脆弱性部分</w:t>
            </w:r>
          </w:p>
        </w:tc>
      </w:tr>
    </w:tbl>
    <w:p>
      <w:pPr>
        <w:pStyle w:val="Heading3"/>
        <w:bidi w:val="0"/>
        <w:rPr>
          <w:rFonts w:hint="default"/>
          <w:lang w:val="en-US" w:eastAsia="zh-CN"/>
        </w:rPr>
      </w:pPr>
      <w:bookmarkStart w:id="14" w:name="_Toc18581"/>
      <w:r>
        <w:rPr>
          <w:rFonts w:hint="default"/>
          <w:lang w:val="en-US" w:eastAsia="zh-CN"/>
        </w:rPr>
        <w:t>3.4.5 已有安全措施的确认</w:t>
      </w:r>
      <w:bookmarkEnd w:id="14"/>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评估小组在识别资产脆弱性的同时，还应当详细分析针对该资产的已有或已规划的安全措施，并评价这些安全措施针的有效性。该部分不但要对技术措施进行分析，而且对系统现有管理制度的分析也要予以充分重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风险评估中应对系统已采取的技术安全控制措施进行识别，并对控制措施有效性进行核查。核查包括对防火墙、IDS、交换机等网络设备的安全配置检查；操作系统、数据库安全功能检查；应用软件安全功能验证等；将有效的安全控制措施继续保持，并进行优化，以避免不必要的工作和费用，防止控制措施的重复实施。对于那些确认为不适当的控制应取消，或者用更合适的控制代替。</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现行安全管理制度分析分为两个部分：一个是对安全产品统一管理分析，避免安全盲区的产生；另一个是对安全管理制度规范和安全意识的分析。希望通过现行管理制度分析，把分散的技术因素、人的因素，通过政策规则、运作流程协调整合成为一体。</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评估小组应对已采取的控制措施进行识别并对控制措施的有效性进行确认，将有效的安全控制措施继续保持，以避免不必要的工作和费用，防止控制措施的重复实施。对于那些确认为不适当的控制应核查是否应被取消，或者用更合适的控制代替。</w:t>
      </w:r>
    </w:p>
    <w:tbl>
      <w:tblPr>
        <w:tblStyle w:val="TableGrid"/>
        <w:tblW w:w="84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62"/>
        <w:gridCol w:w="6654"/>
      </w:tblGrid>
      <w:tr>
        <w:tblPrEx>
          <w:tblW w:w="84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62" w:type="dxa"/>
            <w:shd w:val="clear" w:color="auto" w:fill="auto"/>
          </w:tcPr>
          <w:p>
            <w:pPr>
              <w:spacing w:before="247" w:line="219" w:lineRule="auto"/>
              <w:ind w:left="122"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安全措施分类</w:t>
            </w:r>
          </w:p>
        </w:tc>
        <w:tc>
          <w:tcPr>
            <w:tcW w:w="6654" w:type="dxa"/>
            <w:shd w:val="clear" w:color="auto" w:fill="auto"/>
          </w:tcPr>
          <w:p>
            <w:pPr>
              <w:spacing w:before="247" w:line="219" w:lineRule="auto"/>
              <w:ind w:left="115"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包含的内容</w:t>
            </w:r>
          </w:p>
        </w:tc>
      </w:tr>
      <w:tr>
        <w:tblPrEx>
          <w:tblW w:w="8416" w:type="dxa"/>
          <w:tblInd w:w="0" w:type="dxa"/>
          <w:tblCellMar>
            <w:top w:w="0" w:type="dxa"/>
            <w:left w:w="108" w:type="dxa"/>
            <w:bottom w:w="0" w:type="dxa"/>
            <w:right w:w="108" w:type="dxa"/>
          </w:tblCellMar>
        </w:tblPrEx>
        <w:tc>
          <w:tcPr>
            <w:tcW w:w="1762" w:type="dxa"/>
            <w:shd w:val="clear" w:color="auto" w:fill="auto"/>
          </w:tcPr>
          <w:p>
            <w:pPr>
              <w:spacing w:before="244" w:line="219" w:lineRule="auto"/>
              <w:ind w:left="123"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管理性</w:t>
            </w:r>
          </w:p>
        </w:tc>
        <w:tc>
          <w:tcPr>
            <w:tcW w:w="6654" w:type="dxa"/>
            <w:shd w:val="clear" w:color="auto" w:fill="auto"/>
          </w:tcPr>
          <w:p>
            <w:pPr>
              <w:spacing w:before="244" w:line="219" w:lineRule="auto"/>
              <w:ind w:left="114"/>
              <w:rPr>
                <w:rFonts w:ascii="宋体" w:eastAsia="宋体" w:hAnsi="宋体" w:cs="宋体"/>
                <w:sz w:val="24"/>
                <w:szCs w:val="24"/>
              </w:rPr>
            </w:pPr>
            <w:r>
              <w:rPr>
                <w:rFonts w:ascii="宋体" w:eastAsia="宋体" w:hAnsi="宋体" w:cs="宋体"/>
                <w:spacing w:val="-2"/>
                <w:sz w:val="24"/>
                <w:szCs w:val="24"/>
              </w:rPr>
              <w:t>对系统的开发、维护和使用实施管理的措施，包括安全策略、</w:t>
            </w:r>
          </w:p>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4"/>
                <w:sz w:val="24"/>
                <w:szCs w:val="24"/>
              </w:rPr>
              <w:t>程序管理、风险管理、安全保障、系统生命</w:t>
            </w:r>
            <w:r>
              <w:rPr>
                <w:rFonts w:ascii="宋体" w:eastAsia="宋体" w:hAnsi="宋体" w:cs="宋体"/>
                <w:spacing w:val="-5"/>
                <w:sz w:val="24"/>
                <w:szCs w:val="24"/>
              </w:rPr>
              <w:t>周期管理等。</w:t>
            </w:r>
          </w:p>
        </w:tc>
      </w:tr>
      <w:tr>
        <w:tblPrEx>
          <w:tblW w:w="8416" w:type="dxa"/>
          <w:tblInd w:w="0" w:type="dxa"/>
          <w:tblCellMar>
            <w:top w:w="0" w:type="dxa"/>
            <w:left w:w="108" w:type="dxa"/>
            <w:bottom w:w="0" w:type="dxa"/>
            <w:right w:w="108" w:type="dxa"/>
          </w:tblCellMar>
        </w:tblPrEx>
        <w:tc>
          <w:tcPr>
            <w:tcW w:w="1762" w:type="dxa"/>
            <w:shd w:val="clear" w:color="auto" w:fill="auto"/>
          </w:tcPr>
          <w:p>
            <w:pPr>
              <w:spacing w:before="246" w:line="219" w:lineRule="auto"/>
              <w:ind w:left="117"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操作性</w:t>
            </w:r>
          </w:p>
        </w:tc>
        <w:tc>
          <w:tcPr>
            <w:tcW w:w="6654" w:type="dxa"/>
            <w:shd w:val="clear" w:color="auto" w:fill="auto"/>
          </w:tcPr>
          <w:p>
            <w:pPr>
              <w:spacing w:before="245" w:line="219" w:lineRule="auto"/>
              <w:ind w:left="117"/>
            </w:pPr>
            <w:r>
              <w:rPr>
                <w:rFonts w:ascii="宋体" w:eastAsia="宋体" w:hAnsi="宋体" w:cs="宋体"/>
                <w:spacing w:val="-2"/>
                <w:sz w:val="24"/>
                <w:szCs w:val="24"/>
              </w:rPr>
              <w:t>用来保护系统和应用操作的流程和机制，包括人员职责、应急</w:t>
            </w:r>
          </w:p>
          <w:p>
            <w:pPr>
              <w:spacing w:before="78" w:line="219" w:lineRule="auto"/>
              <w:ind w:left="127"/>
              <w:rPr>
                <w:rFonts w:ascii="宋体" w:eastAsia="宋体" w:hAnsi="宋体" w:cs="宋体"/>
                <w:sz w:val="24"/>
                <w:szCs w:val="24"/>
              </w:rPr>
            </w:pPr>
            <w:r>
              <w:rPr>
                <w:rFonts w:ascii="宋体" w:eastAsia="宋体" w:hAnsi="宋体" w:cs="宋体"/>
                <w:spacing w:val="-2"/>
                <w:sz w:val="24"/>
                <w:szCs w:val="24"/>
              </w:rPr>
              <w:t>响应、事件处理、意识培训、系统支持和操</w:t>
            </w:r>
            <w:r>
              <w:rPr>
                <w:rFonts w:ascii="宋体" w:eastAsia="宋体" w:hAnsi="宋体" w:cs="宋体"/>
                <w:spacing w:val="-3"/>
                <w:sz w:val="24"/>
                <w:szCs w:val="24"/>
              </w:rPr>
              <w:t>作、物理和环境安</w:t>
            </w:r>
          </w:p>
          <w:p>
            <w:pPr>
              <w:spacing w:before="78" w:line="219" w:lineRule="auto"/>
              <w:ind w:left="115"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全等。</w:t>
            </w:r>
          </w:p>
        </w:tc>
      </w:tr>
      <w:tr>
        <w:tblPrEx>
          <w:tblW w:w="8416" w:type="dxa"/>
          <w:tblInd w:w="0" w:type="dxa"/>
          <w:tblCellMar>
            <w:top w:w="0" w:type="dxa"/>
            <w:left w:w="108" w:type="dxa"/>
            <w:bottom w:w="0" w:type="dxa"/>
            <w:right w:w="108" w:type="dxa"/>
          </w:tblCellMar>
        </w:tblPrEx>
        <w:tc>
          <w:tcPr>
            <w:tcW w:w="1762" w:type="dxa"/>
            <w:shd w:val="clear" w:color="auto" w:fill="auto"/>
          </w:tcPr>
          <w:p>
            <w:pPr>
              <w:spacing w:before="248" w:line="219" w:lineRule="auto"/>
              <w:ind w:left="118"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技术性</w:t>
            </w:r>
          </w:p>
        </w:tc>
        <w:tc>
          <w:tcPr>
            <w:tcW w:w="6654" w:type="dxa"/>
            <w:shd w:val="clear" w:color="auto" w:fill="auto"/>
          </w:tcPr>
          <w:p>
            <w:pPr>
              <w:spacing w:before="248" w:line="219" w:lineRule="auto"/>
              <w:ind w:left="121"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身份识别与认证、逻辑访问控制、日志审计、加密等。</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阶段成果：在本阶段结束后本公司信息安全管理委员会将向信息系统所有者提供《已有安全措施确认表》，并由信息系统所有者书面确认。《已有安全措施确认表》：根据对已采取的安全措施确认的结果，形成已有安全措施确认表，包括已有安全措施名称、类型、功能描述及实施效果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已有安全措施确认阶段小结如表3.16 所示：</w:t>
      </w:r>
    </w:p>
    <w:tbl>
      <w:tblPr>
        <w:tblStyle w:val="TableGrid"/>
        <w:tblW w:w="906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11"/>
        <w:gridCol w:w="7253"/>
      </w:tblGrid>
      <w:tr>
        <w:tblPrEx>
          <w:tblW w:w="906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064" w:type="dxa"/>
            <w:gridSpan w:val="2"/>
            <w:shd w:val="clear" w:color="auto" w:fill="auto"/>
          </w:tcPr>
          <w:p>
            <w:pPr>
              <w:spacing w:before="247" w:line="220" w:lineRule="auto"/>
              <w:ind w:left="144"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已有安全措施确认阶段</w:t>
            </w:r>
          </w:p>
        </w:tc>
      </w:tr>
      <w:tr>
        <w:tblPrEx>
          <w:tblW w:w="9064" w:type="dxa"/>
          <w:tblInd w:w="0" w:type="dxa"/>
          <w:tblCellMar>
            <w:top w:w="0" w:type="dxa"/>
            <w:left w:w="108" w:type="dxa"/>
            <w:bottom w:w="0" w:type="dxa"/>
            <w:right w:w="108" w:type="dxa"/>
          </w:tblCellMar>
        </w:tblPrEx>
        <w:tc>
          <w:tcPr>
            <w:tcW w:w="1811" w:type="dxa"/>
            <w:shd w:val="clear" w:color="auto" w:fill="auto"/>
          </w:tcPr>
          <w:p>
            <w:pPr>
              <w:pStyle w:val="TableText"/>
              <w:spacing w:line="294" w:lineRule="auto"/>
            </w:pPr>
          </w:p>
          <w:p>
            <w:pPr>
              <w:pStyle w:val="TableText"/>
              <w:spacing w:line="294" w:lineRule="auto"/>
            </w:pPr>
          </w:p>
          <w:p>
            <w:pPr>
              <w:pStyle w:val="TableText"/>
              <w:spacing w:line="294" w:lineRule="auto"/>
            </w:pPr>
          </w:p>
          <w:p>
            <w:pPr>
              <w:spacing w:before="78" w:line="219" w:lineRule="auto"/>
              <w:ind w:left="120"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工作任务</w:t>
            </w:r>
          </w:p>
        </w:tc>
        <w:tc>
          <w:tcPr>
            <w:tcW w:w="7253" w:type="dxa"/>
            <w:shd w:val="clear" w:color="auto" w:fill="auto"/>
          </w:tcPr>
          <w:p>
            <w:pPr>
              <w:spacing w:before="242" w:line="219" w:lineRule="auto"/>
              <w:ind w:left="113"/>
              <w:rPr>
                <w:rFonts w:ascii="宋体" w:eastAsia="宋体" w:hAnsi="宋体" w:cs="宋体"/>
                <w:sz w:val="24"/>
                <w:szCs w:val="24"/>
              </w:rPr>
            </w:pPr>
            <w:r>
              <w:rPr>
                <w:rFonts w:ascii="宋体" w:eastAsia="宋体" w:hAnsi="宋体" w:cs="宋体"/>
                <w:spacing w:val="-6"/>
                <w:sz w:val="24"/>
                <w:szCs w:val="24"/>
              </w:rPr>
              <w:t>对系统已采取的技术安全控制措施进行识别，并对控制措施有效性进</w:t>
            </w:r>
          </w:p>
          <w:p>
            <w:pPr>
              <w:pStyle w:val="TableText"/>
              <w:spacing w:line="358" w:lineRule="auto"/>
            </w:pPr>
          </w:p>
          <w:p>
            <w:pPr>
              <w:spacing w:before="78" w:line="220" w:lineRule="auto"/>
              <w:ind w:left="118"/>
              <w:rPr>
                <w:rFonts w:ascii="宋体" w:eastAsia="宋体" w:hAnsi="宋体" w:cs="宋体" w:hint="default"/>
                <w:kern w:val="2"/>
                <w:sz w:val="24"/>
                <w:szCs w:val="24"/>
                <w:lang w:val="en-US" w:eastAsia="zh-CN" w:bidi="ar-SA"/>
              </w:rPr>
            </w:pPr>
            <w:r>
              <w:rPr>
                <w:rFonts w:ascii="宋体" w:eastAsia="宋体" w:hAnsi="宋体" w:cs="宋体"/>
                <w:spacing w:val="-6"/>
                <w:sz w:val="24"/>
                <w:szCs w:val="24"/>
              </w:rPr>
              <w:t>行核查；</w:t>
            </w:r>
            <w:r>
              <w:rPr>
                <w:rFonts w:ascii="宋体" w:eastAsia="宋体" w:hAnsi="宋体" w:cs="宋体"/>
                <w:spacing w:val="-5"/>
                <w:sz w:val="24"/>
                <w:szCs w:val="24"/>
              </w:rPr>
              <w:t>对现行安全管理制度进行分析。</w:t>
            </w:r>
          </w:p>
        </w:tc>
      </w:tr>
      <w:tr>
        <w:tblPrEx>
          <w:tblW w:w="9064" w:type="dxa"/>
          <w:tblInd w:w="0" w:type="dxa"/>
          <w:tblCellMar>
            <w:top w:w="0" w:type="dxa"/>
            <w:left w:w="108" w:type="dxa"/>
            <w:bottom w:w="0" w:type="dxa"/>
            <w:right w:w="108" w:type="dxa"/>
          </w:tblCellMar>
        </w:tblPrEx>
        <w:tc>
          <w:tcPr>
            <w:tcW w:w="1811" w:type="dxa"/>
            <w:shd w:val="clear" w:color="auto" w:fill="auto"/>
          </w:tcPr>
          <w:p>
            <w:pPr>
              <w:spacing w:before="246" w:line="220" w:lineRule="auto"/>
              <w:ind w:left="120"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工作方式</w:t>
            </w:r>
          </w:p>
        </w:tc>
        <w:tc>
          <w:tcPr>
            <w:tcW w:w="7253" w:type="dxa"/>
            <w:shd w:val="clear" w:color="auto" w:fill="auto"/>
          </w:tcPr>
          <w:p>
            <w:pPr>
              <w:spacing w:before="246" w:line="219" w:lineRule="auto"/>
              <w:ind w:left="141"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问卷调查、人员问询、现场勘查、文档复查</w:t>
            </w:r>
          </w:p>
        </w:tc>
      </w:tr>
      <w:tr>
        <w:tblPrEx>
          <w:tblW w:w="9064" w:type="dxa"/>
          <w:tblInd w:w="0" w:type="dxa"/>
          <w:tblCellMar>
            <w:top w:w="0" w:type="dxa"/>
            <w:left w:w="108" w:type="dxa"/>
            <w:bottom w:w="0" w:type="dxa"/>
            <w:right w:w="108" w:type="dxa"/>
          </w:tblCellMar>
        </w:tblPrEx>
        <w:tc>
          <w:tcPr>
            <w:tcW w:w="1811" w:type="dxa"/>
            <w:shd w:val="clear" w:color="auto" w:fill="auto"/>
          </w:tcPr>
          <w:p>
            <w:pPr>
              <w:spacing w:before="244" w:line="221" w:lineRule="auto"/>
              <w:ind w:left="119"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参与人员</w:t>
            </w:r>
          </w:p>
        </w:tc>
        <w:tc>
          <w:tcPr>
            <w:tcW w:w="7253" w:type="dxa"/>
            <w:shd w:val="clear" w:color="auto" w:fill="auto"/>
          </w:tcPr>
          <w:p>
            <w:pPr>
              <w:spacing w:before="244" w:line="218" w:lineRule="auto"/>
              <w:ind w:left="114"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信息系统所有者项目负责人及相关技术人员，评估小组</w:t>
            </w:r>
          </w:p>
        </w:tc>
      </w:tr>
      <w:tr>
        <w:tblPrEx>
          <w:tblW w:w="9064" w:type="dxa"/>
          <w:tblInd w:w="0" w:type="dxa"/>
          <w:tblCellMar>
            <w:top w:w="0" w:type="dxa"/>
            <w:left w:w="108" w:type="dxa"/>
            <w:bottom w:w="0" w:type="dxa"/>
            <w:right w:w="108" w:type="dxa"/>
          </w:tblCellMar>
        </w:tblPrEx>
        <w:tc>
          <w:tcPr>
            <w:tcW w:w="1811" w:type="dxa"/>
            <w:shd w:val="clear" w:color="auto" w:fill="auto"/>
          </w:tcPr>
          <w:p>
            <w:pPr>
              <w:spacing w:before="246" w:line="220" w:lineRule="auto"/>
              <w:ind w:left="128" w:leftChars="0"/>
              <w:rPr>
                <w:rFonts w:ascii="宋体" w:eastAsia="宋体" w:hAnsi="宋体" w:cs="宋体" w:hint="default"/>
                <w:kern w:val="2"/>
                <w:sz w:val="24"/>
                <w:szCs w:val="24"/>
                <w:lang w:val="en-US" w:eastAsia="zh-CN" w:bidi="ar-SA"/>
              </w:rPr>
            </w:pPr>
            <w:r>
              <w:rPr>
                <w:rFonts w:ascii="宋体" w:eastAsia="宋体" w:hAnsi="宋体" w:cs="宋体"/>
                <w:spacing w:val="-7"/>
                <w:sz w:val="24"/>
                <w:szCs w:val="24"/>
              </w:rPr>
              <w:t>阶段成果</w:t>
            </w:r>
          </w:p>
        </w:tc>
        <w:tc>
          <w:tcPr>
            <w:tcW w:w="7253" w:type="dxa"/>
            <w:shd w:val="clear" w:color="auto" w:fill="auto"/>
          </w:tcPr>
          <w:p>
            <w:pPr>
              <w:spacing w:before="246" w:line="218" w:lineRule="auto"/>
              <w:ind w:left="120" w:leftChars="0"/>
              <w:rPr>
                <w:rFonts w:ascii="宋体" w:eastAsia="宋体" w:hAnsi="宋体" w:cs="宋体" w:hint="default"/>
                <w:kern w:val="2"/>
                <w:sz w:val="24"/>
                <w:szCs w:val="24"/>
                <w:lang w:val="en-US" w:eastAsia="zh-CN" w:bidi="ar-SA"/>
              </w:rPr>
            </w:pPr>
            <w:r>
              <w:rPr>
                <w:rFonts w:ascii="宋体" w:eastAsia="宋体" w:hAnsi="宋体" w:cs="宋体"/>
                <w:spacing w:val="-5"/>
                <w:sz w:val="24"/>
                <w:szCs w:val="24"/>
              </w:rPr>
              <w:t>《信息安全风险评估表》中的已有安全措施部分</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pStyle w:val="Heading3"/>
        <w:bidi w:val="0"/>
        <w:rPr>
          <w:rFonts w:hint="default"/>
          <w:lang w:val="en-US" w:eastAsia="zh-CN"/>
        </w:rPr>
      </w:pPr>
      <w:bookmarkStart w:id="15" w:name="_Toc26499"/>
      <w:r>
        <w:rPr>
          <w:rFonts w:hint="default"/>
          <w:lang w:val="en-US" w:eastAsia="zh-CN"/>
        </w:rPr>
        <w:t>3.4.6 风险分析</w:t>
      </w:r>
      <w:bookmarkEnd w:id="15"/>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该阶段工作主要由本公司信息安全组织完成。</w:t>
      </w:r>
    </w:p>
    <w:p>
      <w:pPr>
        <w:pStyle w:val="Heading4"/>
        <w:bidi w:val="0"/>
        <w:rPr>
          <w:rFonts w:hint="default"/>
          <w:lang w:val="en-US" w:eastAsia="zh-CN"/>
        </w:rPr>
      </w:pPr>
      <w:r>
        <w:rPr>
          <w:rFonts w:hint="default"/>
          <w:lang w:val="en-US" w:eastAsia="zh-CN"/>
        </w:rPr>
        <w:t>3.4.6.1风险计算原理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完成了资产识别、威胁识别、脆弱性识别，以及对已有安全措施确认后，将采用适当的方法与工具确定威胁利用脆弱性导致安全事件发生的可能性。综合安全事件所作用的资产价值及脆弱性的严重程度，判断安全事件造成的损失对组织的影响，即安全风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本指南给出了风险计算的原理：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对资产的重要性进行识别；</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对资产的脆弱性进行识别；</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针对每一个弱点，识别可能利用此弱点造成安全事件的威胁；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分析威胁利用资产脆弱性发生安全事件的可能性；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根据资产价值及脆弱性严重程度计算安全事件一旦发生后的损失；</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根据安全事件的损失以及安全事件发生的可能性计算风险值。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风险计算有以下三个关键计算环节：计算安全事件发生的可能性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根据威胁出现频率及脆弱性状况，计算威胁利用脆弱性导致安全事件发生的可能性，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即：安全事件发生的可能性=L(威胁出现频率，脆弱性)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在具体工作中，应综合攻击者技术能力（专业技术程度、攻击设备等）、脆弱性被利用的难易程度（可访问时间、设计和操作知识公开程度等）以及资产吸引力等因素来判断安全事件发生的可能性。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计算安全事件发生后的损失</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根据资产重要程度及脆弱性严重程度，计算安全事件一旦发生后的损失，即：安全事件的损失=F(资产重要程度，脆弱性严重程度)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部分安全事件的发生造成的损失不仅仅是针对该资产本身，还可能影响业务的连续性；不同安全事件的发生对组织造成的影响也是不一样的。在计算某个安全事件的损失时，应将对组织的影响也考虑在内。</w:t>
      </w:r>
    </w:p>
    <w:p>
      <w:pPr>
        <w:pStyle w:val="Heading4"/>
        <w:bidi w:val="0"/>
        <w:rPr>
          <w:rFonts w:hint="default"/>
          <w:lang w:val="en-US" w:eastAsia="zh-CN"/>
        </w:rPr>
      </w:pPr>
      <w:r>
        <w:rPr>
          <w:rFonts w:hint="default"/>
          <w:lang w:val="en-US" w:eastAsia="zh-CN"/>
        </w:rPr>
        <w:t>3.4.6.2风险值计算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根据计算出的安全事件发生的可能性以及安全事件的损失，计算风险值，即：风险值=R(安全事件发生的可能性，安全事件的损失)</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评估人员可根据自身情况选择相应的风险计算方法计算风险值，如矩阵法或相乘法。通过构造经验函数，矩阵法可形成安全事件发生的可能性与安全事件的损失之间的二维关系；运用相乘法可以将安全事件发生的可能性与安全事件的损失相乘得到风险值。附录中列举的几种风险计算方法可做参考,但风险评估人员应根据具体情况选择与本系统相应的风险计算方法。</w:t>
      </w:r>
    </w:p>
    <w:p>
      <w:pPr>
        <w:pStyle w:val="Heading3"/>
        <w:bidi w:val="0"/>
        <w:rPr>
          <w:rFonts w:hint="default"/>
          <w:lang w:val="en-US" w:eastAsia="zh-CN"/>
        </w:rPr>
      </w:pPr>
      <w:bookmarkStart w:id="16" w:name="_Toc6665"/>
      <w:r>
        <w:rPr>
          <w:rFonts w:hint="default"/>
          <w:lang w:val="en-US" w:eastAsia="zh-CN"/>
        </w:rPr>
        <w:t>3.4.7 风险结果的判定</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确定风险数值的大小不是组织风险评估的最终目的，重要的是明确不同威胁对资产所产生的风险的相对值，即要确定不同风险的优先次序或等级，对于风险级别高的资产应被优先分配资源进行保护。</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风险等级建议从 1 到 5 划分为五级。等级越大，风险越高。风险评估小组也可以根据被评估系统的实际情况自定义风险的等级。</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97"/>
        <w:gridCol w:w="925"/>
        <w:gridCol w:w="640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75" w:type="dxa"/>
            <w:shd w:val="clear" w:color="auto" w:fill="auto"/>
          </w:tcPr>
          <w:p>
            <w:pPr>
              <w:spacing w:before="248" w:line="219" w:lineRule="auto"/>
              <w:ind w:left="108"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等级</w:t>
            </w:r>
          </w:p>
        </w:tc>
        <w:tc>
          <w:tcPr>
            <w:tcW w:w="1080" w:type="dxa"/>
            <w:shd w:val="clear" w:color="auto" w:fill="auto"/>
          </w:tcPr>
          <w:p>
            <w:pPr>
              <w:spacing w:before="248" w:line="220" w:lineRule="auto"/>
              <w:ind w:left="104"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标识</w:t>
            </w:r>
          </w:p>
        </w:tc>
        <w:tc>
          <w:tcPr>
            <w:tcW w:w="5967" w:type="dxa"/>
            <w:shd w:val="clear" w:color="auto" w:fill="auto"/>
          </w:tcPr>
          <w:p>
            <w:pPr>
              <w:spacing w:before="248" w:line="221" w:lineRule="auto"/>
              <w:ind w:left="105" w:leftChars="0"/>
              <w:rPr>
                <w:rFonts w:ascii="宋体" w:eastAsia="宋体" w:hAnsi="宋体" w:cs="宋体" w:hint="default"/>
                <w:kern w:val="2"/>
                <w:sz w:val="24"/>
                <w:szCs w:val="24"/>
                <w:lang w:val="en-US" w:eastAsia="zh-CN" w:bidi="ar-SA"/>
              </w:rPr>
            </w:pPr>
            <w:r>
              <w:rPr>
                <w:rFonts w:ascii="宋体" w:eastAsia="宋体" w:hAnsi="宋体" w:cs="宋体"/>
                <w:spacing w:val="-6"/>
                <w:sz w:val="24"/>
                <w:szCs w:val="24"/>
              </w:rPr>
              <w:t>描述</w:t>
            </w:r>
          </w:p>
        </w:tc>
      </w:tr>
      <w:tr>
        <w:tblPrEx>
          <w:tblW w:w="0" w:type="auto"/>
          <w:tblInd w:w="0" w:type="dxa"/>
          <w:tblCellMar>
            <w:top w:w="0" w:type="dxa"/>
            <w:left w:w="108" w:type="dxa"/>
            <w:bottom w:w="0" w:type="dxa"/>
            <w:right w:w="108" w:type="dxa"/>
          </w:tblCellMar>
        </w:tblPrEx>
        <w:tc>
          <w:tcPr>
            <w:tcW w:w="1475" w:type="dxa"/>
            <w:shd w:val="clear" w:color="auto" w:fill="auto"/>
          </w:tcPr>
          <w:p>
            <w:pPr>
              <w:pStyle w:val="TableText"/>
              <w:spacing w:line="292" w:lineRule="auto"/>
            </w:pPr>
          </w:p>
          <w:p>
            <w:pPr>
              <w:spacing w:before="78"/>
              <w:ind w:left="111" w:leftChars="0"/>
              <w:rPr>
                <w:rFonts w:ascii="宋体" w:eastAsia="宋体" w:hAnsi="宋体" w:cs="宋体" w:hint="default"/>
                <w:kern w:val="2"/>
                <w:sz w:val="24"/>
                <w:szCs w:val="24"/>
                <w:lang w:val="en-US" w:eastAsia="zh-CN" w:bidi="ar-SA"/>
              </w:rPr>
            </w:pPr>
            <w:r>
              <w:rPr>
                <w:rFonts w:ascii="宋体" w:eastAsia="宋体" w:hAnsi="宋体" w:cs="宋体"/>
                <w:sz w:val="24"/>
                <w:szCs w:val="24"/>
              </w:rPr>
              <w:t>5</w:t>
            </w:r>
          </w:p>
        </w:tc>
        <w:tc>
          <w:tcPr>
            <w:tcW w:w="1080" w:type="dxa"/>
            <w:shd w:val="clear" w:color="auto" w:fill="auto"/>
          </w:tcPr>
          <w:p>
            <w:pPr>
              <w:pStyle w:val="TableText"/>
              <w:spacing w:line="292" w:lineRule="auto"/>
            </w:pPr>
          </w:p>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6"/>
                <w:sz w:val="24"/>
                <w:szCs w:val="24"/>
              </w:rPr>
              <w:t>很高</w:t>
            </w:r>
          </w:p>
        </w:tc>
        <w:tc>
          <w:tcPr>
            <w:tcW w:w="5967" w:type="dxa"/>
            <w:shd w:val="clear" w:color="auto" w:fill="auto"/>
          </w:tcPr>
          <w:p>
            <w:pPr>
              <w:spacing w:before="236" w:line="219" w:lineRule="auto"/>
              <w:ind w:left="107"/>
              <w:rPr>
                <w:rFonts w:ascii="宋体" w:eastAsia="宋体" w:hAnsi="宋体" w:cs="宋体"/>
                <w:sz w:val="24"/>
                <w:szCs w:val="24"/>
              </w:rPr>
            </w:pPr>
            <w:r>
              <w:rPr>
                <w:rFonts w:ascii="宋体" w:eastAsia="宋体" w:hAnsi="宋体" w:cs="宋体"/>
                <w:spacing w:val="-1"/>
                <w:sz w:val="24"/>
                <w:szCs w:val="24"/>
              </w:rPr>
              <w:t>一旦发生将产生非常严重的经济或社会影响，如组织信誉严重破</w:t>
            </w:r>
            <w:r>
              <w:rPr>
                <w:rFonts w:ascii="宋体" w:eastAsia="宋体" w:hAnsi="宋体" w:cs="宋体"/>
                <w:spacing w:val="-5"/>
                <w:sz w:val="24"/>
                <w:szCs w:val="24"/>
              </w:rPr>
              <w:t>坏、严重</w:t>
            </w:r>
          </w:p>
          <w:p>
            <w:pPr>
              <w:spacing w:before="78" w:line="219" w:lineRule="auto"/>
              <w:rPr>
                <w:rFonts w:ascii="宋体" w:eastAsia="宋体" w:hAnsi="宋体" w:cs="宋体" w:hint="default"/>
                <w:kern w:val="2"/>
                <w:sz w:val="24"/>
                <w:szCs w:val="24"/>
                <w:lang w:val="en-US" w:eastAsia="zh-CN" w:bidi="ar-SA"/>
              </w:rPr>
            </w:pPr>
            <w:r>
              <w:rPr>
                <w:rFonts w:ascii="宋体" w:eastAsia="宋体" w:hAnsi="宋体" w:cs="宋体"/>
                <w:spacing w:val="-5"/>
                <w:sz w:val="24"/>
                <w:szCs w:val="24"/>
              </w:rPr>
              <w:t>影响组织的正常经营，经济损失重大、社会影响恶劣。</w:t>
            </w:r>
          </w:p>
        </w:tc>
      </w:tr>
      <w:tr>
        <w:tblPrEx>
          <w:tblW w:w="0" w:type="auto"/>
          <w:tblInd w:w="0" w:type="dxa"/>
          <w:tblCellMar>
            <w:top w:w="0" w:type="dxa"/>
            <w:left w:w="108" w:type="dxa"/>
            <w:bottom w:w="0" w:type="dxa"/>
            <w:right w:w="108" w:type="dxa"/>
          </w:tblCellMar>
        </w:tblPrEx>
        <w:tc>
          <w:tcPr>
            <w:tcW w:w="1475" w:type="dxa"/>
            <w:shd w:val="clear" w:color="auto" w:fill="auto"/>
          </w:tcPr>
          <w:p>
            <w:pPr>
              <w:pStyle w:val="TableText"/>
              <w:spacing w:line="298" w:lineRule="auto"/>
            </w:pPr>
          </w:p>
          <w:p>
            <w:pPr>
              <w:spacing w:before="78" w:line="241" w:lineRule="auto"/>
              <w:ind w:left="105" w:leftChars="0"/>
              <w:rPr>
                <w:rFonts w:ascii="宋体" w:eastAsia="宋体" w:hAnsi="宋体" w:cs="宋体"/>
                <w:kern w:val="2"/>
                <w:sz w:val="24"/>
                <w:szCs w:val="24"/>
                <w:lang w:val="en-US" w:eastAsia="zh-CN" w:bidi="ar-SA"/>
              </w:rPr>
            </w:pPr>
            <w:r>
              <w:rPr>
                <w:rFonts w:ascii="宋体" w:eastAsia="宋体" w:hAnsi="宋体" w:cs="宋体"/>
                <w:sz w:val="24"/>
                <w:szCs w:val="24"/>
              </w:rPr>
              <w:t>4</w:t>
            </w:r>
          </w:p>
        </w:tc>
        <w:tc>
          <w:tcPr>
            <w:tcW w:w="1080" w:type="dxa"/>
            <w:shd w:val="clear" w:color="auto" w:fill="auto"/>
          </w:tcPr>
          <w:p>
            <w:pPr>
              <w:pStyle w:val="TableText"/>
              <w:spacing w:line="298" w:lineRule="auto"/>
            </w:pPr>
          </w:p>
          <w:p>
            <w:pPr>
              <w:spacing w:before="78" w:line="219" w:lineRule="auto"/>
              <w:ind w:left="109" w:leftChars="0"/>
              <w:rPr>
                <w:rFonts w:ascii="宋体" w:eastAsia="宋体" w:hAnsi="宋体" w:cs="宋体"/>
                <w:kern w:val="2"/>
                <w:sz w:val="24"/>
                <w:szCs w:val="24"/>
                <w:lang w:val="en-US" w:eastAsia="zh-CN" w:bidi="ar-SA"/>
              </w:rPr>
            </w:pPr>
            <w:r>
              <w:rPr>
                <w:rFonts w:ascii="宋体" w:eastAsia="宋体" w:hAnsi="宋体" w:cs="宋体"/>
                <w:sz w:val="24"/>
                <w:szCs w:val="24"/>
              </w:rPr>
              <w:t>高</w:t>
            </w:r>
          </w:p>
        </w:tc>
        <w:tc>
          <w:tcPr>
            <w:tcW w:w="5967" w:type="dxa"/>
            <w:shd w:val="clear" w:color="auto" w:fill="auto"/>
          </w:tcPr>
          <w:p>
            <w:pPr>
              <w:spacing w:before="252" w:line="219" w:lineRule="auto"/>
              <w:ind w:left="107"/>
              <w:rPr>
                <w:rFonts w:ascii="宋体" w:eastAsia="宋体" w:hAnsi="宋体" w:cs="宋体"/>
                <w:kern w:val="2"/>
                <w:sz w:val="24"/>
                <w:szCs w:val="24"/>
                <w:lang w:val="en-US" w:eastAsia="zh-CN" w:bidi="ar-SA"/>
              </w:rPr>
            </w:pPr>
            <w:r>
              <w:rPr>
                <w:rFonts w:ascii="宋体" w:eastAsia="宋体" w:hAnsi="宋体" w:cs="宋体"/>
                <w:spacing w:val="-1"/>
                <w:sz w:val="24"/>
                <w:szCs w:val="24"/>
              </w:rPr>
              <w:t>一旦发生将产生较大的经济或社会影响，在一定范围内给组织的</w:t>
            </w:r>
            <w:r>
              <w:rPr>
                <w:rFonts w:ascii="宋体" w:eastAsia="宋体" w:hAnsi="宋体" w:cs="宋体"/>
                <w:spacing w:val="-5"/>
                <w:sz w:val="24"/>
                <w:szCs w:val="24"/>
              </w:rPr>
              <w:t>经营和组织信誉造成损害。</w:t>
            </w:r>
          </w:p>
        </w:tc>
      </w:tr>
      <w:tr>
        <w:tblPrEx>
          <w:tblW w:w="0" w:type="auto"/>
          <w:tblInd w:w="0" w:type="dxa"/>
          <w:tblCellMar>
            <w:top w:w="0" w:type="dxa"/>
            <w:left w:w="108" w:type="dxa"/>
            <w:bottom w:w="0" w:type="dxa"/>
            <w:right w:w="108" w:type="dxa"/>
          </w:tblCellMar>
        </w:tblPrEx>
        <w:tc>
          <w:tcPr>
            <w:tcW w:w="0" w:type="auto"/>
            <w:shd w:val="clear" w:color="auto" w:fill="auto"/>
          </w:tcPr>
          <w:p>
            <w:pPr>
              <w:pStyle w:val="TableText"/>
              <w:spacing w:line="270" w:lineRule="auto"/>
            </w:pPr>
          </w:p>
          <w:p>
            <w:pPr>
              <w:spacing w:before="78"/>
              <w:ind w:left="111" w:leftChars="0"/>
              <w:rPr>
                <w:rFonts w:ascii="宋体" w:eastAsia="宋体" w:hAnsi="宋体" w:cs="宋体"/>
                <w:kern w:val="2"/>
                <w:sz w:val="24"/>
                <w:szCs w:val="24"/>
                <w:lang w:val="en-US" w:eastAsia="zh-CN" w:bidi="ar-SA"/>
              </w:rPr>
            </w:pPr>
            <w:r>
              <w:rPr>
                <w:rFonts w:ascii="宋体" w:eastAsia="宋体" w:hAnsi="宋体" w:cs="宋体"/>
                <w:sz w:val="24"/>
                <w:szCs w:val="24"/>
              </w:rPr>
              <w:t>3</w:t>
            </w:r>
          </w:p>
        </w:tc>
        <w:tc>
          <w:tcPr>
            <w:tcW w:w="0" w:type="auto"/>
            <w:shd w:val="clear" w:color="auto" w:fill="auto"/>
          </w:tcPr>
          <w:p>
            <w:pPr>
              <w:pStyle w:val="TableText"/>
              <w:spacing w:line="270" w:lineRule="auto"/>
            </w:pPr>
          </w:p>
          <w:p>
            <w:pPr>
              <w:spacing w:before="78" w:line="220" w:lineRule="auto"/>
              <w:rPr>
                <w:rFonts w:ascii="宋体" w:eastAsia="宋体" w:hAnsi="宋体" w:cs="宋体"/>
                <w:kern w:val="2"/>
                <w:sz w:val="24"/>
                <w:szCs w:val="24"/>
                <w:lang w:val="en-US" w:eastAsia="zh-CN" w:bidi="ar-SA"/>
              </w:rPr>
            </w:pPr>
            <w:r>
              <w:rPr>
                <w:rFonts w:ascii="宋体" w:eastAsia="宋体" w:hAnsi="宋体" w:cs="宋体"/>
                <w:sz w:val="24"/>
                <w:szCs w:val="24"/>
              </w:rPr>
              <w:t>中</w:t>
            </w:r>
          </w:p>
        </w:tc>
        <w:tc>
          <w:tcPr>
            <w:tcW w:w="0" w:type="auto"/>
            <w:shd w:val="clear" w:color="auto" w:fill="auto"/>
          </w:tcPr>
          <w:p>
            <w:pPr>
              <w:spacing w:before="261" w:line="219" w:lineRule="auto"/>
              <w:ind w:left="107"/>
              <w:rPr>
                <w:rFonts w:ascii="宋体" w:eastAsia="宋体" w:hAnsi="宋体" w:cs="宋体"/>
                <w:kern w:val="2"/>
                <w:sz w:val="24"/>
                <w:szCs w:val="24"/>
                <w:lang w:val="en-US" w:eastAsia="zh-CN" w:bidi="ar-SA"/>
              </w:rPr>
            </w:pPr>
            <w:r>
              <w:rPr>
                <w:rFonts w:ascii="宋体" w:eastAsia="宋体" w:hAnsi="宋体" w:cs="宋体"/>
                <w:spacing w:val="-1"/>
                <w:sz w:val="24"/>
                <w:szCs w:val="24"/>
              </w:rPr>
              <w:t>一旦发生会造成一定的经济、社会或生产经营影响，但影响面和</w:t>
            </w:r>
            <w:r>
              <w:rPr>
                <w:rFonts w:ascii="宋体" w:eastAsia="宋体" w:hAnsi="宋体" w:cs="宋体"/>
                <w:spacing w:val="-5"/>
                <w:sz w:val="24"/>
                <w:szCs w:val="24"/>
              </w:rPr>
              <w:t>影响程度</w:t>
            </w:r>
          </w:p>
        </w:tc>
      </w:tr>
      <w:tr>
        <w:tblPrEx>
          <w:tblW w:w="0" w:type="auto"/>
          <w:tblInd w:w="0" w:type="dxa"/>
          <w:tblCellMar>
            <w:top w:w="0" w:type="dxa"/>
            <w:left w:w="108" w:type="dxa"/>
            <w:bottom w:w="0" w:type="dxa"/>
            <w:right w:w="108" w:type="dxa"/>
          </w:tblCellMar>
        </w:tblPrEx>
        <w:tc>
          <w:tcPr>
            <w:tcW w:w="0" w:type="auto"/>
            <w:shd w:val="clear" w:color="auto" w:fill="auto"/>
          </w:tcPr>
          <w:p>
            <w:pPr>
              <w:spacing w:before="78" w:line="241" w:lineRule="auto"/>
              <w:rPr>
                <w:rFonts w:ascii="宋体" w:eastAsia="宋体" w:hAnsi="宋体" w:cs="宋体"/>
                <w:sz w:val="24"/>
                <w:szCs w:val="24"/>
              </w:rPr>
            </w:pPr>
          </w:p>
          <w:p>
            <w:pPr>
              <w:spacing w:before="78" w:line="241" w:lineRule="auto"/>
              <w:rPr>
                <w:rFonts w:ascii="宋体" w:eastAsia="宋体" w:hAnsi="宋体" w:cs="宋体"/>
                <w:kern w:val="2"/>
                <w:sz w:val="24"/>
                <w:szCs w:val="24"/>
                <w:lang w:val="en-US" w:eastAsia="zh-CN" w:bidi="ar-SA"/>
              </w:rPr>
            </w:pPr>
            <w:r>
              <w:rPr>
                <w:rFonts w:ascii="宋体" w:eastAsia="宋体" w:hAnsi="宋体" w:cs="宋体"/>
                <w:sz w:val="24"/>
                <w:szCs w:val="24"/>
              </w:rPr>
              <w:t>2</w:t>
            </w:r>
          </w:p>
        </w:tc>
        <w:tc>
          <w:tcPr>
            <w:tcW w:w="0" w:type="auto"/>
            <w:shd w:val="clear" w:color="auto" w:fill="auto"/>
          </w:tcPr>
          <w:p>
            <w:pPr>
              <w:pStyle w:val="TableText"/>
              <w:spacing w:line="294" w:lineRule="auto"/>
            </w:pPr>
          </w:p>
          <w:p>
            <w:pPr>
              <w:spacing w:before="78" w:line="221" w:lineRule="auto"/>
              <w:rPr>
                <w:rFonts w:ascii="宋体" w:eastAsia="宋体" w:hAnsi="宋体" w:cs="宋体"/>
                <w:kern w:val="2"/>
                <w:sz w:val="24"/>
                <w:szCs w:val="24"/>
                <w:lang w:val="en-US" w:eastAsia="zh-CN" w:bidi="ar-SA"/>
              </w:rPr>
            </w:pPr>
            <w:r>
              <w:rPr>
                <w:rFonts w:ascii="宋体" w:eastAsia="宋体" w:hAnsi="宋体" w:cs="宋体"/>
                <w:sz w:val="24"/>
                <w:szCs w:val="24"/>
              </w:rPr>
              <w:t>低</w:t>
            </w:r>
          </w:p>
        </w:tc>
        <w:tc>
          <w:tcPr>
            <w:tcW w:w="0" w:type="auto"/>
            <w:shd w:val="clear" w:color="auto" w:fill="auto"/>
          </w:tcPr>
          <w:p>
            <w:pPr>
              <w:spacing w:before="246" w:line="219" w:lineRule="auto"/>
              <w:ind w:left="107"/>
              <w:rPr>
                <w:rFonts w:ascii="宋体" w:eastAsia="宋体" w:hAnsi="宋体" w:cs="宋体"/>
                <w:kern w:val="2"/>
                <w:sz w:val="24"/>
                <w:szCs w:val="24"/>
                <w:lang w:val="en-US" w:eastAsia="zh-CN" w:bidi="ar-SA"/>
              </w:rPr>
            </w:pPr>
            <w:r>
              <w:rPr>
                <w:rFonts w:ascii="宋体" w:eastAsia="宋体" w:hAnsi="宋体" w:cs="宋体"/>
                <w:spacing w:val="-1"/>
                <w:sz w:val="24"/>
                <w:szCs w:val="24"/>
              </w:rPr>
              <w:t>一旦发生造成的影响程度较低，一般仅限于组织内部，通过一定</w:t>
            </w:r>
            <w:r>
              <w:rPr>
                <w:rFonts w:ascii="宋体" w:eastAsia="宋体" w:hAnsi="宋体" w:cs="宋体"/>
                <w:spacing w:val="-5"/>
                <w:sz w:val="24"/>
                <w:szCs w:val="24"/>
              </w:rPr>
              <w:t>手段很快</w:t>
            </w:r>
            <w:r>
              <w:rPr>
                <w:rFonts w:ascii="宋体" w:eastAsia="宋体" w:hAnsi="宋体" w:cs="宋体"/>
                <w:spacing w:val="-7"/>
                <w:sz w:val="24"/>
                <w:szCs w:val="24"/>
              </w:rPr>
              <w:t>能解决。</w:t>
            </w:r>
          </w:p>
        </w:tc>
      </w:tr>
      <w:tr>
        <w:tblPrEx>
          <w:tblW w:w="0" w:type="auto"/>
          <w:tblInd w:w="0" w:type="dxa"/>
          <w:tblCellMar>
            <w:top w:w="0" w:type="dxa"/>
            <w:left w:w="108" w:type="dxa"/>
            <w:bottom w:w="0" w:type="dxa"/>
            <w:right w:w="108" w:type="dxa"/>
          </w:tblCellMar>
        </w:tblPrEx>
        <w:tc>
          <w:tcPr>
            <w:tcW w:w="0" w:type="auto"/>
            <w:shd w:val="clear" w:color="auto" w:fill="auto"/>
          </w:tcPr>
          <w:p>
            <w:pPr>
              <w:spacing w:before="261" w:line="241" w:lineRule="auto"/>
              <w:ind w:left="124" w:leftChars="0"/>
              <w:rPr>
                <w:rFonts w:ascii="宋体" w:eastAsia="宋体" w:hAnsi="宋体" w:cs="宋体"/>
                <w:kern w:val="2"/>
                <w:sz w:val="24"/>
                <w:szCs w:val="24"/>
                <w:lang w:val="en-US" w:eastAsia="zh-CN" w:bidi="ar-SA"/>
              </w:rPr>
            </w:pPr>
            <w:r>
              <w:rPr>
                <w:rFonts w:ascii="宋体" w:eastAsia="宋体" w:hAnsi="宋体" w:cs="宋体"/>
                <w:sz w:val="24"/>
                <w:szCs w:val="24"/>
              </w:rPr>
              <w:t>1</w:t>
            </w:r>
          </w:p>
        </w:tc>
        <w:tc>
          <w:tcPr>
            <w:tcW w:w="0" w:type="auto"/>
            <w:shd w:val="clear" w:color="auto" w:fill="auto"/>
          </w:tcPr>
          <w:p>
            <w:pPr>
              <w:spacing w:before="261" w:line="220" w:lineRule="auto"/>
              <w:ind w:left="104" w:leftChars="0"/>
              <w:rPr>
                <w:rFonts w:ascii="宋体" w:eastAsia="宋体" w:hAnsi="宋体" w:cs="宋体"/>
                <w:kern w:val="2"/>
                <w:sz w:val="24"/>
                <w:szCs w:val="24"/>
                <w:lang w:val="en-US" w:eastAsia="zh-CN" w:bidi="ar-SA"/>
              </w:rPr>
            </w:pPr>
            <w:r>
              <w:rPr>
                <w:rFonts w:ascii="宋体" w:eastAsia="宋体" w:hAnsi="宋体" w:cs="宋体"/>
                <w:spacing w:val="-6"/>
                <w:sz w:val="24"/>
                <w:szCs w:val="24"/>
              </w:rPr>
              <w:t>很低</w:t>
            </w:r>
          </w:p>
        </w:tc>
        <w:tc>
          <w:tcPr>
            <w:tcW w:w="0" w:type="auto"/>
            <w:shd w:val="clear" w:color="auto" w:fill="auto"/>
          </w:tcPr>
          <w:p>
            <w:pPr>
              <w:spacing w:before="260" w:line="219" w:lineRule="auto"/>
              <w:ind w:left="107" w:leftChars="0"/>
              <w:rPr>
                <w:rFonts w:ascii="宋体" w:eastAsia="宋体" w:hAnsi="宋体" w:cs="宋体"/>
                <w:kern w:val="2"/>
                <w:sz w:val="24"/>
                <w:szCs w:val="24"/>
                <w:lang w:val="en-US" w:eastAsia="zh-CN" w:bidi="ar-SA"/>
              </w:rPr>
            </w:pPr>
            <w:r>
              <w:rPr>
                <w:rFonts w:ascii="宋体" w:eastAsia="宋体" w:hAnsi="宋体" w:cs="宋体"/>
                <w:spacing w:val="-5"/>
                <w:sz w:val="24"/>
                <w:szCs w:val="24"/>
              </w:rPr>
              <w:t>一旦发生造成的影响几乎不存在，通过简单的措施就能弥补。</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p>
    <w:p>
      <w:pPr>
        <w:pStyle w:val="Heading3"/>
        <w:bidi w:val="0"/>
        <w:rPr>
          <w:rFonts w:hint="default"/>
          <w:lang w:val="en-US" w:eastAsia="zh-CN"/>
        </w:rPr>
      </w:pPr>
      <w:bookmarkStart w:id="17" w:name="_Toc10614"/>
      <w:r>
        <w:rPr>
          <w:rFonts w:hint="default"/>
          <w:lang w:val="en-US" w:eastAsia="zh-CN"/>
        </w:rPr>
        <w:t>3.4.8 控制措施的选择</w:t>
      </w:r>
      <w:bookmarkEnd w:id="17"/>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评估小组在对风险等级进行划分后，应考虑法律法规的要求、机构自身的发展要求、风险评估的结果确定安全水平，对不可接受的风险选择适当的处理方式及控制措施，并形成风险处理计划。风险处理的方式包括：规避风险，降低风险（降低发生的可能性或减小后果），转移风险，接受风险。控制措施的选择应兼顾管理与技术，具体针对各类风险应根据组织的实际情况考虑以下十个方面的控制：安全方针、组织安全、资产的分类与控制、人员安全、物理与环境安全、通讯与运作管理、访问控制、系统的开发与维护、业务持续性管理、符合性。在风险处理方式及控制措施的选择上，机构应考虑发展战略、企业文化、人员素质，并特别关注成本与风险的平衡，以处理安全风险以满足法律法规及相关方的要求，管理性与技术性的措施均可以降低风险。</w:t>
      </w:r>
    </w:p>
    <w:p>
      <w:pPr>
        <w:pStyle w:val="Heading3"/>
        <w:bidi w:val="0"/>
        <w:rPr>
          <w:rFonts w:hint="default"/>
          <w:lang w:val="en-US" w:eastAsia="zh-CN"/>
        </w:rPr>
      </w:pPr>
      <w:bookmarkStart w:id="18" w:name="_Toc18274"/>
      <w:r>
        <w:rPr>
          <w:rFonts w:hint="default"/>
          <w:lang w:val="en-US" w:eastAsia="zh-CN"/>
        </w:rPr>
        <w:t>3.4.9 残余风险的评价</w:t>
      </w:r>
      <w:bookmarkEnd w:id="18"/>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对于不可接受范围内的风险，应在选择了适当的控制措施后，对残余风险进行评价，判定风险是否已经降低到可接受的水平，为风险管理提供输入。残余风险的评价可以依据本标准进行，考虑选择的控制措施和已有的控制措施对于威胁发生的可能性的降低。某些风险可能在选择了适当的控制措施后仍处于不可接受的风险范围内，应通过信息系统所有者依据风险接受的原则，考虑是否接受此类风险或增加控制措施。为确保所选择控制措施的有效性，必要时可进行再评估，以判断实施控制措施后的残余风险是否是可被接受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阶段成果：在本阶段结束后本公司信息安全管理委员会将向信息系统所有者提供《重要资产清单》、《信息识别清单》、《信息安全风险评估表》、《信息安全风险评估报告》、《信息安全不可接受风险处理计划》、《残余风险报告》，并由信息系统所有者进行书面确认。</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《风险评估报告》：风险评估报告应对整个风险评估过程进行总结，说明组织的风险状况及残余风险状况，通过管理层的评审，确定评估后的风险状况满足组织业务发展及其他相关方的要求。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4 风险评估评审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定期由风险经理对风险评估进行回顾评审、必要时提出整改意见并跟踪整改成效上报运维服务中心负责人。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每半年对流程进行回顾，包括流程执行效率和流程支持工具的有效性，以改进和优化风险评估管理流程。回顾评审指标包括：对风险评估管理的情况进行总结和评审，对发现的问题进行整改。</w:t>
      </w:r>
    </w:p>
    <w:sectPr>
      <w:headerReference w:type="default" r:id="rId11"/>
      <w:footerReference w:type="default" r:id="rId12"/>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9" w:lineRule="auto"/>
      <w:ind w:left="5927"/>
      <w:rPr>
        <w:rFonts w:ascii="Calibri" w:eastAsia="Calibri" w:hAnsi="Calibri" w:cs="Calibri"/>
        <w:sz w:val="18"/>
        <w:szCs w:val="18"/>
      </w:rPr>
    </w:pPr>
    <w:r>
      <w:rPr>
        <w:rFonts w:ascii="Calibri" w:eastAsia="Calibri" w:hAnsi="Calibri" w:cs="Calibri"/>
        <w:spacing w:val="-5"/>
        <w:sz w:val="18"/>
        <w:szCs w:val="18"/>
      </w:rPr>
      <w:t>34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nhideWhenUsed="0" w:qFormat="1"/>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link w:val="2Char"/>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paragraph" w:styleId="Heading3">
    <w:name w:val="heading 3"/>
    <w:basedOn w:val="Normal"/>
    <w:next w:val="Normal"/>
    <w:unhideWhenUsed/>
    <w:qFormat/>
    <w:pPr>
      <w:keepNext/>
      <w:keepLines/>
      <w:spacing w:before="260" w:beforeLines="0" w:beforeAutospacing="0" w:after="260" w:afterLines="0" w:afterAutospacing="0" w:line="413" w:lineRule="auto"/>
      <w:outlineLvl w:val="2"/>
    </w:pPr>
    <w:rPr>
      <w:b/>
      <w:sz w:val="32"/>
    </w:rPr>
  </w:style>
  <w:style w:type="paragraph" w:styleId="Heading4">
    <w:name w:val="heading 4"/>
    <w:basedOn w:val="Normal"/>
    <w:next w:val="Normal"/>
    <w:unhideWhenUsed/>
    <w:qFormat/>
    <w:pPr>
      <w:keepNext/>
      <w:keepLines/>
      <w:spacing w:before="280" w:beforeLines="0" w:beforeAutospacing="0" w:after="290" w:afterLines="0" w:afterAutospacing="0" w:line="372" w:lineRule="auto"/>
      <w:outlineLvl w:val="3"/>
    </w:pPr>
    <w:rPr>
      <w:rFonts w:ascii="Arial" w:eastAsia="黑体" w:hAnsi="Arial"/>
      <w:b/>
      <w:sz w:val="28"/>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Indent">
    <w:name w:val="Normal Indent"/>
    <w:basedOn w:val="Normal"/>
    <w:uiPriority w:val="99"/>
    <w:qFormat/>
    <w:pPr>
      <w:ind w:firstLine="420" w:firstLineChars="200"/>
    </w:pPr>
    <w:rPr>
      <w:rFonts w:ascii="Arial" w:hAnsi="Arial"/>
    </w:rPr>
  </w:style>
  <w:style w:type="paragraph" w:styleId="BodyText">
    <w:name w:val="Body Text"/>
    <w:basedOn w:val="Normal"/>
    <w:semiHidden/>
    <w:qFormat/>
    <w:rPr>
      <w:rFonts w:ascii="宋体" w:eastAsia="宋体" w:hAnsi="宋体" w:cs="宋体"/>
      <w:sz w:val="31"/>
      <w:szCs w:val="3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styleId="NoSpacing">
    <w:name w:val="No Spacing"/>
    <w:uiPriority w:val="99"/>
    <w:qFormat/>
    <w:rPr>
      <w:rFonts w:ascii="Calibri" w:eastAsia="宋体" w:hAnsi="Calibri" w:cs="Times New Roman"/>
      <w:sz w:val="22"/>
      <w:szCs w:val="22"/>
      <w:lang w:val="en-US" w:eastAsia="zh-CN" w:bidi="ar-SA"/>
    </w:rPr>
  </w:style>
  <w:style w:type="character" w:customStyle="1" w:styleId="2Char">
    <w:name w:val="标题 2 Char"/>
    <w:link w:val="Heading2"/>
    <w:qFormat/>
    <w:rPr>
      <w:rFonts w:ascii="Arial" w:eastAsia="黑体" w:hAnsi="Arial"/>
      <w:b/>
      <w:sz w:val="32"/>
    </w:rPr>
  </w:style>
  <w:style w:type="paragraph" w:customStyle="1" w:styleId="TableParagraph">
    <w:name w:val="Table Paragraph"/>
    <w:basedOn w:val="Normal"/>
    <w:uiPriority w:val="1"/>
    <w:qFormat/>
    <w:pPr>
      <w:autoSpaceDE w:val="0"/>
      <w:autoSpaceDN w:val="0"/>
      <w:spacing w:before="81"/>
      <w:ind w:left="108"/>
      <w:jc w:val="left"/>
    </w:pPr>
    <w:rPr>
      <w:rFonts w:ascii="宋体" w:hAnsi="宋体" w:cs="宋体"/>
      <w:kern w:val="0"/>
      <w:sz w:val="22"/>
      <w:szCs w:val="22"/>
      <w:lang w:val="zh-CN" w:bidi="zh-CN"/>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12</TotalTime>
  <Pages>29</Pages>
  <Words>3538</Words>
  <Characters>3660</Characters>
  <Application>Microsoft Office Word</Application>
  <DocSecurity>0</DocSecurity>
  <Lines>0</Lines>
  <Paragraphs>0</Paragraphs>
  <ScaleCrop>false</ScaleCrop>
  <Company/>
  <LinksUpToDate>false</LinksUpToDate>
  <CharactersWithSpaces>3752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2025-08-03T15:18:00Z</dcterms:created>
  <dcterms:modified xsi:type="dcterms:W3CDTF">2025-08-30T16:41:34Z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2052-12.1.0.21915</vt:lpwstr>
  </property>
  <property fmtid="{D5CDD505-2E9C-101B-9397-08002B2CF9AE}" pid="4" name="KSOTemplateDocerSaveRecord">
    <vt:lpwstr>eyJoZGlkIjoiMDY5NmFjMmM4ZTljMGJiZDAxN2JmYTc0NGI0NmFiNDgiLCJ1c2VySWQiOiIxMDc1MzgyOSJ9</vt:lpwstr>
  </property>
</Properties>
</file>