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1413F">
      <w:pPr>
        <w:spacing w:before="99" w:line="224" w:lineRule="auto"/>
        <w:ind w:left="1248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3"/>
          <w:sz w:val="43"/>
          <w:szCs w:val="43"/>
        </w:rPr>
        <w:t>网络核心配置丢失应急演练记录</w:t>
      </w:r>
    </w:p>
    <w:tbl>
      <w:tblPr>
        <w:tblStyle w:val="5"/>
        <w:tblW w:w="855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4"/>
        <w:gridCol w:w="1213"/>
        <w:gridCol w:w="909"/>
        <w:gridCol w:w="1062"/>
        <w:gridCol w:w="3216"/>
      </w:tblGrid>
      <w:tr w14:paraId="20372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2154" w:type="dxa"/>
            <w:tcBorders>
              <w:top w:val="single" w:color="000000" w:sz="10" w:space="0"/>
              <w:left w:val="single" w:color="000000" w:sz="10" w:space="0"/>
            </w:tcBorders>
          </w:tcPr>
          <w:p w14:paraId="039E3201">
            <w:pPr>
              <w:pStyle w:val="6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 w14:paraId="61028695">
            <w:pPr>
              <w:pStyle w:val="6"/>
              <w:spacing w:before="184" w:line="228" w:lineRule="auto"/>
              <w:ind w:left="118"/>
            </w:pPr>
            <w:r>
              <w:rPr>
                <w:spacing w:val="6"/>
              </w:rPr>
              <w:t>网络核心配置丢失</w:t>
            </w:r>
          </w:p>
        </w:tc>
        <w:tc>
          <w:tcPr>
            <w:tcW w:w="1062" w:type="dxa"/>
          </w:tcPr>
          <w:p w14:paraId="1FFDC651">
            <w:pPr>
              <w:pStyle w:val="6"/>
              <w:spacing w:before="184" w:line="230" w:lineRule="auto"/>
              <w:ind w:left="118"/>
            </w:pPr>
            <w:r>
              <w:rPr>
                <w:spacing w:val="-1"/>
              </w:rPr>
              <w:t>时间</w:t>
            </w:r>
          </w:p>
        </w:tc>
        <w:tc>
          <w:tcPr>
            <w:tcW w:w="3216" w:type="dxa"/>
            <w:tcBorders>
              <w:top w:val="single" w:color="000000" w:sz="10" w:space="0"/>
              <w:right w:val="single" w:color="000000" w:sz="10" w:space="0"/>
            </w:tcBorders>
          </w:tcPr>
          <w:p w14:paraId="7875F129">
            <w:pPr>
              <w:pStyle w:val="6"/>
              <w:spacing w:before="183" w:line="228" w:lineRule="auto"/>
              <w:ind w:left="111"/>
            </w:pPr>
            <w:r>
              <w:rPr>
                <w:rFonts w:ascii="Times New Roman" w:hAnsi="Times New Roman" w:eastAsia="Times New Roman" w:cs="Times New Roman"/>
              </w:rPr>
              <w:t xml:space="preserve">2025 </w:t>
            </w:r>
            <w:r>
              <w:t>年</w:t>
            </w:r>
            <w:r>
              <w:rPr>
                <w:spacing w:val="-20"/>
              </w:rPr>
              <w:t xml:space="preserve"> </w:t>
            </w:r>
            <w:r>
              <w:rPr>
                <w:rFonts w:hint="eastAsia"/>
                <w:spacing w:val="-20"/>
                <w:lang w:val="en-US" w:eastAsia="zh-CN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 </w:t>
            </w:r>
            <w:r>
              <w:t>日</w:t>
            </w:r>
          </w:p>
        </w:tc>
      </w:tr>
      <w:tr w14:paraId="01E87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154" w:type="dxa"/>
          </w:tcPr>
          <w:p w14:paraId="0D49F6F1">
            <w:pPr>
              <w:pStyle w:val="6"/>
              <w:spacing w:before="150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0" w:type="dxa"/>
            <w:gridSpan w:val="4"/>
          </w:tcPr>
          <w:p w14:paraId="4663CC77">
            <w:pPr>
              <w:spacing w:before="182" w:line="220" w:lineRule="auto"/>
              <w:ind w:left="3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金文莉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胡葛鹏宇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、游天舒、黄益溪</w:t>
            </w:r>
          </w:p>
          <w:p w14:paraId="64BD8722">
            <w:pPr>
              <w:pStyle w:val="6"/>
              <w:spacing w:before="49" w:line="263" w:lineRule="auto"/>
              <w:ind w:left="103" w:right="113"/>
            </w:pPr>
          </w:p>
        </w:tc>
      </w:tr>
      <w:tr w14:paraId="6CEDD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2154" w:type="dxa"/>
            <w:vMerge w:val="restart"/>
            <w:tcBorders>
              <w:bottom w:val="nil"/>
            </w:tcBorders>
          </w:tcPr>
          <w:p w14:paraId="68D3F083">
            <w:pPr>
              <w:pStyle w:val="6"/>
              <w:spacing w:before="149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 w14:paraId="184C1F17">
            <w:pPr>
              <w:pStyle w:val="6"/>
              <w:spacing w:before="49" w:line="228" w:lineRule="auto"/>
              <w:ind w:left="103"/>
            </w:pPr>
            <w:r>
              <w:rPr>
                <w:spacing w:val="6"/>
              </w:rPr>
              <w:t>准备工作</w:t>
            </w:r>
          </w:p>
        </w:tc>
        <w:tc>
          <w:tcPr>
            <w:tcW w:w="5187" w:type="dxa"/>
            <w:gridSpan w:val="3"/>
          </w:tcPr>
          <w:p w14:paraId="41D57BDD">
            <w:pPr>
              <w:pStyle w:val="6"/>
              <w:spacing w:before="49" w:line="262" w:lineRule="auto"/>
              <w:ind w:left="108" w:right="120"/>
            </w:pPr>
            <w:r>
              <w:rPr>
                <w:spacing w:val="6"/>
              </w:rPr>
              <w:t>备份核心交换机配置文件，准备备用交换机和配置恢复</w:t>
            </w:r>
            <w:r>
              <w:rPr>
                <w:spacing w:val="2"/>
              </w:rPr>
              <w:t>工具。</w:t>
            </w:r>
          </w:p>
        </w:tc>
      </w:tr>
      <w:tr w14:paraId="33AE1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8" w:hRule="atLeast"/>
        </w:trPr>
        <w:tc>
          <w:tcPr>
            <w:tcW w:w="2154" w:type="dxa"/>
            <w:vMerge w:val="continue"/>
            <w:tcBorders>
              <w:top w:val="nil"/>
              <w:bottom w:val="nil"/>
            </w:tcBorders>
          </w:tcPr>
          <w:p w14:paraId="38AEFDB9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150180CC">
            <w:pPr>
              <w:pStyle w:val="6"/>
              <w:spacing w:before="49" w:line="228" w:lineRule="auto"/>
              <w:ind w:left="103"/>
            </w:pPr>
            <w:r>
              <w:rPr>
                <w:spacing w:val="7"/>
              </w:rPr>
              <w:t>演练内容</w:t>
            </w:r>
          </w:p>
        </w:tc>
        <w:tc>
          <w:tcPr>
            <w:tcW w:w="5187" w:type="dxa"/>
            <w:gridSpan w:val="3"/>
          </w:tcPr>
          <w:p w14:paraId="0C6C86F5">
            <w:pPr>
              <w:pStyle w:val="6"/>
              <w:spacing w:before="49" w:line="228" w:lineRule="auto"/>
              <w:ind w:left="122"/>
            </w:pPr>
            <w:r>
              <w:rPr>
                <w:rFonts w:ascii="Times New Roman" w:hAnsi="Times New Roman" w:eastAsia="Times New Roman" w:cs="Times New Roman"/>
                <w:spacing w:val="5"/>
              </w:rPr>
              <w:t>1</w:t>
            </w:r>
            <w:r>
              <w:rPr>
                <w:spacing w:val="5"/>
              </w:rPr>
              <w:t>）备份保存相关重要的数据，并将它们保存于安全处；</w:t>
            </w:r>
          </w:p>
          <w:p w14:paraId="391C2881">
            <w:pPr>
              <w:pStyle w:val="6"/>
              <w:spacing w:before="64" w:line="268" w:lineRule="auto"/>
              <w:ind w:left="104" w:right="120" w:hanging="2"/>
            </w:pPr>
            <w:r>
              <w:rPr>
                <w:rFonts w:ascii="Times New Roman" w:hAnsi="Times New Roman" w:eastAsia="Times New Roman" w:cs="Times New Roman"/>
                <w:spacing w:val="10"/>
              </w:rPr>
              <w:t>2</w:t>
            </w:r>
            <w:r>
              <w:rPr>
                <w:spacing w:val="10"/>
              </w:rPr>
              <w:t>）模拟交换机故障、或者网络连接器故障、或者网络</w:t>
            </w:r>
            <w:r>
              <w:rPr>
                <w:spacing w:val="15"/>
              </w:rPr>
              <w:t>线缆故障，技术人员立即向运维部负责人或总经理汇</w:t>
            </w:r>
            <w:r>
              <w:rPr>
                <w:spacing w:val="8"/>
              </w:rPr>
              <w:t>报，经同意后采用备份交换机；</w:t>
            </w:r>
          </w:p>
          <w:p w14:paraId="69BED7AD">
            <w:pPr>
              <w:pStyle w:val="6"/>
              <w:spacing w:before="65" w:line="228" w:lineRule="auto"/>
              <w:ind w:left="106"/>
            </w:pPr>
            <w:r>
              <w:rPr>
                <w:rFonts w:ascii="Times New Roman" w:hAnsi="Times New Roman" w:eastAsia="Times New Roman" w:cs="Times New Roman"/>
                <w:spacing w:val="8"/>
              </w:rPr>
              <w:t>3</w:t>
            </w:r>
            <w:r>
              <w:rPr>
                <w:spacing w:val="8"/>
              </w:rPr>
              <w:t>）定位网络连接故障原因；</w:t>
            </w:r>
          </w:p>
          <w:p w14:paraId="5394C0D4">
            <w:pPr>
              <w:pStyle w:val="6"/>
              <w:spacing w:before="64" w:line="258" w:lineRule="auto"/>
              <w:ind w:left="104" w:right="125" w:hanging="3"/>
            </w:pPr>
            <w:r>
              <w:rPr>
                <w:rFonts w:ascii="Times New Roman" w:hAnsi="Times New Roman" w:eastAsia="Times New Roman" w:cs="Times New Roman"/>
                <w:spacing w:val="10"/>
              </w:rPr>
              <w:t>4</w:t>
            </w:r>
            <w:r>
              <w:rPr>
                <w:spacing w:val="10"/>
              </w:rPr>
              <w:t>）运维部组织技术人员做好故障设备的更换与相关数</w:t>
            </w:r>
            <w:r>
              <w:rPr>
                <w:spacing w:val="7"/>
              </w:rPr>
              <w:t>据的恢复工作；</w:t>
            </w:r>
          </w:p>
          <w:p w14:paraId="241DC320">
            <w:pPr>
              <w:pStyle w:val="6"/>
              <w:spacing w:before="66" w:line="227" w:lineRule="auto"/>
              <w:ind w:left="107"/>
            </w:pPr>
            <w:r>
              <w:rPr>
                <w:rFonts w:ascii="Times New Roman" w:hAnsi="Times New Roman" w:eastAsia="Times New Roman" w:cs="Times New Roman"/>
                <w:spacing w:val="6"/>
              </w:rPr>
              <w:t>5</w:t>
            </w:r>
            <w:r>
              <w:rPr>
                <w:spacing w:val="6"/>
              </w:rPr>
              <w:t>）信息安全员检查日志等资料，确定机记</w:t>
            </w:r>
            <w:r>
              <w:rPr>
                <w:spacing w:val="5"/>
              </w:rPr>
              <w:t>录故障原因；</w:t>
            </w:r>
          </w:p>
          <w:p w14:paraId="1F9DF93E">
            <w:pPr>
              <w:pStyle w:val="6"/>
              <w:spacing w:before="65" w:line="228" w:lineRule="auto"/>
              <w:ind w:left="106"/>
            </w:pPr>
            <w:r>
              <w:rPr>
                <w:rFonts w:ascii="Times New Roman" w:hAnsi="Times New Roman" w:eastAsia="Times New Roman" w:cs="Times New Roman"/>
                <w:spacing w:val="5"/>
              </w:rPr>
              <w:t>6</w:t>
            </w:r>
            <w:r>
              <w:rPr>
                <w:spacing w:val="5"/>
              </w:rPr>
              <w:t>）确定原因，排除网络连接故障，信息系统恢复正常；</w:t>
            </w:r>
          </w:p>
          <w:p w14:paraId="2A3C4EFD">
            <w:pPr>
              <w:pStyle w:val="6"/>
              <w:spacing w:before="65" w:line="258" w:lineRule="auto"/>
              <w:ind w:left="105" w:right="125"/>
            </w:pPr>
            <w:r>
              <w:rPr>
                <w:rFonts w:ascii="Times New Roman" w:hAnsi="Times New Roman" w:eastAsia="Times New Roman" w:cs="Times New Roman"/>
                <w:spacing w:val="10"/>
              </w:rPr>
              <w:t>7</w:t>
            </w:r>
            <w:r>
              <w:rPr>
                <w:spacing w:val="10"/>
              </w:rPr>
              <w:t>）运维部会同相关人员将实施处理的过程和结果备案</w:t>
            </w:r>
            <w:r>
              <w:rPr>
                <w:spacing w:val="8"/>
              </w:rPr>
              <w:t>存档，并向有关领导汇报。</w:t>
            </w:r>
          </w:p>
        </w:tc>
      </w:tr>
      <w:tr w14:paraId="3E366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2154" w:type="dxa"/>
            <w:vMerge w:val="continue"/>
            <w:tcBorders>
              <w:top w:val="nil"/>
            </w:tcBorders>
          </w:tcPr>
          <w:p w14:paraId="71E467EA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54F906AD">
            <w:pPr>
              <w:pStyle w:val="6"/>
              <w:spacing w:before="61" w:line="228" w:lineRule="auto"/>
              <w:ind w:left="107"/>
            </w:pPr>
            <w:r>
              <w:rPr>
                <w:spacing w:val="6"/>
              </w:rPr>
              <w:t>复原工作</w:t>
            </w:r>
          </w:p>
        </w:tc>
        <w:tc>
          <w:tcPr>
            <w:tcW w:w="5187" w:type="dxa"/>
            <w:gridSpan w:val="3"/>
          </w:tcPr>
          <w:p w14:paraId="19C2088B">
            <w:pPr>
              <w:pStyle w:val="6"/>
              <w:spacing w:before="60" w:line="273" w:lineRule="auto"/>
              <w:ind w:left="107" w:right="120" w:hanging="1"/>
            </w:pPr>
            <w:r>
              <w:rPr>
                <w:spacing w:val="6"/>
              </w:rPr>
              <w:t>技术人员根据备份策略恢复核心交换机配置，确保网络</w:t>
            </w:r>
            <w:r>
              <w:rPr>
                <w:spacing w:val="10"/>
              </w:rPr>
              <w:t>拓扑和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VLAN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10"/>
              </w:rPr>
              <w:t>配置正确，验证所有网络连接恢复正常</w:t>
            </w:r>
          </w:p>
        </w:tc>
      </w:tr>
      <w:tr w14:paraId="04BEDF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2154" w:type="dxa"/>
          </w:tcPr>
          <w:p w14:paraId="190E0C0C">
            <w:pPr>
              <w:pStyle w:val="6"/>
              <w:spacing w:before="163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0" w:type="dxa"/>
            <w:gridSpan w:val="4"/>
          </w:tcPr>
          <w:p w14:paraId="3E119C11">
            <w:pPr>
              <w:pStyle w:val="6"/>
              <w:spacing w:before="63" w:line="288" w:lineRule="auto"/>
              <w:ind w:left="118" w:right="113" w:hanging="15"/>
            </w:pPr>
            <w:r>
              <w:rPr>
                <w:spacing w:val="13"/>
              </w:rPr>
              <w:t>演练过程中网络配置恢复迅速，备用交换机切换及时，</w:t>
            </w:r>
            <w:r>
              <w:rPr>
                <w:spacing w:val="12"/>
              </w:rPr>
              <w:t>网络中断时</w:t>
            </w:r>
            <w:r>
              <w:rPr>
                <w:spacing w:val="2"/>
              </w:rPr>
              <w:t>间控制在</w:t>
            </w:r>
            <w:r>
              <w:rPr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 xml:space="preserve">15 </w:t>
            </w:r>
            <w:r>
              <w:rPr>
                <w:spacing w:val="2"/>
              </w:rPr>
              <w:t>分钟内。</w:t>
            </w:r>
          </w:p>
          <w:p w14:paraId="0427DB40">
            <w:pPr>
              <w:pStyle w:val="6"/>
              <w:spacing w:line="228" w:lineRule="auto"/>
              <w:ind w:left="104"/>
            </w:pPr>
            <w:r>
              <w:rPr>
                <w:spacing w:val="2"/>
              </w:rPr>
              <w:t>建议：</w:t>
            </w:r>
          </w:p>
          <w:p w14:paraId="384EA5BD">
            <w:pPr>
              <w:pStyle w:val="6"/>
              <w:spacing w:before="64" w:line="228" w:lineRule="auto"/>
              <w:ind w:left="118"/>
            </w:pPr>
            <w:r>
              <w:rPr>
                <w:rFonts w:ascii="Times New Roman" w:hAnsi="Times New Roman" w:eastAsia="Times New Roman" w:cs="Times New Roman"/>
                <w:spacing w:val="6"/>
              </w:rPr>
              <w:t>1</w:t>
            </w:r>
            <w:r>
              <w:rPr>
                <w:spacing w:val="6"/>
              </w:rPr>
              <w:t>）增加配置自动备份频率；</w:t>
            </w:r>
          </w:p>
          <w:p w14:paraId="4E0EF4B5">
            <w:pPr>
              <w:pStyle w:val="6"/>
              <w:spacing w:before="65" w:line="227" w:lineRule="auto"/>
              <w:ind w:left="98"/>
            </w:pPr>
            <w:r>
              <w:rPr>
                <w:rFonts w:ascii="Times New Roman" w:hAnsi="Times New Roman" w:eastAsia="Times New Roman" w:cs="Times New Roman"/>
                <w:spacing w:val="8"/>
              </w:rPr>
              <w:t>2</w:t>
            </w:r>
            <w:r>
              <w:rPr>
                <w:spacing w:val="8"/>
              </w:rPr>
              <w:t>）建立配置版本管理机制；</w:t>
            </w:r>
          </w:p>
          <w:p w14:paraId="784B9505">
            <w:pPr>
              <w:pStyle w:val="6"/>
              <w:spacing w:before="66" w:line="222" w:lineRule="auto"/>
              <w:ind w:left="102"/>
            </w:pPr>
            <w:r>
              <w:rPr>
                <w:rFonts w:ascii="Times New Roman" w:hAnsi="Times New Roman" w:eastAsia="Times New Roman" w:cs="Times New Roman"/>
                <w:spacing w:val="8"/>
              </w:rPr>
              <w:t>3</w:t>
            </w:r>
            <w:r>
              <w:rPr>
                <w:spacing w:val="8"/>
              </w:rPr>
              <w:t>）完善网络拓扑文档</w:t>
            </w:r>
          </w:p>
        </w:tc>
      </w:tr>
      <w:tr w14:paraId="48D0A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2154" w:type="dxa"/>
          </w:tcPr>
          <w:p w14:paraId="2E287F1A">
            <w:pPr>
              <w:pStyle w:val="6"/>
              <w:spacing w:before="166" w:line="228" w:lineRule="auto"/>
              <w:ind w:left="135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0" w:type="dxa"/>
            <w:gridSpan w:val="4"/>
          </w:tcPr>
          <w:p w14:paraId="0844B0EB">
            <w:pPr>
              <w:pStyle w:val="6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4B601944">
            <w:pPr>
              <w:spacing w:line="375" w:lineRule="auto"/>
              <w:rPr>
                <w:rFonts w:ascii="Arial"/>
                <w:sz w:val="21"/>
              </w:rPr>
            </w:pPr>
          </w:p>
          <w:p w14:paraId="61A392CF">
            <w:pPr>
              <w:pStyle w:val="6"/>
              <w:spacing w:before="78" w:line="220" w:lineRule="auto"/>
              <w:ind w:left="102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金文莉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3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 w14:paraId="5E91B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2154" w:type="dxa"/>
            <w:tcBorders>
              <w:left w:val="single" w:color="000000" w:sz="10" w:space="0"/>
              <w:bottom w:val="single" w:color="000000" w:sz="10" w:space="0"/>
            </w:tcBorders>
          </w:tcPr>
          <w:p w14:paraId="0D67DA7F">
            <w:pPr>
              <w:pStyle w:val="6"/>
              <w:spacing w:before="168" w:line="228" w:lineRule="auto"/>
              <w:ind w:left="119"/>
            </w:pPr>
            <w:r>
              <w:rPr>
                <w:spacing w:val="7"/>
              </w:rPr>
              <w:t>领导意见</w:t>
            </w:r>
          </w:p>
        </w:tc>
        <w:tc>
          <w:tcPr>
            <w:tcW w:w="6400" w:type="dxa"/>
            <w:gridSpan w:val="4"/>
            <w:tcBorders>
              <w:bottom w:val="single" w:color="000000" w:sz="10" w:space="0"/>
              <w:right w:val="single" w:color="000000" w:sz="10" w:space="0"/>
            </w:tcBorders>
          </w:tcPr>
          <w:p w14:paraId="733215D2">
            <w:pPr>
              <w:pStyle w:val="6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29CAC49D">
            <w:pPr>
              <w:spacing w:line="290" w:lineRule="auto"/>
              <w:rPr>
                <w:rFonts w:ascii="Arial"/>
                <w:sz w:val="21"/>
              </w:rPr>
            </w:pPr>
          </w:p>
          <w:p w14:paraId="7A46CC33">
            <w:pPr>
              <w:pStyle w:val="6"/>
              <w:spacing w:before="71" w:line="222" w:lineRule="auto"/>
              <w:ind w:left="102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黄益溪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18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 w14:paraId="26B1FC39"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 w14:paraId="76491FA2">
      <w:pPr>
        <w:spacing w:before="100" w:line="222" w:lineRule="auto"/>
        <w:ind w:left="1212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5"/>
          <w:sz w:val="43"/>
          <w:szCs w:val="43"/>
        </w:rPr>
        <w:t>接入层交换机故障应急演练记录</w:t>
      </w:r>
    </w:p>
    <w:p w14:paraId="0D12998E">
      <w:pPr>
        <w:spacing w:before="46"/>
      </w:pPr>
    </w:p>
    <w:p w14:paraId="123095E2">
      <w:pPr>
        <w:spacing w:before="45"/>
      </w:pPr>
    </w:p>
    <w:tbl>
      <w:tblPr>
        <w:tblStyle w:val="5"/>
        <w:tblW w:w="855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 w14:paraId="32C3D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2153" w:type="dxa"/>
            <w:tcBorders>
              <w:top w:val="single" w:color="000000" w:sz="10" w:space="0"/>
              <w:left w:val="single" w:color="000000" w:sz="10" w:space="0"/>
            </w:tcBorders>
          </w:tcPr>
          <w:p w14:paraId="7A2B39E1">
            <w:pPr>
              <w:pStyle w:val="6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 w14:paraId="346EAEF5">
            <w:pPr>
              <w:pStyle w:val="6"/>
              <w:spacing w:before="184" w:line="227" w:lineRule="auto"/>
              <w:ind w:left="102"/>
            </w:pPr>
            <w:r>
              <w:rPr>
                <w:spacing w:val="8"/>
              </w:rPr>
              <w:t>接入层交换机故障</w:t>
            </w:r>
          </w:p>
        </w:tc>
        <w:tc>
          <w:tcPr>
            <w:tcW w:w="1065" w:type="dxa"/>
          </w:tcPr>
          <w:p w14:paraId="3E15B908">
            <w:pPr>
              <w:pStyle w:val="6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color="000000" w:sz="10" w:space="0"/>
              <w:right w:val="single" w:color="000000" w:sz="10" w:space="0"/>
            </w:tcBorders>
          </w:tcPr>
          <w:p w14:paraId="5950B931">
            <w:pPr>
              <w:pStyle w:val="6"/>
              <w:spacing w:before="183" w:line="228" w:lineRule="auto"/>
              <w:ind w:left="111"/>
            </w:pP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33"/>
              </w:rPr>
              <w:t xml:space="preserve"> </w:t>
            </w:r>
            <w:r>
              <w:rPr>
                <w:rFonts w:hint="eastAsia"/>
                <w:spacing w:val="-33"/>
                <w:lang w:val="en-US" w:eastAsia="zh-CN"/>
              </w:rPr>
              <w:t>7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3"/>
              </w:rPr>
              <w:t xml:space="preserve"> </w:t>
            </w:r>
            <w:r>
              <w:rPr>
                <w:rFonts w:hint="eastAsia"/>
                <w:spacing w:val="-43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 w14:paraId="5B446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2153" w:type="dxa"/>
          </w:tcPr>
          <w:p w14:paraId="2C211727">
            <w:pPr>
              <w:pStyle w:val="6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 w14:paraId="0E6D2514">
            <w:pPr>
              <w:pStyle w:val="6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金文莉</w:t>
            </w:r>
            <w:r>
              <w:rPr>
                <w:spacing w:val="8"/>
              </w:rPr>
              <w:t>、</w:t>
            </w:r>
            <w:r>
              <w:rPr>
                <w:rFonts w:hint="eastAsia"/>
                <w:spacing w:val="8"/>
                <w:lang w:val="en-US" w:eastAsia="zh-CN"/>
              </w:rPr>
              <w:t>胡葛鹏宇、游天舒、黄益溪</w:t>
            </w:r>
          </w:p>
        </w:tc>
      </w:tr>
      <w:tr w14:paraId="36034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153" w:type="dxa"/>
            <w:vMerge w:val="restart"/>
            <w:tcBorders>
              <w:bottom w:val="nil"/>
            </w:tcBorders>
          </w:tcPr>
          <w:p w14:paraId="27D95E3F">
            <w:pPr>
              <w:pStyle w:val="6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 w14:paraId="39E644E1">
            <w:pPr>
              <w:pStyle w:val="6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 w14:paraId="42F13D11">
            <w:pPr>
              <w:pStyle w:val="6"/>
              <w:spacing w:before="148" w:line="290" w:lineRule="auto"/>
              <w:ind w:left="111" w:right="120"/>
            </w:pPr>
            <w:r>
              <w:rPr>
                <w:spacing w:val="6"/>
              </w:rPr>
              <w:t>准备备用接入层交换机、网线、光纤等材料，制定网络</w:t>
            </w:r>
            <w:r>
              <w:rPr>
                <w:spacing w:val="7"/>
              </w:rPr>
              <w:t>拓扑切换方案</w:t>
            </w:r>
          </w:p>
        </w:tc>
      </w:tr>
      <w:tr w14:paraId="67F10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8" w:hRule="atLeast"/>
        </w:trPr>
        <w:tc>
          <w:tcPr>
            <w:tcW w:w="2153" w:type="dxa"/>
            <w:vMerge w:val="continue"/>
            <w:tcBorders>
              <w:top w:val="nil"/>
              <w:bottom w:val="nil"/>
            </w:tcBorders>
          </w:tcPr>
          <w:p w14:paraId="2DC2587F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78B05658">
            <w:pPr>
              <w:pStyle w:val="6"/>
              <w:spacing w:before="150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 w14:paraId="66F75E0B">
            <w:pPr>
              <w:pStyle w:val="6"/>
              <w:spacing w:before="150" w:line="227" w:lineRule="auto"/>
              <w:ind w:left="125"/>
            </w:pPr>
            <w:r>
              <w:rPr>
                <w:rFonts w:ascii="Times New Roman" w:hAnsi="Times New Roman" w:eastAsia="Times New Roman" w:cs="Times New Roman"/>
                <w:spacing w:val="8"/>
              </w:rPr>
              <w:t>1</w:t>
            </w:r>
            <w:r>
              <w:rPr>
                <w:spacing w:val="8"/>
              </w:rPr>
              <w:t>）记录当前接入层交换机配置，备份相关配置文件；</w:t>
            </w:r>
          </w:p>
          <w:p w14:paraId="50AA701C">
            <w:pPr>
              <w:pStyle w:val="6"/>
              <w:spacing w:before="166" w:line="258" w:lineRule="auto"/>
              <w:ind w:left="114" w:right="174" w:hanging="9"/>
            </w:pPr>
            <w:r>
              <w:rPr>
                <w:rFonts w:ascii="Times New Roman" w:hAnsi="Times New Roman" w:eastAsia="Times New Roman" w:cs="Times New Roman"/>
                <w:spacing w:val="8"/>
              </w:rPr>
              <w:t>2</w:t>
            </w:r>
            <w:r>
              <w:rPr>
                <w:spacing w:val="8"/>
              </w:rPr>
              <w:t>）模拟某个接入层交换机发生硬件故障或端口失效，</w:t>
            </w:r>
            <w:r>
              <w:rPr>
                <w:spacing w:val="7"/>
              </w:rPr>
              <w:t>导致该区域设备断网；</w:t>
            </w:r>
          </w:p>
          <w:p w14:paraId="1A3C636D">
            <w:pPr>
              <w:pStyle w:val="6"/>
              <w:spacing w:before="163" w:line="258" w:lineRule="auto"/>
              <w:ind w:left="111" w:right="122" w:hanging="2"/>
            </w:pPr>
            <w:r>
              <w:rPr>
                <w:rFonts w:ascii="Times New Roman" w:hAnsi="Times New Roman" w:eastAsia="Times New Roman" w:cs="Times New Roman"/>
                <w:spacing w:val="10"/>
              </w:rPr>
              <w:t>3</w:t>
            </w:r>
            <w:r>
              <w:rPr>
                <w:spacing w:val="10"/>
              </w:rPr>
              <w:t>）技术人员立即检测故障范围，确认受影响的终端设</w:t>
            </w:r>
            <w:r>
              <w:rPr>
                <w:spacing w:val="7"/>
              </w:rPr>
              <w:t>备数量和业务系统；</w:t>
            </w:r>
          </w:p>
          <w:p w14:paraId="1C115C38">
            <w:pPr>
              <w:pStyle w:val="6"/>
              <w:spacing w:before="165" w:line="228" w:lineRule="auto"/>
              <w:ind w:left="104"/>
            </w:pPr>
            <w:r>
              <w:rPr>
                <w:rFonts w:ascii="Times New Roman" w:hAnsi="Times New Roman" w:eastAsia="Times New Roman" w:cs="Times New Roman"/>
                <w:spacing w:val="6"/>
              </w:rPr>
              <w:t>4</w:t>
            </w:r>
            <w:r>
              <w:rPr>
                <w:spacing w:val="6"/>
              </w:rPr>
              <w:t>）向运维部负责人汇报故障情况，启动应急响</w:t>
            </w:r>
            <w:r>
              <w:rPr>
                <w:spacing w:val="5"/>
              </w:rPr>
              <w:t>应流程；</w:t>
            </w:r>
          </w:p>
          <w:p w14:paraId="687D11FD">
            <w:pPr>
              <w:pStyle w:val="6"/>
              <w:spacing w:before="167" w:line="257" w:lineRule="auto"/>
              <w:ind w:left="111" w:right="122"/>
            </w:pPr>
            <w:r>
              <w:rPr>
                <w:rFonts w:ascii="Times New Roman" w:hAnsi="Times New Roman" w:eastAsia="Times New Roman" w:cs="Times New Roman"/>
                <w:spacing w:val="10"/>
              </w:rPr>
              <w:t>5</w:t>
            </w:r>
            <w:r>
              <w:rPr>
                <w:spacing w:val="10"/>
              </w:rPr>
              <w:t>）使用备用交换机或临时调整网络拓扑，将受影响设</w:t>
            </w:r>
            <w:r>
              <w:rPr>
                <w:spacing w:val="7"/>
              </w:rPr>
              <w:t>备接入其他可用交换机；</w:t>
            </w:r>
          </w:p>
          <w:p w14:paraId="4AB0E325">
            <w:pPr>
              <w:pStyle w:val="6"/>
              <w:spacing w:before="165" w:line="228" w:lineRule="auto"/>
              <w:ind w:left="110"/>
            </w:pPr>
            <w:r>
              <w:rPr>
                <w:rFonts w:ascii="Times New Roman" w:hAnsi="Times New Roman" w:eastAsia="Times New Roman" w:cs="Times New Roman"/>
                <w:spacing w:val="9"/>
              </w:rPr>
              <w:t>6</w:t>
            </w:r>
            <w:r>
              <w:rPr>
                <w:spacing w:val="9"/>
              </w:rPr>
              <w:t>）恢复网络连接，验证所有终端设备网络通信</w:t>
            </w:r>
            <w:r>
              <w:rPr>
                <w:spacing w:val="8"/>
              </w:rPr>
              <w:t>正常；</w:t>
            </w:r>
          </w:p>
          <w:p w14:paraId="44641896">
            <w:pPr>
              <w:pStyle w:val="6"/>
              <w:spacing w:before="165" w:line="228" w:lineRule="auto"/>
              <w:ind w:left="109"/>
            </w:pPr>
            <w:r>
              <w:rPr>
                <w:rFonts w:ascii="Times New Roman" w:hAnsi="Times New Roman" w:eastAsia="Times New Roman" w:cs="Times New Roman"/>
                <w:spacing w:val="5"/>
              </w:rPr>
              <w:t>7</w:t>
            </w:r>
            <w:r>
              <w:rPr>
                <w:spacing w:val="5"/>
              </w:rPr>
              <w:t>）记录故障处理过程，分析故障原因，完善应急预案；</w:t>
            </w:r>
          </w:p>
          <w:p w14:paraId="01E0E9A9">
            <w:pPr>
              <w:pStyle w:val="6"/>
              <w:spacing w:before="167" w:line="226" w:lineRule="auto"/>
              <w:ind w:left="114"/>
            </w:pPr>
            <w:r>
              <w:rPr>
                <w:rFonts w:ascii="Times New Roman" w:hAnsi="Times New Roman" w:eastAsia="Times New Roman" w:cs="Times New Roman"/>
                <w:spacing w:val="8"/>
              </w:rPr>
              <w:t>8</w:t>
            </w:r>
            <w:r>
              <w:rPr>
                <w:spacing w:val="8"/>
              </w:rPr>
              <w:t>）运维部总结演练经验，形成演练报告并存档。</w:t>
            </w:r>
          </w:p>
        </w:tc>
      </w:tr>
      <w:tr w14:paraId="11CC8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153" w:type="dxa"/>
            <w:vMerge w:val="continue"/>
            <w:tcBorders>
              <w:top w:val="nil"/>
            </w:tcBorders>
          </w:tcPr>
          <w:p w14:paraId="1CB65F4F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278DB4FC">
            <w:pPr>
              <w:pStyle w:val="6"/>
              <w:spacing w:before="159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 w14:paraId="2F18FB5B">
            <w:pPr>
              <w:pStyle w:val="6"/>
              <w:spacing w:before="160" w:line="289" w:lineRule="auto"/>
              <w:ind w:left="103" w:right="120" w:firstLine="8"/>
            </w:pPr>
            <w:r>
              <w:rPr>
                <w:spacing w:val="15"/>
              </w:rPr>
              <w:t>更换故障交换机，恢复原有网络拓扑结构，重新配置</w:t>
            </w:r>
            <w:r>
              <w:rPr>
                <w:rFonts w:ascii="Times New Roman" w:hAnsi="Times New Roman" w:eastAsia="Times New Roman" w:cs="Times New Roman"/>
              </w:rPr>
              <w:t>VLAN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10"/>
              </w:rPr>
              <w:t>和端口设置，确保所有终端设备正常接入网络</w:t>
            </w:r>
          </w:p>
        </w:tc>
      </w:tr>
      <w:tr w14:paraId="2FD07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 w:hRule="atLeast"/>
        </w:trPr>
        <w:tc>
          <w:tcPr>
            <w:tcW w:w="2153" w:type="dxa"/>
          </w:tcPr>
          <w:p w14:paraId="1874A243">
            <w:pPr>
              <w:pStyle w:val="6"/>
              <w:spacing w:before="1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 w14:paraId="137F462E">
            <w:pPr>
              <w:pStyle w:val="6"/>
              <w:spacing w:before="160" w:line="290" w:lineRule="auto"/>
              <w:ind w:left="104" w:right="120"/>
            </w:pPr>
            <w:r>
              <w:rPr>
                <w:spacing w:val="7"/>
              </w:rPr>
              <w:t>演练过程中故障定位准确，设备切换及时，受影响区域在</w:t>
            </w:r>
            <w:r>
              <w:rPr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10 </w:t>
            </w:r>
            <w:r>
              <w:rPr>
                <w:spacing w:val="7"/>
              </w:rPr>
              <w:t>分钟内</w:t>
            </w:r>
            <w:r>
              <w:rPr>
                <w:spacing w:val="6"/>
              </w:rPr>
              <w:t>恢复网络连接。</w:t>
            </w:r>
          </w:p>
          <w:p w14:paraId="5AD2F65D">
            <w:pPr>
              <w:pStyle w:val="6"/>
              <w:spacing w:before="97" w:line="228" w:lineRule="auto"/>
              <w:ind w:left="105"/>
            </w:pPr>
            <w:r>
              <w:rPr>
                <w:spacing w:val="2"/>
              </w:rPr>
              <w:t>建议：</w:t>
            </w:r>
          </w:p>
          <w:p w14:paraId="1F91D73E">
            <w:pPr>
              <w:pStyle w:val="6"/>
              <w:spacing w:before="162" w:line="227" w:lineRule="auto"/>
              <w:ind w:left="119"/>
            </w:pPr>
            <w:r>
              <w:rPr>
                <w:rFonts w:ascii="Times New Roman" w:hAnsi="Times New Roman" w:eastAsia="Times New Roman" w:cs="Times New Roman"/>
                <w:spacing w:val="7"/>
              </w:rPr>
              <w:t>1</w:t>
            </w:r>
            <w:r>
              <w:rPr>
                <w:spacing w:val="7"/>
              </w:rPr>
              <w:t>）建立接入层交换机热备机制；</w:t>
            </w:r>
          </w:p>
          <w:p w14:paraId="40761A7E">
            <w:pPr>
              <w:pStyle w:val="6"/>
              <w:spacing w:before="166" w:line="228" w:lineRule="auto"/>
              <w:ind w:left="99"/>
            </w:pPr>
            <w:r>
              <w:rPr>
                <w:rFonts w:ascii="Times New Roman" w:hAnsi="Times New Roman" w:eastAsia="Times New Roman" w:cs="Times New Roman"/>
                <w:spacing w:val="8"/>
              </w:rPr>
              <w:t>2</w:t>
            </w:r>
            <w:r>
              <w:rPr>
                <w:spacing w:val="8"/>
              </w:rPr>
              <w:t>）优化网络拓扑设计，提高冗余性；</w:t>
            </w:r>
          </w:p>
          <w:p w14:paraId="3BC0670A">
            <w:pPr>
              <w:pStyle w:val="6"/>
              <w:spacing w:before="166" w:line="228" w:lineRule="auto"/>
              <w:ind w:left="103"/>
            </w:pPr>
            <w:r>
              <w:rPr>
                <w:rFonts w:ascii="Times New Roman" w:hAnsi="Times New Roman" w:eastAsia="Times New Roman" w:cs="Times New Roman"/>
                <w:spacing w:val="9"/>
              </w:rPr>
              <w:t>3</w:t>
            </w:r>
            <w:r>
              <w:rPr>
                <w:spacing w:val="9"/>
              </w:rPr>
              <w:t>）制作快速故障诊断检查表</w:t>
            </w:r>
          </w:p>
        </w:tc>
      </w:tr>
      <w:tr w14:paraId="3D916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2153" w:type="dxa"/>
          </w:tcPr>
          <w:p w14:paraId="5321B47B">
            <w:pPr>
              <w:pStyle w:val="6"/>
              <w:spacing w:before="166" w:line="228" w:lineRule="auto"/>
              <w:ind w:left="135" w:leftChars="0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 w14:paraId="0261724D">
            <w:pPr>
              <w:pStyle w:val="6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5E058778">
            <w:pPr>
              <w:spacing w:line="375" w:lineRule="auto"/>
              <w:rPr>
                <w:rFonts w:ascii="Arial"/>
                <w:sz w:val="21"/>
              </w:rPr>
            </w:pPr>
          </w:p>
          <w:p w14:paraId="05951A0A">
            <w:pPr>
              <w:pStyle w:val="6"/>
              <w:spacing w:before="78" w:line="220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金文莉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3"/>
              </w:rPr>
              <w:t xml:space="preserve"> </w:t>
            </w:r>
            <w:r>
              <w:rPr>
                <w:rFonts w:hint="eastAsia"/>
                <w:spacing w:val="-3"/>
                <w:lang w:val="en-US" w:eastAsia="zh-CN"/>
              </w:rPr>
              <w:t>7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 w14:paraId="4C2CBC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2153" w:type="dxa"/>
            <w:tcBorders>
              <w:left w:val="single" w:color="000000" w:sz="10" w:space="0"/>
              <w:bottom w:val="single" w:color="000000" w:sz="10" w:space="0"/>
            </w:tcBorders>
          </w:tcPr>
          <w:p w14:paraId="48D6B1B3">
            <w:pPr>
              <w:pStyle w:val="6"/>
              <w:spacing w:before="168" w:line="228" w:lineRule="auto"/>
              <w:ind w:left="119" w:leftChars="0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color="000000" w:sz="10" w:space="0"/>
              <w:right w:val="single" w:color="000000" w:sz="10" w:space="0"/>
            </w:tcBorders>
          </w:tcPr>
          <w:p w14:paraId="4B5CB315">
            <w:pPr>
              <w:pStyle w:val="6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32E53A44">
            <w:pPr>
              <w:spacing w:line="290" w:lineRule="auto"/>
              <w:rPr>
                <w:rFonts w:ascii="Arial"/>
                <w:sz w:val="21"/>
              </w:rPr>
            </w:pPr>
          </w:p>
          <w:p w14:paraId="73C4284B">
            <w:pPr>
              <w:pStyle w:val="6"/>
              <w:spacing w:before="71" w:line="222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黄益溪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spacing w:val="-18"/>
              </w:rPr>
              <w:t xml:space="preserve"> </w:t>
            </w:r>
            <w:r>
              <w:rPr>
                <w:rFonts w:hint="eastAsia"/>
                <w:spacing w:val="-18"/>
                <w:lang w:val="en-US" w:eastAsia="zh-CN"/>
              </w:rPr>
              <w:t>7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 w14:paraId="4E1A8879"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 w14:paraId="6181D1AD">
      <w:pPr>
        <w:spacing w:before="100" w:line="222" w:lineRule="auto"/>
        <w:ind w:left="1212"/>
        <w:outlineLvl w:val="0"/>
        <w:rPr>
          <w:rFonts w:hint="default" w:ascii="宋体" w:hAnsi="宋体" w:eastAsia="宋体" w:cs="宋体"/>
          <w:sz w:val="43"/>
          <w:szCs w:val="43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43"/>
          <w:szCs w:val="43"/>
          <w:lang w:val="en-US" w:eastAsia="zh-CN"/>
        </w:rPr>
        <w:t>核心服务器故障应急演练</w:t>
      </w:r>
    </w:p>
    <w:p w14:paraId="12CE6850">
      <w:pPr>
        <w:spacing w:before="46"/>
      </w:pPr>
    </w:p>
    <w:p w14:paraId="1DE86EFF">
      <w:pPr>
        <w:spacing w:before="45"/>
      </w:pPr>
    </w:p>
    <w:tbl>
      <w:tblPr>
        <w:tblStyle w:val="5"/>
        <w:tblW w:w="855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 w14:paraId="6E2F5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2153" w:type="dxa"/>
            <w:tcBorders>
              <w:top w:val="single" w:color="000000" w:sz="10" w:space="0"/>
              <w:left w:val="single" w:color="000000" w:sz="10" w:space="0"/>
            </w:tcBorders>
          </w:tcPr>
          <w:p w14:paraId="08DAC4BB">
            <w:pPr>
              <w:pStyle w:val="6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 w14:paraId="3DC4DC2A">
            <w:pPr>
              <w:pStyle w:val="6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核心服务器</w:t>
            </w:r>
            <w:r>
              <w:rPr>
                <w:spacing w:val="8"/>
              </w:rPr>
              <w:t>故障</w:t>
            </w:r>
          </w:p>
        </w:tc>
        <w:tc>
          <w:tcPr>
            <w:tcW w:w="1065" w:type="dxa"/>
          </w:tcPr>
          <w:p w14:paraId="504C279F">
            <w:pPr>
              <w:pStyle w:val="6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color="000000" w:sz="10" w:space="0"/>
              <w:right w:val="single" w:color="000000" w:sz="10" w:space="0"/>
            </w:tcBorders>
          </w:tcPr>
          <w:p w14:paraId="3DD87364">
            <w:pPr>
              <w:pStyle w:val="6"/>
              <w:spacing w:before="183" w:line="228" w:lineRule="auto"/>
              <w:ind w:left="111"/>
            </w:pP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33"/>
                <w:lang w:val="en-US" w:eastAsia="zh-CN"/>
              </w:rPr>
              <w:t>9</w:t>
            </w:r>
            <w:r>
              <w:rPr>
                <w:spacing w:val="1"/>
              </w:rPr>
              <w:t>月</w:t>
            </w:r>
            <w:r>
              <w:rPr>
                <w:spacing w:val="-43"/>
              </w:rPr>
              <w:t xml:space="preserve"> </w:t>
            </w:r>
            <w:r>
              <w:rPr>
                <w:rFonts w:hint="eastAsia"/>
                <w:spacing w:val="-43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 w14:paraId="1C061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2153" w:type="dxa"/>
          </w:tcPr>
          <w:p w14:paraId="07D02212">
            <w:pPr>
              <w:pStyle w:val="6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 w14:paraId="67B5944C">
            <w:pPr>
              <w:pStyle w:val="6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金文莉</w:t>
            </w:r>
            <w:r>
              <w:rPr>
                <w:spacing w:val="8"/>
              </w:rPr>
              <w:t>、</w:t>
            </w:r>
            <w:r>
              <w:rPr>
                <w:rFonts w:hint="eastAsia"/>
                <w:spacing w:val="8"/>
                <w:lang w:val="en-US" w:eastAsia="zh-CN"/>
              </w:rPr>
              <w:t>胡葛鹏宇、游天舒、黄益溪</w:t>
            </w:r>
          </w:p>
        </w:tc>
      </w:tr>
      <w:tr w14:paraId="307DC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153" w:type="dxa"/>
            <w:vMerge w:val="restart"/>
            <w:tcBorders>
              <w:bottom w:val="nil"/>
            </w:tcBorders>
          </w:tcPr>
          <w:p w14:paraId="6E047075">
            <w:pPr>
              <w:pStyle w:val="6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 w14:paraId="1BA22349">
            <w:pPr>
              <w:pStyle w:val="6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 w14:paraId="3D0D509F">
            <w:pPr>
              <w:pStyle w:val="6"/>
              <w:spacing w:before="148" w:line="290" w:lineRule="auto"/>
              <w:ind w:left="111" w:right="12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1. 备份服务器系统镜像及关键业务数据；</w:t>
            </w:r>
          </w:p>
          <w:p w14:paraId="221070C5">
            <w:pPr>
              <w:pStyle w:val="6"/>
              <w:spacing w:before="148" w:line="290" w:lineRule="auto"/>
              <w:ind w:left="111" w:right="120"/>
              <w:rPr>
                <w:rFonts w:hint="eastAsia"/>
                <w:spacing w:val="6"/>
              </w:rPr>
            </w:pPr>
            <w:r>
              <w:rPr>
                <w:rFonts w:hint="eastAsia"/>
                <w:spacing w:val="6"/>
              </w:rPr>
              <w:t>2. 准备备用服务器硬件及相关系统恢复介质；</w:t>
            </w:r>
          </w:p>
          <w:p w14:paraId="6A41C03A">
            <w:pPr>
              <w:pStyle w:val="6"/>
              <w:spacing w:before="148" w:line="290" w:lineRule="auto"/>
              <w:ind w:left="111" w:right="120"/>
            </w:pPr>
            <w:r>
              <w:rPr>
                <w:rFonts w:hint="eastAsia"/>
                <w:spacing w:val="6"/>
              </w:rPr>
              <w:t>3. 确认应急预案中服务器切换流程与职责分工</w:t>
            </w:r>
          </w:p>
        </w:tc>
      </w:tr>
      <w:tr w14:paraId="02C08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8" w:hRule="atLeast"/>
        </w:trPr>
        <w:tc>
          <w:tcPr>
            <w:tcW w:w="2153" w:type="dxa"/>
            <w:vMerge w:val="continue"/>
            <w:tcBorders>
              <w:top w:val="nil"/>
              <w:bottom w:val="nil"/>
            </w:tcBorders>
          </w:tcPr>
          <w:p w14:paraId="2552AD2A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50887AA5">
            <w:pPr>
              <w:pStyle w:val="6"/>
              <w:spacing w:before="150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 w14:paraId="0E3FC021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1. 模拟核心服务器硬件故障（如电源、主板故障），导致业务系统不可用；</w:t>
            </w:r>
          </w:p>
          <w:p w14:paraId="4F059150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2. 监控系统告警，技术人员确认故障并立即上报运维负责人；</w:t>
            </w:r>
          </w:p>
          <w:p w14:paraId="1AFDD761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3. 启动备用服务器，恢复系统镜像与数据；</w:t>
            </w:r>
          </w:p>
          <w:p w14:paraId="7548BFD4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4. 验证业务系统在备用服务器上的运行状态；</w:t>
            </w:r>
          </w:p>
          <w:p w14:paraId="465E0668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5. 定位原服务器故障原因，进行故障排查与记录；</w:t>
            </w:r>
          </w:p>
          <w:p w14:paraId="3F7890B4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6. 故障修复后，评估是否切回原服务器或继续使用备用服务器；</w:t>
            </w:r>
          </w:p>
          <w:p w14:paraId="212B2E81">
            <w:pPr>
              <w:pStyle w:val="6"/>
              <w:spacing w:before="167" w:line="226" w:lineRule="auto"/>
              <w:ind w:left="114"/>
            </w:pPr>
            <w:r>
              <w:rPr>
                <w:rFonts w:hint="eastAsia"/>
              </w:rPr>
              <w:t>7. 整理演练过程，完善服务器故障应急预案。</w:t>
            </w:r>
          </w:p>
        </w:tc>
      </w:tr>
      <w:tr w14:paraId="20AC2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153" w:type="dxa"/>
            <w:vMerge w:val="continue"/>
            <w:tcBorders>
              <w:top w:val="nil"/>
            </w:tcBorders>
          </w:tcPr>
          <w:p w14:paraId="2967E0EF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148529F1">
            <w:pPr>
              <w:pStyle w:val="6"/>
              <w:spacing w:before="159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 w14:paraId="297D8F98">
            <w:pPr>
              <w:pStyle w:val="6"/>
              <w:spacing w:before="160" w:line="289" w:lineRule="auto"/>
              <w:ind w:left="103" w:right="120" w:firstLine="8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恢复原服务器硬件，重新部署系统并同步数据；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验证业务系统在恢复后的服务器上运行正常；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更新服务器配置文档与应急预案。</w:t>
            </w:r>
          </w:p>
        </w:tc>
      </w:tr>
      <w:tr w14:paraId="4C346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 w:hRule="atLeast"/>
        </w:trPr>
        <w:tc>
          <w:tcPr>
            <w:tcW w:w="2153" w:type="dxa"/>
          </w:tcPr>
          <w:p w14:paraId="21BFC761">
            <w:pPr>
              <w:pStyle w:val="6"/>
              <w:spacing w:before="1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 w14:paraId="134A1F4A">
            <w:pPr>
              <w:pStyle w:val="6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演练过程中备用服务器启动及业务恢复时间为 25分钟，基本达到预期恢复时间目标。</w:t>
            </w:r>
          </w:p>
          <w:p w14:paraId="32275401">
            <w:pPr>
              <w:pStyle w:val="6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建议：</w:t>
            </w:r>
          </w:p>
          <w:p w14:paraId="0DA00611">
            <w:pPr>
              <w:pStyle w:val="6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1. 优化镜像备份策略，实现关键业务系统热备；</w:t>
            </w:r>
          </w:p>
          <w:p w14:paraId="15383FE0">
            <w:pPr>
              <w:pStyle w:val="6"/>
              <w:spacing w:before="166" w:line="228" w:lineRule="auto"/>
              <w:ind w:left="103"/>
              <w:rPr>
                <w:rFonts w:hint="eastAsia"/>
                <w:spacing w:val="7"/>
              </w:rPr>
            </w:pPr>
            <w:r>
              <w:rPr>
                <w:rFonts w:hint="eastAsia"/>
                <w:spacing w:val="7"/>
              </w:rPr>
              <w:t>2. 建立服务器健康检查清单，定期进行预防性维护；</w:t>
            </w:r>
          </w:p>
          <w:p w14:paraId="16AF480D">
            <w:pPr>
              <w:pStyle w:val="6"/>
              <w:spacing w:before="166" w:line="228" w:lineRule="auto"/>
              <w:ind w:left="103"/>
            </w:pPr>
            <w:r>
              <w:rPr>
                <w:rFonts w:hint="eastAsia"/>
                <w:spacing w:val="7"/>
              </w:rPr>
              <w:t>3. 加强跨部门应急协作流程演练。</w:t>
            </w:r>
          </w:p>
        </w:tc>
      </w:tr>
      <w:tr w14:paraId="72804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2153" w:type="dxa"/>
          </w:tcPr>
          <w:p w14:paraId="253193E1">
            <w:pPr>
              <w:pStyle w:val="6"/>
              <w:spacing w:before="166" w:line="228" w:lineRule="auto"/>
              <w:ind w:left="135" w:leftChars="0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 w14:paraId="564DAD02">
            <w:pPr>
              <w:pStyle w:val="6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6F9789F4">
            <w:pPr>
              <w:spacing w:line="375" w:lineRule="auto"/>
              <w:rPr>
                <w:rFonts w:ascii="Arial"/>
                <w:sz w:val="21"/>
              </w:rPr>
            </w:pPr>
          </w:p>
          <w:p w14:paraId="36AB14F1">
            <w:pPr>
              <w:pStyle w:val="6"/>
              <w:spacing w:before="78" w:line="220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金文莉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3"/>
                <w:lang w:val="en-US" w:eastAsia="zh-CN"/>
              </w:rPr>
              <w:t>9</w:t>
            </w:r>
            <w:r>
              <w:rPr>
                <w:rFonts w:ascii="Times New Roman" w:hAnsi="Times New Roman" w:eastAsia="Times New Roman" w:cs="Times New Roman"/>
                <w:spacing w:val="15"/>
              </w:rPr>
              <w:t xml:space="preserve"> 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 w14:paraId="196D7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2153" w:type="dxa"/>
            <w:tcBorders>
              <w:left w:val="single" w:color="000000" w:sz="10" w:space="0"/>
              <w:bottom w:val="single" w:color="000000" w:sz="10" w:space="0"/>
            </w:tcBorders>
          </w:tcPr>
          <w:p w14:paraId="404C4A9B">
            <w:pPr>
              <w:pStyle w:val="6"/>
              <w:spacing w:before="168" w:line="228" w:lineRule="auto"/>
              <w:ind w:left="119" w:leftChars="0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color="000000" w:sz="10" w:space="0"/>
              <w:right w:val="single" w:color="000000" w:sz="10" w:space="0"/>
            </w:tcBorders>
          </w:tcPr>
          <w:p w14:paraId="532D82D6">
            <w:pPr>
              <w:pStyle w:val="6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16AFB2F6">
            <w:pPr>
              <w:spacing w:line="290" w:lineRule="auto"/>
              <w:rPr>
                <w:rFonts w:ascii="Arial"/>
                <w:sz w:val="21"/>
              </w:rPr>
            </w:pPr>
          </w:p>
          <w:p w14:paraId="29795AD7">
            <w:pPr>
              <w:pStyle w:val="6"/>
              <w:spacing w:before="71" w:line="222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黄益溪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18"/>
                <w:lang w:val="en-US" w:eastAsia="zh-CN"/>
              </w:rPr>
              <w:t>9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 w14:paraId="7E5CE810"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 w14:paraId="2F5CDAFF">
      <w:pPr>
        <w:spacing w:before="100" w:line="222" w:lineRule="auto"/>
        <w:ind w:left="0" w:leftChars="0" w:right="0" w:rightChars="0" w:firstLine="0" w:firstLineChars="0"/>
        <w:jc w:val="center"/>
        <w:outlineLvl w:val="0"/>
        <w:rPr>
          <w:rFonts w:hint="default" w:ascii="宋体" w:hAnsi="宋体" w:eastAsia="宋体" w:cs="宋体"/>
          <w:sz w:val="43"/>
          <w:szCs w:val="43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5"/>
          <w:sz w:val="43"/>
          <w:szCs w:val="43"/>
          <w:lang w:val="en-US" w:eastAsia="zh-CN"/>
        </w:rPr>
        <w:t>存储故障应急演练</w:t>
      </w:r>
    </w:p>
    <w:p w14:paraId="59BC45EC">
      <w:pPr>
        <w:spacing w:before="46"/>
      </w:pPr>
    </w:p>
    <w:p w14:paraId="66FF9B3F">
      <w:pPr>
        <w:spacing w:before="45"/>
      </w:pPr>
    </w:p>
    <w:tbl>
      <w:tblPr>
        <w:tblStyle w:val="5"/>
        <w:tblW w:w="8554" w:type="dxa"/>
        <w:tblInd w:w="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3"/>
        <w:gridCol w:w="1213"/>
        <w:gridCol w:w="909"/>
        <w:gridCol w:w="1065"/>
        <w:gridCol w:w="3214"/>
      </w:tblGrid>
      <w:tr w14:paraId="4B1F5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2153" w:type="dxa"/>
            <w:tcBorders>
              <w:top w:val="single" w:color="000000" w:sz="10" w:space="0"/>
              <w:left w:val="single" w:color="000000" w:sz="10" w:space="0"/>
            </w:tcBorders>
          </w:tcPr>
          <w:p w14:paraId="085735D1">
            <w:pPr>
              <w:pStyle w:val="6"/>
              <w:spacing w:before="184" w:line="228" w:lineRule="auto"/>
              <w:ind w:left="120"/>
            </w:pPr>
            <w:r>
              <w:rPr>
                <w:spacing w:val="7"/>
              </w:rPr>
              <w:t>演练项目</w:t>
            </w:r>
          </w:p>
        </w:tc>
        <w:tc>
          <w:tcPr>
            <w:tcW w:w="2122" w:type="dxa"/>
            <w:gridSpan w:val="2"/>
          </w:tcPr>
          <w:p w14:paraId="3BEAC258">
            <w:pPr>
              <w:pStyle w:val="6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存储</w:t>
            </w:r>
            <w:r>
              <w:rPr>
                <w:spacing w:val="8"/>
              </w:rPr>
              <w:t>故障</w:t>
            </w:r>
          </w:p>
        </w:tc>
        <w:tc>
          <w:tcPr>
            <w:tcW w:w="1065" w:type="dxa"/>
          </w:tcPr>
          <w:p w14:paraId="4817FE1E">
            <w:pPr>
              <w:pStyle w:val="6"/>
              <w:spacing w:before="184" w:line="230" w:lineRule="auto"/>
              <w:ind w:left="122"/>
            </w:pPr>
            <w:r>
              <w:rPr>
                <w:spacing w:val="-1"/>
              </w:rPr>
              <w:t>时间</w:t>
            </w:r>
          </w:p>
        </w:tc>
        <w:tc>
          <w:tcPr>
            <w:tcW w:w="3214" w:type="dxa"/>
            <w:tcBorders>
              <w:top w:val="single" w:color="000000" w:sz="10" w:space="0"/>
              <w:right w:val="single" w:color="000000" w:sz="10" w:space="0"/>
            </w:tcBorders>
          </w:tcPr>
          <w:p w14:paraId="25E57FDD">
            <w:pPr>
              <w:pStyle w:val="6"/>
              <w:spacing w:before="183" w:line="228" w:lineRule="auto"/>
              <w:ind w:left="111"/>
            </w:pP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1"/>
                <w:lang w:val="en-US" w:eastAsia="zh-CN"/>
              </w:rPr>
              <w:t>10</w:t>
            </w:r>
            <w:r>
              <w:rPr>
                <w:spacing w:val="1"/>
              </w:rPr>
              <w:t>月</w:t>
            </w:r>
            <w:r>
              <w:rPr>
                <w:spacing w:val="-43"/>
              </w:rPr>
              <w:t xml:space="preserve"> </w:t>
            </w:r>
            <w:r>
              <w:rPr>
                <w:rFonts w:hint="eastAsia"/>
                <w:spacing w:val="-43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 w14:paraId="259C2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6" w:hRule="atLeast"/>
        </w:trPr>
        <w:tc>
          <w:tcPr>
            <w:tcW w:w="2153" w:type="dxa"/>
          </w:tcPr>
          <w:p w14:paraId="5CA26679">
            <w:pPr>
              <w:pStyle w:val="6"/>
              <w:spacing w:before="147" w:line="229" w:lineRule="auto"/>
              <w:ind w:left="129"/>
            </w:pPr>
            <w:r>
              <w:rPr>
                <w:spacing w:val="6"/>
              </w:rPr>
              <w:t>参加人员</w:t>
            </w:r>
          </w:p>
        </w:tc>
        <w:tc>
          <w:tcPr>
            <w:tcW w:w="6401" w:type="dxa"/>
            <w:gridSpan w:val="4"/>
          </w:tcPr>
          <w:p w14:paraId="311C309D">
            <w:pPr>
              <w:pStyle w:val="6"/>
              <w:spacing w:before="184" w:line="227" w:lineRule="auto"/>
              <w:ind w:left="102"/>
            </w:pPr>
            <w:r>
              <w:rPr>
                <w:rFonts w:hint="eastAsia"/>
                <w:spacing w:val="8"/>
                <w:lang w:val="en-US" w:eastAsia="zh-CN"/>
              </w:rPr>
              <w:t>金文莉</w:t>
            </w:r>
            <w:r>
              <w:rPr>
                <w:spacing w:val="8"/>
              </w:rPr>
              <w:t>、</w:t>
            </w:r>
            <w:r>
              <w:rPr>
                <w:rFonts w:hint="eastAsia"/>
                <w:spacing w:val="8"/>
                <w:lang w:val="en-US" w:eastAsia="zh-CN"/>
              </w:rPr>
              <w:t>胡葛鹏宇、游天舒、黄益溪</w:t>
            </w:r>
          </w:p>
        </w:tc>
      </w:tr>
      <w:tr w14:paraId="2566E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153" w:type="dxa"/>
            <w:vMerge w:val="restart"/>
            <w:tcBorders>
              <w:bottom w:val="nil"/>
            </w:tcBorders>
          </w:tcPr>
          <w:p w14:paraId="5079A2CE">
            <w:pPr>
              <w:pStyle w:val="6"/>
              <w:spacing w:before="148" w:line="228" w:lineRule="auto"/>
              <w:ind w:left="128"/>
            </w:pPr>
            <w:r>
              <w:rPr>
                <w:spacing w:val="8"/>
              </w:rPr>
              <w:t>演练的步骤</w:t>
            </w:r>
          </w:p>
        </w:tc>
        <w:tc>
          <w:tcPr>
            <w:tcW w:w="1213" w:type="dxa"/>
          </w:tcPr>
          <w:p w14:paraId="088C5716">
            <w:pPr>
              <w:pStyle w:val="6"/>
              <w:spacing w:before="149" w:line="228" w:lineRule="auto"/>
              <w:ind w:left="104"/>
            </w:pPr>
            <w:r>
              <w:rPr>
                <w:spacing w:val="6"/>
              </w:rPr>
              <w:t>准备工作</w:t>
            </w:r>
          </w:p>
        </w:tc>
        <w:tc>
          <w:tcPr>
            <w:tcW w:w="5188" w:type="dxa"/>
            <w:gridSpan w:val="3"/>
          </w:tcPr>
          <w:p w14:paraId="7F390DA7">
            <w:pPr>
              <w:pStyle w:val="6"/>
              <w:spacing w:before="148" w:line="290" w:lineRule="auto"/>
              <w:ind w:left="111" w:right="120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检查存储系统状态，确认RAID配置与数据分布；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准备备用硬盘及存储设备；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确认备份数据完整性与可恢复性。</w:t>
            </w:r>
          </w:p>
        </w:tc>
      </w:tr>
      <w:tr w14:paraId="33551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8" w:hRule="atLeast"/>
        </w:trPr>
        <w:tc>
          <w:tcPr>
            <w:tcW w:w="2153" w:type="dxa"/>
            <w:vMerge w:val="continue"/>
            <w:tcBorders>
              <w:top w:val="nil"/>
              <w:bottom w:val="nil"/>
            </w:tcBorders>
          </w:tcPr>
          <w:p w14:paraId="01BF5545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034E2B11">
            <w:pPr>
              <w:pStyle w:val="6"/>
              <w:spacing w:before="150" w:line="228" w:lineRule="auto"/>
              <w:ind w:left="104"/>
            </w:pPr>
            <w:r>
              <w:rPr>
                <w:spacing w:val="7"/>
              </w:rPr>
              <w:t>演练内容</w:t>
            </w:r>
          </w:p>
        </w:tc>
        <w:tc>
          <w:tcPr>
            <w:tcW w:w="5188" w:type="dxa"/>
            <w:gridSpan w:val="3"/>
          </w:tcPr>
          <w:p w14:paraId="4FA958BC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1. 模拟存储设备单盘故障，触发RAID降级告警；</w:t>
            </w:r>
          </w:p>
          <w:p w14:paraId="4FF526A8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2. 技术人员确认故障，评估数据风险并上报；</w:t>
            </w:r>
          </w:p>
          <w:p w14:paraId="4FB787AF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3. 更换故障硬盘，启动RAID重建；</w:t>
            </w:r>
          </w:p>
          <w:p w14:paraId="706F0C2F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4. 模拟存储控制器故障，启动备用控制器切换；</w:t>
            </w:r>
          </w:p>
          <w:p w14:paraId="0FE6B4E3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5. 从备份存储恢复关键业务数据，验证数据完整性；</w:t>
            </w:r>
          </w:p>
          <w:p w14:paraId="6162CEE6">
            <w:pPr>
              <w:pStyle w:val="6"/>
              <w:spacing w:before="167" w:line="226" w:lineRule="auto"/>
              <w:ind w:left="114"/>
              <w:rPr>
                <w:rFonts w:hint="eastAsia"/>
              </w:rPr>
            </w:pPr>
            <w:r>
              <w:rPr>
                <w:rFonts w:hint="eastAsia"/>
              </w:rPr>
              <w:t>6. 记录故障处理过程与恢复时间；</w:t>
            </w:r>
          </w:p>
          <w:p w14:paraId="4DDA21A1">
            <w:pPr>
              <w:pStyle w:val="6"/>
              <w:spacing w:before="167" w:line="226" w:lineRule="auto"/>
              <w:ind w:left="114"/>
            </w:pPr>
            <w:r>
              <w:rPr>
                <w:rFonts w:hint="eastAsia"/>
              </w:rPr>
              <w:t>7. 演练结束后恢复存储系统至正常状态。</w:t>
            </w:r>
          </w:p>
        </w:tc>
      </w:tr>
      <w:tr w14:paraId="50FAE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8" w:hRule="atLeast"/>
        </w:trPr>
        <w:tc>
          <w:tcPr>
            <w:tcW w:w="2153" w:type="dxa"/>
            <w:vMerge w:val="continue"/>
            <w:tcBorders>
              <w:top w:val="nil"/>
            </w:tcBorders>
          </w:tcPr>
          <w:p w14:paraId="6A42CB7A">
            <w:pPr>
              <w:rPr>
                <w:rFonts w:ascii="Arial"/>
                <w:sz w:val="21"/>
              </w:rPr>
            </w:pPr>
          </w:p>
        </w:tc>
        <w:tc>
          <w:tcPr>
            <w:tcW w:w="1213" w:type="dxa"/>
          </w:tcPr>
          <w:p w14:paraId="3255B63D">
            <w:pPr>
              <w:pStyle w:val="6"/>
              <w:spacing w:before="159" w:line="228" w:lineRule="auto"/>
              <w:ind w:left="108"/>
            </w:pPr>
            <w:r>
              <w:rPr>
                <w:spacing w:val="6"/>
              </w:rPr>
              <w:t>复原工作</w:t>
            </w:r>
          </w:p>
        </w:tc>
        <w:tc>
          <w:tcPr>
            <w:tcW w:w="5188" w:type="dxa"/>
            <w:gridSpan w:val="3"/>
          </w:tcPr>
          <w:p w14:paraId="752939F1">
            <w:pPr>
              <w:pStyle w:val="6"/>
              <w:spacing w:before="160" w:line="289" w:lineRule="auto"/>
              <w:ind w:left="103" w:right="120" w:firstLine="8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恢复存储系统配置，确保所有逻辑卷状态正常；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验证业务系统对存储的读写操作正常；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更新存储设备维护记录与应急预案。</w:t>
            </w:r>
          </w:p>
        </w:tc>
      </w:tr>
      <w:tr w14:paraId="18BFE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1" w:hRule="atLeast"/>
        </w:trPr>
        <w:tc>
          <w:tcPr>
            <w:tcW w:w="2153" w:type="dxa"/>
          </w:tcPr>
          <w:p w14:paraId="3D1E1F46">
            <w:pPr>
              <w:pStyle w:val="6"/>
              <w:spacing w:before="161" w:line="228" w:lineRule="auto"/>
              <w:ind w:left="128"/>
            </w:pPr>
            <w:r>
              <w:rPr>
                <w:spacing w:val="8"/>
              </w:rPr>
              <w:t>演练效果及调整意见</w:t>
            </w:r>
          </w:p>
        </w:tc>
        <w:tc>
          <w:tcPr>
            <w:tcW w:w="6401" w:type="dxa"/>
            <w:gridSpan w:val="4"/>
          </w:tcPr>
          <w:p w14:paraId="3422F70E">
            <w:pPr>
              <w:pStyle w:val="6"/>
              <w:spacing w:before="160" w:line="289" w:lineRule="auto"/>
              <w:ind w:left="103" w:right="120" w:firstLine="8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演练过程中硬盘更换与RAID重建耗时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18分钟，控制器切换耗时 5分钟，数据恢复验证完整。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建议：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1. 增加存储系统监控粒度，实现预测性告警；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2. 定期进行备份恢复演练，确保备份有效性；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3. 建立存储系统性能基线，便于异常比对。</w:t>
            </w:r>
          </w:p>
        </w:tc>
      </w:tr>
      <w:tr w14:paraId="752D98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9" w:hRule="atLeast"/>
        </w:trPr>
        <w:tc>
          <w:tcPr>
            <w:tcW w:w="2153" w:type="dxa"/>
          </w:tcPr>
          <w:p w14:paraId="38F74F55">
            <w:pPr>
              <w:pStyle w:val="6"/>
              <w:spacing w:before="166" w:line="228" w:lineRule="auto"/>
              <w:ind w:left="135" w:leftChars="0"/>
            </w:pPr>
            <w:r>
              <w:rPr>
                <w:spacing w:val="6"/>
              </w:rPr>
              <w:t>负责人意见</w:t>
            </w:r>
          </w:p>
        </w:tc>
        <w:tc>
          <w:tcPr>
            <w:tcW w:w="6401" w:type="dxa"/>
            <w:gridSpan w:val="4"/>
          </w:tcPr>
          <w:p w14:paraId="3AD9067F">
            <w:pPr>
              <w:pStyle w:val="6"/>
              <w:spacing w:before="65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6605BAE2">
            <w:pPr>
              <w:spacing w:line="375" w:lineRule="auto"/>
              <w:rPr>
                <w:rFonts w:ascii="Arial"/>
                <w:sz w:val="21"/>
              </w:rPr>
            </w:pPr>
          </w:p>
          <w:p w14:paraId="06240368">
            <w:pPr>
              <w:pStyle w:val="6"/>
              <w:spacing w:before="78" w:line="220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金文莉</w:t>
            </w:r>
            <w:r>
              <w:rPr>
                <w:spacing w:val="1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3"/>
                <w:lang w:val="en-US" w:eastAsia="zh-CN"/>
              </w:rPr>
              <w:t>10</w:t>
            </w:r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  <w:tr w14:paraId="4FF50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2153" w:type="dxa"/>
            <w:tcBorders>
              <w:left w:val="single" w:color="000000" w:sz="10" w:space="0"/>
              <w:bottom w:val="single" w:color="000000" w:sz="10" w:space="0"/>
            </w:tcBorders>
          </w:tcPr>
          <w:p w14:paraId="766F846A">
            <w:pPr>
              <w:pStyle w:val="6"/>
              <w:spacing w:before="168" w:line="228" w:lineRule="auto"/>
              <w:ind w:left="119" w:leftChars="0"/>
            </w:pPr>
            <w:r>
              <w:rPr>
                <w:spacing w:val="7"/>
              </w:rPr>
              <w:t>领导意见</w:t>
            </w:r>
          </w:p>
        </w:tc>
        <w:tc>
          <w:tcPr>
            <w:tcW w:w="6401" w:type="dxa"/>
            <w:gridSpan w:val="4"/>
            <w:tcBorders>
              <w:bottom w:val="single" w:color="000000" w:sz="10" w:space="0"/>
              <w:right w:val="single" w:color="000000" w:sz="10" w:space="0"/>
            </w:tcBorders>
          </w:tcPr>
          <w:p w14:paraId="4B42651F">
            <w:pPr>
              <w:pStyle w:val="6"/>
              <w:spacing w:before="70" w:line="235" w:lineRule="auto"/>
              <w:ind w:left="102"/>
            </w:pPr>
            <w:r>
              <w:rPr>
                <w:spacing w:val="4"/>
              </w:rPr>
              <w:t>通过</w:t>
            </w:r>
          </w:p>
          <w:p w14:paraId="71A00281">
            <w:pPr>
              <w:spacing w:line="290" w:lineRule="auto"/>
              <w:rPr>
                <w:rFonts w:ascii="Arial"/>
                <w:sz w:val="21"/>
              </w:rPr>
            </w:pPr>
          </w:p>
          <w:p w14:paraId="71392BED">
            <w:pPr>
              <w:pStyle w:val="6"/>
              <w:spacing w:before="71" w:line="222" w:lineRule="auto"/>
              <w:ind w:left="102" w:leftChars="0"/>
            </w:pPr>
            <w:r>
              <w:rPr>
                <w:spacing w:val="1"/>
              </w:rPr>
              <w:t>签字：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黄益溪</w:t>
            </w:r>
            <w:r>
              <w:rPr>
                <w:spacing w:val="11"/>
                <w:sz w:val="22"/>
                <w:szCs w:val="22"/>
              </w:rPr>
              <w:t xml:space="preserve">       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2025 </w:t>
            </w:r>
            <w:r>
              <w:rPr>
                <w:spacing w:val="1"/>
              </w:rPr>
              <w:t>年</w:t>
            </w:r>
            <w:r>
              <w:rPr>
                <w:rFonts w:hint="eastAsia"/>
                <w:spacing w:val="-18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spacing w:val="1"/>
              </w:rPr>
              <w:t>月</w:t>
            </w:r>
            <w:r>
              <w:rPr>
                <w:spacing w:val="-41"/>
              </w:rPr>
              <w:t xml:space="preserve"> </w:t>
            </w:r>
            <w:r>
              <w:rPr>
                <w:rFonts w:hint="eastAsia" w:ascii="Times New Roman" w:hAnsi="Times New Roman" w:cs="Times New Roman"/>
                <w:spacing w:val="1"/>
                <w:lang w:val="en-US" w:eastAsia="zh-CN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"/>
              </w:rPr>
              <w:t xml:space="preserve">  </w:t>
            </w:r>
            <w:r>
              <w:rPr>
                <w:spacing w:val="1"/>
              </w:rPr>
              <w:t>日</w:t>
            </w:r>
          </w:p>
        </w:tc>
      </w:tr>
    </w:tbl>
    <w:p w14:paraId="336F8D43">
      <w:pPr>
        <w:rPr>
          <w:rFonts w:ascii="Arial"/>
          <w:sz w:val="21"/>
        </w:rPr>
      </w:pPr>
    </w:p>
    <w:p w14:paraId="13DD9E0A">
      <w:pPr>
        <w:rPr>
          <w:rFonts w:ascii="Arial"/>
          <w:sz w:val="21"/>
        </w:rPr>
      </w:pPr>
    </w:p>
    <w:sectPr>
      <w:pgSz w:w="11906" w:h="16838"/>
      <w:pgMar w:top="1431" w:right="1662" w:bottom="0" w:left="166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347BBA"/>
    <w:rsid w:val="0B9A670B"/>
    <w:rsid w:val="1145536B"/>
    <w:rsid w:val="12C624DB"/>
    <w:rsid w:val="163634D4"/>
    <w:rsid w:val="169326D4"/>
    <w:rsid w:val="180513B0"/>
    <w:rsid w:val="18566A22"/>
    <w:rsid w:val="18DE179B"/>
    <w:rsid w:val="19906125"/>
    <w:rsid w:val="1EAF004C"/>
    <w:rsid w:val="26797820"/>
    <w:rsid w:val="2A224E50"/>
    <w:rsid w:val="2CA80B9C"/>
    <w:rsid w:val="322E7A29"/>
    <w:rsid w:val="35911C85"/>
    <w:rsid w:val="3EF44DE1"/>
    <w:rsid w:val="4C6B775B"/>
    <w:rsid w:val="51C53C0B"/>
    <w:rsid w:val="544669FD"/>
    <w:rsid w:val="54F37ADD"/>
    <w:rsid w:val="555E38D2"/>
    <w:rsid w:val="587D232E"/>
    <w:rsid w:val="5D46181B"/>
    <w:rsid w:val="5D726ACD"/>
    <w:rsid w:val="5DF11787"/>
    <w:rsid w:val="65AB2B63"/>
    <w:rsid w:val="6D594C53"/>
    <w:rsid w:val="71E74F23"/>
    <w:rsid w:val="73B52DFF"/>
    <w:rsid w:val="779C055E"/>
    <w:rsid w:val="78D87374"/>
    <w:rsid w:val="7CA0464C"/>
    <w:rsid w:val="7D342FE7"/>
    <w:rsid w:val="7DD860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table" w:customStyle="1" w:styleId="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979</Words>
  <Characters>1011</Characters>
  <Lines>0</Lines>
  <Paragraphs>0</Paragraphs>
  <TotalTime>1</TotalTime>
  <ScaleCrop>false</ScaleCrop>
  <LinksUpToDate>false</LinksUpToDate>
  <CharactersWithSpaces>1080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2025-08-21T18:41:00Z</dcterms:created>
  <dc:creator>18442</dc:creator>
  <cp:lastModifiedBy>郝宇</cp:lastModifiedBy>
  <dcterms:modified xsi:type="dcterms:W3CDTF">2026-01-03T07:37:00Z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B74DD0A5FE164F32A7CC2B6260CF595E_12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