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B4E50">
      <w:pPr>
        <w:pStyle w:val="31"/>
        <w:bidi w:val="0"/>
      </w:pPr>
      <w:bookmarkStart w:id="0" w:name="_Toc22420"/>
      <w:bookmarkStart w:id="1" w:name="_Toc16167"/>
      <w:bookmarkStart w:id="2" w:name="_Toc3017"/>
      <w:r>
        <w:t>运维服务能力管理制度</w:t>
      </w:r>
      <w:bookmarkEnd w:id="0"/>
      <w:bookmarkEnd w:id="1"/>
      <w:bookmarkEnd w:id="2"/>
    </w:p>
    <w:p w14:paraId="501AC544">
      <w:pPr>
        <w:pStyle w:val="32"/>
        <w:bidi w:val="0"/>
      </w:pPr>
      <w:bookmarkStart w:id="3" w:name="_Toc25072"/>
      <w:r>
        <w:t>甘肃国邦信息科技有限公司</w:t>
      </w:r>
      <w:bookmarkEnd w:id="3"/>
    </w:p>
    <w:p w14:paraId="57D6E0E5">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textAlignment w:val="baseline"/>
        <w:rPr>
          <w:rFonts w:ascii="宋体" w:hAnsi="宋体" w:eastAsia="宋体" w:cs="宋体"/>
          <w:sz w:val="36"/>
          <w:szCs w:val="36"/>
        </w:rPr>
      </w:pPr>
      <w:r>
        <w:rPr>
          <w:rFonts w:ascii="宋体" w:hAnsi="宋体" w:eastAsia="宋体" w:cs="宋体"/>
          <w:spacing w:val="-11"/>
          <w:sz w:val="36"/>
          <w:szCs w:val="36"/>
        </w:rPr>
        <w:t>2025年1月4日</w:t>
      </w:r>
    </w:p>
    <w:p w14:paraId="379CDECE">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z w:val="36"/>
          <w:szCs w:val="36"/>
        </w:rPr>
        <w:sectPr>
          <w:pgSz w:w="11906" w:h="16839"/>
          <w:pgMar w:top="1431" w:right="1785" w:bottom="0" w:left="1785" w:header="0" w:footer="0" w:gutter="0"/>
          <w:cols w:space="720" w:num="1"/>
        </w:sectPr>
      </w:pPr>
    </w:p>
    <w:p w14:paraId="2ABA2CC4">
      <w:pPr>
        <w:pStyle w:val="12"/>
        <w:keepNext w:val="0"/>
        <w:keepLines w:val="0"/>
        <w:pageBreakBefore w:val="0"/>
        <w:widowControl w:val="0"/>
        <w:kinsoku w:val="0"/>
        <w:wordWrap/>
        <w:overflowPunct/>
        <w:topLinePunct w:val="0"/>
        <w:autoSpaceDE w:val="0"/>
        <w:autoSpaceDN w:val="0"/>
        <w:bidi w:val="0"/>
        <w:adjustRightInd w:val="0"/>
        <w:snapToGrid w:val="0"/>
        <w:spacing w:line="363" w:lineRule="auto"/>
        <w:textAlignment w:val="baseline"/>
      </w:pPr>
    </w:p>
    <w:p w14:paraId="45AFEDFC">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hAnsi="宋体" w:eastAsia="宋体" w:cs="宋体"/>
          <w:sz w:val="28"/>
          <w:szCs w:val="28"/>
        </w:rPr>
      </w:pPr>
      <w:bookmarkStart w:id="4" w:name="_Toc16758"/>
      <w:bookmarkStart w:id="5" w:name="_Toc3072"/>
      <w:bookmarkStart w:id="6" w:name="_Toc24437"/>
      <w:r>
        <w:rPr>
          <w:rFonts w:ascii="宋体" w:hAnsi="宋体" w:eastAsia="宋体" w:cs="宋体"/>
          <w:spacing w:val="-3"/>
          <w:sz w:val="28"/>
          <w:szCs w:val="28"/>
        </w:rPr>
        <w:t>文档信息</w:t>
      </w:r>
      <w:bookmarkEnd w:id="4"/>
      <w:bookmarkEnd w:id="5"/>
      <w:bookmarkEnd w:id="6"/>
    </w:p>
    <w:p w14:paraId="6DC5757F">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8646"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35039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11" w:hRule="atLeast"/>
        </w:trPr>
        <w:tc>
          <w:tcPr>
            <w:tcW w:w="1704" w:type="dxa"/>
          </w:tcPr>
          <w:p w14:paraId="70B9A6CF">
            <w:pPr>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36"/>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6942" w:type="dxa"/>
            <w:gridSpan w:val="4"/>
          </w:tcPr>
          <w:p w14:paraId="6D531435">
            <w:pPr>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运维服务能力管理制度（GSGB-ITSS-NLGLZD）</w:t>
            </w:r>
          </w:p>
        </w:tc>
      </w:tr>
      <w:tr w14:paraId="6A5FC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4D101D8B">
            <w:pPr>
              <w:keepNext w:val="0"/>
              <w:keepLines w:val="0"/>
              <w:pageBreakBefore w:val="0"/>
              <w:widowControl w:val="0"/>
              <w:kinsoku w:val="0"/>
              <w:wordWrap/>
              <w:overflowPunct/>
              <w:topLinePunct w:val="0"/>
              <w:autoSpaceDE w:val="0"/>
              <w:autoSpaceDN w:val="0"/>
              <w:bidi w:val="0"/>
              <w:adjustRightInd w:val="0"/>
              <w:snapToGrid w:val="0"/>
              <w:spacing w:before="122" w:line="220" w:lineRule="auto"/>
              <w:ind w:left="376"/>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6942" w:type="dxa"/>
            <w:gridSpan w:val="4"/>
          </w:tcPr>
          <w:p w14:paraId="13396C0E">
            <w:pPr>
              <w:keepNext w:val="0"/>
              <w:keepLines w:val="0"/>
              <w:pageBreakBefore w:val="0"/>
              <w:widowControl w:val="0"/>
              <w:kinsoku w:val="0"/>
              <w:wordWrap/>
              <w:overflowPunct/>
              <w:topLinePunct w:val="0"/>
              <w:autoSpaceDE w:val="0"/>
              <w:autoSpaceDN w:val="0"/>
              <w:bidi w:val="0"/>
              <w:adjustRightInd w:val="0"/>
              <w:snapToGrid w:val="0"/>
              <w:spacing w:before="12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16B20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33E79342">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376"/>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558" w:type="dxa"/>
          </w:tcPr>
          <w:p w14:paraId="58322351">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302"/>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123" w:type="dxa"/>
          </w:tcPr>
          <w:p w14:paraId="0388DC04">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587"/>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699" w:type="dxa"/>
          </w:tcPr>
          <w:p w14:paraId="0F5CBD0C">
            <w:pPr>
              <w:keepNext w:val="0"/>
              <w:keepLines w:val="0"/>
              <w:pageBreakBefore w:val="0"/>
              <w:widowControl w:val="0"/>
              <w:kinsoku w:val="0"/>
              <w:wordWrap/>
              <w:overflowPunct/>
              <w:topLinePunct w:val="0"/>
              <w:autoSpaceDE w:val="0"/>
              <w:autoSpaceDN w:val="0"/>
              <w:bidi w:val="0"/>
              <w:adjustRightInd w:val="0"/>
              <w:snapToGrid w:val="0"/>
              <w:spacing w:before="124" w:line="220" w:lineRule="auto"/>
              <w:ind w:left="557"/>
              <w:textAlignment w:val="baseline"/>
              <w:rPr>
                <w:rFonts w:ascii="宋体" w:hAnsi="宋体" w:eastAsia="宋体" w:cs="宋体"/>
                <w:sz w:val="24"/>
                <w:szCs w:val="24"/>
              </w:rPr>
            </w:pPr>
            <w:r>
              <w:rPr>
                <w:rFonts w:ascii="宋体" w:hAnsi="宋体" w:eastAsia="宋体" w:cs="宋体"/>
                <w:spacing w:val="-6"/>
                <w:sz w:val="24"/>
                <w:szCs w:val="24"/>
              </w:rPr>
              <w:t>作</w:t>
            </w:r>
            <w:r>
              <w:rPr>
                <w:rFonts w:ascii="宋体" w:hAnsi="宋体" w:eastAsia="宋体" w:cs="宋体"/>
                <w:spacing w:val="11"/>
                <w:sz w:val="24"/>
                <w:szCs w:val="24"/>
              </w:rPr>
              <w:t xml:space="preserve"> </w:t>
            </w:r>
            <w:r>
              <w:rPr>
                <w:rFonts w:ascii="宋体" w:hAnsi="宋体" w:eastAsia="宋体" w:cs="宋体"/>
                <w:spacing w:val="-6"/>
                <w:sz w:val="24"/>
                <w:szCs w:val="24"/>
              </w:rPr>
              <w:t>者</w:t>
            </w:r>
          </w:p>
        </w:tc>
        <w:tc>
          <w:tcPr>
            <w:tcW w:w="1562" w:type="dxa"/>
          </w:tcPr>
          <w:p w14:paraId="1E93CCB2">
            <w:pPr>
              <w:keepNext w:val="0"/>
              <w:keepLines w:val="0"/>
              <w:pageBreakBefore w:val="0"/>
              <w:widowControl w:val="0"/>
              <w:kinsoku w:val="0"/>
              <w:wordWrap/>
              <w:overflowPunct/>
              <w:topLinePunct w:val="0"/>
              <w:autoSpaceDE w:val="0"/>
              <w:autoSpaceDN w:val="0"/>
              <w:bidi w:val="0"/>
              <w:adjustRightInd w:val="0"/>
              <w:snapToGrid w:val="0"/>
              <w:spacing w:before="124" w:line="220" w:lineRule="auto"/>
              <w:ind w:left="560"/>
              <w:textAlignment w:val="baseline"/>
              <w:rPr>
                <w:rFonts w:ascii="宋体" w:hAnsi="宋体" w:eastAsia="宋体" w:cs="宋体"/>
                <w:sz w:val="24"/>
                <w:szCs w:val="24"/>
              </w:rPr>
            </w:pPr>
            <w:r>
              <w:rPr>
                <w:rFonts w:ascii="宋体" w:hAnsi="宋体" w:eastAsia="宋体" w:cs="宋体"/>
                <w:spacing w:val="-6"/>
                <w:sz w:val="24"/>
                <w:szCs w:val="24"/>
              </w:rPr>
              <w:t>审核</w:t>
            </w:r>
          </w:p>
        </w:tc>
      </w:tr>
      <w:tr w14:paraId="1E76B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ABD3AD5">
            <w:pPr>
              <w:keepNext w:val="0"/>
              <w:keepLines w:val="0"/>
              <w:pageBreakBefore w:val="0"/>
              <w:widowControl w:val="0"/>
              <w:kinsoku w:val="0"/>
              <w:wordWrap/>
              <w:overflowPunct/>
              <w:topLinePunct w:val="0"/>
              <w:autoSpaceDE w:val="0"/>
              <w:autoSpaceDN w:val="0"/>
              <w:bidi w:val="0"/>
              <w:adjustRightInd w:val="0"/>
              <w:snapToGrid w:val="0"/>
              <w:spacing w:before="102" w:line="239" w:lineRule="auto"/>
              <w:ind w:left="638"/>
              <w:textAlignment w:val="baseline"/>
              <w:rPr>
                <w:rFonts w:ascii="宋体" w:hAnsi="宋体" w:eastAsia="宋体" w:cs="宋体"/>
                <w:sz w:val="21"/>
                <w:szCs w:val="21"/>
              </w:rPr>
            </w:pPr>
            <w:r>
              <w:rPr>
                <w:rFonts w:ascii="宋体" w:hAnsi="宋体" w:eastAsia="宋体" w:cs="宋体"/>
                <w:spacing w:val="-1"/>
                <w:sz w:val="21"/>
                <w:szCs w:val="21"/>
              </w:rPr>
              <w:t>V1.0</w:t>
            </w:r>
          </w:p>
        </w:tc>
        <w:tc>
          <w:tcPr>
            <w:tcW w:w="1558" w:type="dxa"/>
          </w:tcPr>
          <w:p w14:paraId="1A2AC5D0">
            <w:pPr>
              <w:keepNext w:val="0"/>
              <w:keepLines w:val="0"/>
              <w:pageBreakBefore w:val="0"/>
              <w:widowControl w:val="0"/>
              <w:kinsoku w:val="0"/>
              <w:wordWrap/>
              <w:overflowPunct/>
              <w:topLinePunct w:val="0"/>
              <w:autoSpaceDE w:val="0"/>
              <w:autoSpaceDN w:val="0"/>
              <w:bidi w:val="0"/>
              <w:adjustRightInd w:val="0"/>
              <w:snapToGrid w:val="0"/>
              <w:spacing w:before="102"/>
              <w:ind w:left="362"/>
              <w:textAlignment w:val="baseline"/>
              <w:rPr>
                <w:rFonts w:ascii="宋体" w:hAnsi="宋体" w:eastAsia="宋体" w:cs="宋体"/>
                <w:sz w:val="21"/>
                <w:szCs w:val="21"/>
              </w:rPr>
            </w:pPr>
            <w:r>
              <w:rPr>
                <w:rFonts w:ascii="宋体" w:hAnsi="宋体" w:eastAsia="宋体" w:cs="宋体"/>
                <w:spacing w:val="-2"/>
                <w:sz w:val="21"/>
                <w:szCs w:val="21"/>
              </w:rPr>
              <w:t>2025-1-4</w:t>
            </w:r>
          </w:p>
        </w:tc>
        <w:tc>
          <w:tcPr>
            <w:tcW w:w="2123" w:type="dxa"/>
          </w:tcPr>
          <w:p w14:paraId="5C59CA99">
            <w:pPr>
              <w:keepNext w:val="0"/>
              <w:keepLines w:val="0"/>
              <w:pageBreakBefore w:val="0"/>
              <w:widowControl w:val="0"/>
              <w:kinsoku w:val="0"/>
              <w:wordWrap/>
              <w:overflowPunct/>
              <w:topLinePunct w:val="0"/>
              <w:autoSpaceDE w:val="0"/>
              <w:autoSpaceDN w:val="0"/>
              <w:bidi w:val="0"/>
              <w:adjustRightInd w:val="0"/>
              <w:snapToGrid w:val="0"/>
              <w:spacing w:before="72" w:line="219" w:lineRule="auto"/>
              <w:ind w:left="64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699" w:type="dxa"/>
          </w:tcPr>
          <w:p w14:paraId="307888A0">
            <w:pPr>
              <w:keepNext w:val="0"/>
              <w:keepLines w:val="0"/>
              <w:pageBreakBefore w:val="0"/>
              <w:widowControl w:val="0"/>
              <w:kinsoku w:val="0"/>
              <w:wordWrap/>
              <w:overflowPunct/>
              <w:topLinePunct w:val="0"/>
              <w:autoSpaceDE w:val="0"/>
              <w:autoSpaceDN w:val="0"/>
              <w:bidi w:val="0"/>
              <w:adjustRightInd w:val="0"/>
              <w:snapToGrid w:val="0"/>
              <w:spacing w:before="73" w:line="220" w:lineRule="auto"/>
              <w:ind w:left="551"/>
              <w:textAlignment w:val="baseline"/>
              <w:rPr>
                <w:rFonts w:hint="eastAsia" w:ascii="宋体" w:hAnsi="宋体" w:eastAsia="宋体" w:cs="宋体"/>
                <w:sz w:val="21"/>
                <w:szCs w:val="21"/>
                <w:lang w:eastAsia="zh-CN"/>
              </w:rPr>
            </w:pPr>
            <w:r>
              <w:rPr>
                <w:rFonts w:hint="eastAsia" w:ascii="宋体" w:hAnsi="宋体" w:eastAsia="宋体" w:cs="宋体"/>
                <w:spacing w:val="-5"/>
                <w:sz w:val="21"/>
                <w:szCs w:val="21"/>
                <w:lang w:val="en-US" w:eastAsia="zh-CN"/>
              </w:rPr>
              <w:t>金文莉</w:t>
            </w:r>
          </w:p>
        </w:tc>
        <w:tc>
          <w:tcPr>
            <w:tcW w:w="1562" w:type="dxa"/>
          </w:tcPr>
          <w:p w14:paraId="049D92EA">
            <w:pPr>
              <w:keepNext w:val="0"/>
              <w:keepLines w:val="0"/>
              <w:pageBreakBefore w:val="0"/>
              <w:widowControl w:val="0"/>
              <w:kinsoku w:val="0"/>
              <w:wordWrap/>
              <w:overflowPunct/>
              <w:topLinePunct w:val="0"/>
              <w:autoSpaceDE w:val="0"/>
              <w:autoSpaceDN w:val="0"/>
              <w:bidi w:val="0"/>
              <w:adjustRightInd w:val="0"/>
              <w:snapToGrid w:val="0"/>
              <w:spacing w:before="72" w:line="220" w:lineRule="auto"/>
              <w:ind w:left="476"/>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03B2C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0FF8F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4EAFF0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6D0936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09FF321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340B843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866E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496AAA3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185635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4ED49FD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111EC68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72BABF5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3593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2D7C943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63C92A6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2FCAE6A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612BD49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68BD09A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4D5C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E3CA3A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66966CE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7E998C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233F620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2C67226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338E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7BE4BC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29494A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381655F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798B712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64C8CD8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68C966B1">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4FE4F4F5">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440"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5396"/>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2D7D8B9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41D80CB2">
          <w:pPr>
            <w:pStyle w:val="16"/>
            <w:tabs>
              <w:tab w:val="right" w:leader="dot" w:pos="8485"/>
            </w:tabs>
          </w:pPr>
          <w:r>
            <w:fldChar w:fldCharType="begin"/>
          </w:r>
          <w:r>
            <w:instrText xml:space="preserve">TOC \o "1-3" \h \u </w:instrText>
          </w:r>
          <w:r>
            <w:fldChar w:fldCharType="separate"/>
          </w:r>
          <w:r>
            <w:fldChar w:fldCharType="begin"/>
          </w:r>
          <w:r>
            <w:instrText xml:space="preserve"> HYPERLINK \l _Toc3017 </w:instrText>
          </w:r>
          <w:r>
            <w:fldChar w:fldCharType="separate"/>
          </w:r>
          <w:r>
            <w:t>运维服务能力管理制度</w:t>
          </w:r>
          <w:r>
            <w:tab/>
          </w:r>
          <w:r>
            <w:fldChar w:fldCharType="begin"/>
          </w:r>
          <w:r>
            <w:instrText xml:space="preserve"> PAGEREF _Toc3017 \h </w:instrText>
          </w:r>
          <w:r>
            <w:fldChar w:fldCharType="separate"/>
          </w:r>
          <w:r>
            <w:t>1</w:t>
          </w:r>
          <w:r>
            <w:fldChar w:fldCharType="end"/>
          </w:r>
          <w:r>
            <w:fldChar w:fldCharType="end"/>
          </w:r>
        </w:p>
        <w:p w14:paraId="6B757EFA">
          <w:pPr>
            <w:pStyle w:val="16"/>
            <w:tabs>
              <w:tab w:val="right" w:leader="dot" w:pos="8485"/>
            </w:tabs>
          </w:pPr>
          <w:r>
            <w:fldChar w:fldCharType="begin"/>
          </w:r>
          <w:r>
            <w:instrText xml:space="preserve"> HYPERLINK \l _Toc25072 </w:instrText>
          </w:r>
          <w:r>
            <w:fldChar w:fldCharType="separate"/>
          </w:r>
          <w:r>
            <w:t>甘肃国邦信息科技有限公司</w:t>
          </w:r>
          <w:r>
            <w:tab/>
          </w:r>
          <w:r>
            <w:fldChar w:fldCharType="begin"/>
          </w:r>
          <w:r>
            <w:instrText xml:space="preserve"> PAGEREF _Toc25072 \h </w:instrText>
          </w:r>
          <w:r>
            <w:fldChar w:fldCharType="separate"/>
          </w:r>
          <w:r>
            <w:t>1</w:t>
          </w:r>
          <w:r>
            <w:fldChar w:fldCharType="end"/>
          </w:r>
          <w:r>
            <w:fldChar w:fldCharType="end"/>
          </w:r>
        </w:p>
        <w:p w14:paraId="2C4715EB">
          <w:pPr>
            <w:pStyle w:val="17"/>
            <w:tabs>
              <w:tab w:val="right" w:leader="dot" w:pos="8485"/>
            </w:tabs>
          </w:pPr>
          <w:r>
            <w:fldChar w:fldCharType="begin"/>
          </w:r>
          <w:r>
            <w:instrText xml:space="preserve"> HYPERLINK \l _Toc24437 </w:instrText>
          </w:r>
          <w:r>
            <w:fldChar w:fldCharType="separate"/>
          </w:r>
          <w:r>
            <w:rPr>
              <w:rFonts w:ascii="宋体" w:hAnsi="宋体" w:eastAsia="宋体" w:cs="宋体"/>
              <w:spacing w:val="-3"/>
              <w:szCs w:val="28"/>
            </w:rPr>
            <w:t>文档信息</w:t>
          </w:r>
          <w:r>
            <w:tab/>
          </w:r>
          <w:r>
            <w:fldChar w:fldCharType="begin"/>
          </w:r>
          <w:r>
            <w:instrText xml:space="preserve"> PAGEREF _Toc24437 \h </w:instrText>
          </w:r>
          <w:r>
            <w:fldChar w:fldCharType="separate"/>
          </w:r>
          <w:r>
            <w:t>2</w:t>
          </w:r>
          <w:r>
            <w:fldChar w:fldCharType="end"/>
          </w:r>
          <w:r>
            <w:fldChar w:fldCharType="end"/>
          </w:r>
        </w:p>
        <w:p w14:paraId="1A51B61A">
          <w:pPr>
            <w:pStyle w:val="16"/>
            <w:tabs>
              <w:tab w:val="right" w:leader="dot" w:pos="8485"/>
            </w:tabs>
          </w:pPr>
          <w:r>
            <w:fldChar w:fldCharType="begin"/>
          </w:r>
          <w:r>
            <w:instrText xml:space="preserve"> HYPERLINK \l _Toc30891 </w:instrText>
          </w:r>
          <w:r>
            <w:fldChar w:fldCharType="separate"/>
          </w:r>
          <w:r>
            <w:rPr>
              <w:rFonts w:hint="default"/>
            </w:rPr>
            <w:t xml:space="preserve">1. </w:t>
          </w:r>
          <w:r>
            <w:t>目的</w:t>
          </w:r>
          <w:r>
            <w:tab/>
          </w:r>
          <w:r>
            <w:fldChar w:fldCharType="begin"/>
          </w:r>
          <w:r>
            <w:instrText xml:space="preserve"> PAGEREF _Toc30891 \h </w:instrText>
          </w:r>
          <w:r>
            <w:fldChar w:fldCharType="separate"/>
          </w:r>
          <w:r>
            <w:t>6</w:t>
          </w:r>
          <w:r>
            <w:fldChar w:fldCharType="end"/>
          </w:r>
          <w:r>
            <w:fldChar w:fldCharType="end"/>
          </w:r>
        </w:p>
        <w:p w14:paraId="7F542DA4">
          <w:pPr>
            <w:pStyle w:val="16"/>
            <w:tabs>
              <w:tab w:val="right" w:leader="dot" w:pos="8485"/>
            </w:tabs>
          </w:pPr>
          <w:r>
            <w:fldChar w:fldCharType="begin"/>
          </w:r>
          <w:r>
            <w:instrText xml:space="preserve"> HYPERLINK \l _Toc679 </w:instrText>
          </w:r>
          <w:r>
            <w:fldChar w:fldCharType="separate"/>
          </w:r>
          <w:r>
            <w:rPr>
              <w:rFonts w:hint="default"/>
            </w:rPr>
            <w:t xml:space="preserve">2. </w:t>
          </w:r>
          <w:r>
            <w:t>适用范围</w:t>
          </w:r>
          <w:r>
            <w:tab/>
          </w:r>
          <w:r>
            <w:fldChar w:fldCharType="begin"/>
          </w:r>
          <w:r>
            <w:instrText xml:space="preserve"> PAGEREF _Toc679 \h </w:instrText>
          </w:r>
          <w:r>
            <w:fldChar w:fldCharType="separate"/>
          </w:r>
          <w:r>
            <w:t>6</w:t>
          </w:r>
          <w:r>
            <w:fldChar w:fldCharType="end"/>
          </w:r>
          <w:r>
            <w:fldChar w:fldCharType="end"/>
          </w:r>
        </w:p>
        <w:p w14:paraId="311B3E93">
          <w:pPr>
            <w:pStyle w:val="16"/>
            <w:tabs>
              <w:tab w:val="right" w:leader="dot" w:pos="8485"/>
            </w:tabs>
          </w:pPr>
          <w:r>
            <w:fldChar w:fldCharType="begin"/>
          </w:r>
          <w:r>
            <w:instrText xml:space="preserve"> HYPERLINK \l _Toc776 </w:instrText>
          </w:r>
          <w:r>
            <w:fldChar w:fldCharType="separate"/>
          </w:r>
          <w:r>
            <w:rPr>
              <w:rFonts w:hint="default"/>
            </w:rPr>
            <w:t xml:space="preserve">3. </w:t>
          </w:r>
          <w:r>
            <w:t>引用文件</w:t>
          </w:r>
          <w:r>
            <w:tab/>
          </w:r>
          <w:r>
            <w:fldChar w:fldCharType="begin"/>
          </w:r>
          <w:r>
            <w:instrText xml:space="preserve"> PAGEREF _Toc776 \h </w:instrText>
          </w:r>
          <w:r>
            <w:fldChar w:fldCharType="separate"/>
          </w:r>
          <w:r>
            <w:t>6</w:t>
          </w:r>
          <w:r>
            <w:fldChar w:fldCharType="end"/>
          </w:r>
          <w:r>
            <w:fldChar w:fldCharType="end"/>
          </w:r>
        </w:p>
        <w:p w14:paraId="0B908A12">
          <w:pPr>
            <w:pStyle w:val="16"/>
            <w:tabs>
              <w:tab w:val="right" w:leader="dot" w:pos="8485"/>
            </w:tabs>
          </w:pPr>
          <w:r>
            <w:fldChar w:fldCharType="begin"/>
          </w:r>
          <w:r>
            <w:instrText xml:space="preserve"> HYPERLINK \l _Toc2389 </w:instrText>
          </w:r>
          <w:r>
            <w:fldChar w:fldCharType="separate"/>
          </w:r>
          <w:r>
            <w:rPr>
              <w:rFonts w:hint="default"/>
            </w:rPr>
            <w:t xml:space="preserve">4. </w:t>
          </w:r>
          <w:r>
            <w:t>运维服务战略与组织</w:t>
          </w:r>
          <w:r>
            <w:tab/>
          </w:r>
          <w:r>
            <w:fldChar w:fldCharType="begin"/>
          </w:r>
          <w:r>
            <w:instrText xml:space="preserve"> PAGEREF _Toc2389 \h </w:instrText>
          </w:r>
          <w:r>
            <w:fldChar w:fldCharType="separate"/>
          </w:r>
          <w:r>
            <w:t>6</w:t>
          </w:r>
          <w:r>
            <w:fldChar w:fldCharType="end"/>
          </w:r>
          <w:r>
            <w:fldChar w:fldCharType="end"/>
          </w:r>
        </w:p>
        <w:p w14:paraId="31D2C342">
          <w:pPr>
            <w:pStyle w:val="17"/>
            <w:tabs>
              <w:tab w:val="right" w:leader="dot" w:pos="8485"/>
            </w:tabs>
          </w:pPr>
          <w:r>
            <w:fldChar w:fldCharType="begin"/>
          </w:r>
          <w:r>
            <w:instrText xml:space="preserve"> HYPERLINK \l _Toc30930 </w:instrText>
          </w:r>
          <w:r>
            <w:fldChar w:fldCharType="separate"/>
          </w:r>
          <w:r>
            <w:rPr>
              <w:rFonts w:hint="default"/>
            </w:rPr>
            <w:t xml:space="preserve">4.1. </w:t>
          </w:r>
          <w:r>
            <w:t>服务目标</w:t>
          </w:r>
          <w:r>
            <w:tab/>
          </w:r>
          <w:r>
            <w:fldChar w:fldCharType="begin"/>
          </w:r>
          <w:r>
            <w:instrText xml:space="preserve"> PAGEREF _Toc30930 \h </w:instrText>
          </w:r>
          <w:r>
            <w:fldChar w:fldCharType="separate"/>
          </w:r>
          <w:r>
            <w:t>6</w:t>
          </w:r>
          <w:r>
            <w:fldChar w:fldCharType="end"/>
          </w:r>
          <w:r>
            <w:fldChar w:fldCharType="end"/>
          </w:r>
        </w:p>
        <w:p w14:paraId="4A0A07FA">
          <w:pPr>
            <w:pStyle w:val="17"/>
            <w:tabs>
              <w:tab w:val="right" w:leader="dot" w:pos="8485"/>
            </w:tabs>
          </w:pPr>
          <w:r>
            <w:fldChar w:fldCharType="begin"/>
          </w:r>
          <w:r>
            <w:instrText xml:space="preserve"> HYPERLINK \l _Toc18978 </w:instrText>
          </w:r>
          <w:r>
            <w:fldChar w:fldCharType="separate"/>
          </w:r>
          <w:r>
            <w:rPr>
              <w:rFonts w:hint="default"/>
            </w:rPr>
            <w:t xml:space="preserve">4.2. </w:t>
          </w:r>
          <w:r>
            <w:t>运维服务战略</w:t>
          </w:r>
          <w:r>
            <w:tab/>
          </w:r>
          <w:r>
            <w:fldChar w:fldCharType="begin"/>
          </w:r>
          <w:r>
            <w:instrText xml:space="preserve"> PAGEREF _Toc18978 \h </w:instrText>
          </w:r>
          <w:r>
            <w:fldChar w:fldCharType="separate"/>
          </w:r>
          <w:r>
            <w:t>6</w:t>
          </w:r>
          <w:r>
            <w:fldChar w:fldCharType="end"/>
          </w:r>
          <w:r>
            <w:fldChar w:fldCharType="end"/>
          </w:r>
        </w:p>
        <w:p w14:paraId="68EFD3CA">
          <w:pPr>
            <w:pStyle w:val="16"/>
            <w:tabs>
              <w:tab w:val="right" w:leader="dot" w:pos="8485"/>
            </w:tabs>
          </w:pPr>
          <w:r>
            <w:fldChar w:fldCharType="begin"/>
          </w:r>
          <w:r>
            <w:instrText xml:space="preserve"> HYPERLINK \l _Toc9927 </w:instrText>
          </w:r>
          <w:r>
            <w:fldChar w:fldCharType="separate"/>
          </w:r>
          <w:r>
            <w:rPr>
              <w:rFonts w:hint="default"/>
            </w:rPr>
            <w:t xml:space="preserve">5. </w:t>
          </w:r>
          <w:r>
            <w:t>运行维护服务能力管理</w:t>
          </w:r>
          <w:r>
            <w:tab/>
          </w:r>
          <w:r>
            <w:fldChar w:fldCharType="begin"/>
          </w:r>
          <w:r>
            <w:instrText xml:space="preserve"> PAGEREF _Toc9927 \h </w:instrText>
          </w:r>
          <w:r>
            <w:fldChar w:fldCharType="separate"/>
          </w:r>
          <w:r>
            <w:t>7</w:t>
          </w:r>
          <w:r>
            <w:fldChar w:fldCharType="end"/>
          </w:r>
          <w:r>
            <w:fldChar w:fldCharType="end"/>
          </w:r>
        </w:p>
        <w:p w14:paraId="03F767FE">
          <w:pPr>
            <w:pStyle w:val="17"/>
            <w:tabs>
              <w:tab w:val="right" w:leader="dot" w:pos="8485"/>
            </w:tabs>
          </w:pPr>
          <w:r>
            <w:fldChar w:fldCharType="begin"/>
          </w:r>
          <w:r>
            <w:instrText xml:space="preserve"> HYPERLINK \l _Toc4473 </w:instrText>
          </w:r>
          <w:r>
            <w:fldChar w:fldCharType="separate"/>
          </w:r>
          <w:r>
            <w:rPr>
              <w:rFonts w:hint="default"/>
            </w:rPr>
            <w:t xml:space="preserve">5.1. </w:t>
          </w:r>
          <w:r>
            <w:t>策划</w:t>
          </w:r>
          <w:r>
            <w:tab/>
          </w:r>
          <w:r>
            <w:fldChar w:fldCharType="begin"/>
          </w:r>
          <w:r>
            <w:instrText xml:space="preserve"> PAGEREF _Toc4473 \h </w:instrText>
          </w:r>
          <w:r>
            <w:fldChar w:fldCharType="separate"/>
          </w:r>
          <w:r>
            <w:t>7</w:t>
          </w:r>
          <w:r>
            <w:fldChar w:fldCharType="end"/>
          </w:r>
          <w:r>
            <w:fldChar w:fldCharType="end"/>
          </w:r>
        </w:p>
        <w:p w14:paraId="2024914E">
          <w:pPr>
            <w:pStyle w:val="13"/>
            <w:tabs>
              <w:tab w:val="right" w:leader="dot" w:pos="8485"/>
            </w:tabs>
          </w:pPr>
          <w:r>
            <w:fldChar w:fldCharType="begin"/>
          </w:r>
          <w:r>
            <w:instrText xml:space="preserve"> HYPERLINK \l _Toc8307 </w:instrText>
          </w:r>
          <w:r>
            <w:fldChar w:fldCharType="separate"/>
          </w:r>
          <w:r>
            <w:rPr>
              <w:rFonts w:hint="default"/>
            </w:rPr>
            <w:t xml:space="preserve">5.1.1. </w:t>
          </w:r>
          <w:r>
            <w:t>运维服务目录管理</w:t>
          </w:r>
          <w:r>
            <w:tab/>
          </w:r>
          <w:r>
            <w:fldChar w:fldCharType="begin"/>
          </w:r>
          <w:r>
            <w:instrText xml:space="preserve"> PAGEREF _Toc8307 \h </w:instrText>
          </w:r>
          <w:r>
            <w:fldChar w:fldCharType="separate"/>
          </w:r>
          <w:r>
            <w:t>7</w:t>
          </w:r>
          <w:r>
            <w:fldChar w:fldCharType="end"/>
          </w:r>
          <w:r>
            <w:fldChar w:fldCharType="end"/>
          </w:r>
        </w:p>
        <w:p w14:paraId="59468BB2">
          <w:pPr>
            <w:pStyle w:val="13"/>
            <w:tabs>
              <w:tab w:val="right" w:leader="dot" w:pos="8485"/>
            </w:tabs>
          </w:pPr>
          <w:r>
            <w:fldChar w:fldCharType="begin"/>
          </w:r>
          <w:r>
            <w:instrText xml:space="preserve"> HYPERLINK \l _Toc21377 </w:instrText>
          </w:r>
          <w:r>
            <w:fldChar w:fldCharType="separate"/>
          </w:r>
          <w:r>
            <w:rPr>
              <w:rFonts w:hint="default"/>
            </w:rPr>
            <w:t xml:space="preserve">5.1.2. </w:t>
          </w:r>
          <w:r>
            <w:t>运维服务能力计划</w:t>
          </w:r>
          <w:r>
            <w:tab/>
          </w:r>
          <w:r>
            <w:fldChar w:fldCharType="begin"/>
          </w:r>
          <w:r>
            <w:instrText xml:space="preserve"> PAGEREF _Toc21377 \h </w:instrText>
          </w:r>
          <w:r>
            <w:fldChar w:fldCharType="separate"/>
          </w:r>
          <w:r>
            <w:t>7</w:t>
          </w:r>
          <w:r>
            <w:fldChar w:fldCharType="end"/>
          </w:r>
          <w:r>
            <w:fldChar w:fldCharType="end"/>
          </w:r>
        </w:p>
        <w:p w14:paraId="084E6C91">
          <w:pPr>
            <w:pStyle w:val="13"/>
            <w:tabs>
              <w:tab w:val="right" w:leader="dot" w:pos="8485"/>
            </w:tabs>
          </w:pPr>
          <w:r>
            <w:fldChar w:fldCharType="begin"/>
          </w:r>
          <w:r>
            <w:instrText xml:space="preserve"> HYPERLINK \l _Toc29396 </w:instrText>
          </w:r>
          <w:r>
            <w:fldChar w:fldCharType="separate"/>
          </w:r>
          <w:r>
            <w:rPr>
              <w:rFonts w:hint="default"/>
            </w:rPr>
            <w:t xml:space="preserve">5.1.3. </w:t>
          </w:r>
          <w:r>
            <w:t>运维服务质量计划</w:t>
          </w:r>
          <w:r>
            <w:tab/>
          </w:r>
          <w:r>
            <w:fldChar w:fldCharType="begin"/>
          </w:r>
          <w:r>
            <w:instrText xml:space="preserve"> PAGEREF _Toc29396 \h </w:instrText>
          </w:r>
          <w:r>
            <w:fldChar w:fldCharType="separate"/>
          </w:r>
          <w:r>
            <w:t>8</w:t>
          </w:r>
          <w:r>
            <w:fldChar w:fldCharType="end"/>
          </w:r>
          <w:r>
            <w:fldChar w:fldCharType="end"/>
          </w:r>
        </w:p>
        <w:p w14:paraId="0A2CD564">
          <w:pPr>
            <w:pStyle w:val="17"/>
            <w:tabs>
              <w:tab w:val="right" w:leader="dot" w:pos="8485"/>
            </w:tabs>
          </w:pPr>
          <w:r>
            <w:fldChar w:fldCharType="begin"/>
          </w:r>
          <w:r>
            <w:instrText xml:space="preserve"> HYPERLINK \l _Toc8722 </w:instrText>
          </w:r>
          <w:r>
            <w:fldChar w:fldCharType="separate"/>
          </w:r>
          <w:r>
            <w:rPr>
              <w:rFonts w:hint="default"/>
            </w:rPr>
            <w:t xml:space="preserve">5.2. </w:t>
          </w:r>
          <w:r>
            <w:t>实施</w:t>
          </w:r>
          <w:r>
            <w:tab/>
          </w:r>
          <w:r>
            <w:fldChar w:fldCharType="begin"/>
          </w:r>
          <w:r>
            <w:instrText xml:space="preserve"> PAGEREF _Toc8722 \h </w:instrText>
          </w:r>
          <w:r>
            <w:fldChar w:fldCharType="separate"/>
          </w:r>
          <w:r>
            <w:t>8</w:t>
          </w:r>
          <w:r>
            <w:fldChar w:fldCharType="end"/>
          </w:r>
          <w:r>
            <w:fldChar w:fldCharType="end"/>
          </w:r>
        </w:p>
        <w:p w14:paraId="6D82C278">
          <w:pPr>
            <w:pStyle w:val="17"/>
            <w:tabs>
              <w:tab w:val="right" w:leader="dot" w:pos="8485"/>
            </w:tabs>
          </w:pPr>
          <w:r>
            <w:fldChar w:fldCharType="begin"/>
          </w:r>
          <w:r>
            <w:instrText xml:space="preserve"> HYPERLINK \l _Toc2215 </w:instrText>
          </w:r>
          <w:r>
            <w:fldChar w:fldCharType="separate"/>
          </w:r>
          <w:r>
            <w:rPr>
              <w:rFonts w:hint="default"/>
            </w:rPr>
            <w:t xml:space="preserve">5.3. </w:t>
          </w:r>
          <w:r>
            <w:t>检查</w:t>
          </w:r>
          <w:r>
            <w:tab/>
          </w:r>
          <w:r>
            <w:fldChar w:fldCharType="begin"/>
          </w:r>
          <w:r>
            <w:instrText xml:space="preserve"> PAGEREF _Toc2215 \h </w:instrText>
          </w:r>
          <w:r>
            <w:fldChar w:fldCharType="separate"/>
          </w:r>
          <w:r>
            <w:t>9</w:t>
          </w:r>
          <w:r>
            <w:fldChar w:fldCharType="end"/>
          </w:r>
          <w:r>
            <w:fldChar w:fldCharType="end"/>
          </w:r>
        </w:p>
        <w:p w14:paraId="45671613">
          <w:pPr>
            <w:pStyle w:val="13"/>
            <w:tabs>
              <w:tab w:val="right" w:leader="dot" w:pos="8485"/>
            </w:tabs>
          </w:pPr>
          <w:r>
            <w:fldChar w:fldCharType="begin"/>
          </w:r>
          <w:r>
            <w:instrText xml:space="preserve"> HYPERLINK \l _Toc25646 </w:instrText>
          </w:r>
          <w:r>
            <w:fldChar w:fldCharType="separate"/>
          </w:r>
          <w:r>
            <w:rPr>
              <w:rFonts w:hint="default"/>
            </w:rPr>
            <w:t xml:space="preserve">5.3.1. </w:t>
          </w:r>
          <w:r>
            <w:t>内审</w:t>
          </w:r>
          <w:r>
            <w:tab/>
          </w:r>
          <w:r>
            <w:fldChar w:fldCharType="begin"/>
          </w:r>
          <w:r>
            <w:instrText xml:space="preserve"> PAGEREF _Toc25646 \h </w:instrText>
          </w:r>
          <w:r>
            <w:fldChar w:fldCharType="separate"/>
          </w:r>
          <w:r>
            <w:t>9</w:t>
          </w:r>
          <w:r>
            <w:fldChar w:fldCharType="end"/>
          </w:r>
          <w:r>
            <w:fldChar w:fldCharType="end"/>
          </w:r>
        </w:p>
        <w:p w14:paraId="0C62A5A9">
          <w:pPr>
            <w:pStyle w:val="13"/>
            <w:tabs>
              <w:tab w:val="right" w:leader="dot" w:pos="8485"/>
            </w:tabs>
          </w:pPr>
          <w:r>
            <w:fldChar w:fldCharType="begin"/>
          </w:r>
          <w:r>
            <w:instrText xml:space="preserve"> HYPERLINK \l _Toc7984 </w:instrText>
          </w:r>
          <w:r>
            <w:fldChar w:fldCharType="separate"/>
          </w:r>
          <w:r>
            <w:rPr>
              <w:rFonts w:hint="default"/>
            </w:rPr>
            <w:t xml:space="preserve">5.3.2. </w:t>
          </w:r>
          <w:r>
            <w:t>管理评审</w:t>
          </w:r>
          <w:r>
            <w:tab/>
          </w:r>
          <w:r>
            <w:fldChar w:fldCharType="begin"/>
          </w:r>
          <w:r>
            <w:instrText xml:space="preserve"> PAGEREF _Toc7984 \h </w:instrText>
          </w:r>
          <w:r>
            <w:fldChar w:fldCharType="separate"/>
          </w:r>
          <w:r>
            <w:t>9</w:t>
          </w:r>
          <w:r>
            <w:fldChar w:fldCharType="end"/>
          </w:r>
          <w:r>
            <w:fldChar w:fldCharType="end"/>
          </w:r>
        </w:p>
        <w:p w14:paraId="718348A5">
          <w:pPr>
            <w:pStyle w:val="13"/>
            <w:tabs>
              <w:tab w:val="right" w:leader="dot" w:pos="8485"/>
            </w:tabs>
          </w:pPr>
          <w:r>
            <w:fldChar w:fldCharType="begin"/>
          </w:r>
          <w:r>
            <w:instrText xml:space="preserve"> HYPERLINK \l _Toc21268 </w:instrText>
          </w:r>
          <w:r>
            <w:fldChar w:fldCharType="separate"/>
          </w:r>
          <w:r>
            <w:rPr>
              <w:rFonts w:hint="default"/>
            </w:rPr>
            <w:t xml:space="preserve">5.3.3. </w:t>
          </w:r>
          <w:r>
            <w:t>客户满意度</w:t>
          </w:r>
          <w:r>
            <w:tab/>
          </w:r>
          <w:r>
            <w:fldChar w:fldCharType="begin"/>
          </w:r>
          <w:r>
            <w:instrText xml:space="preserve"> PAGEREF _Toc21268 \h </w:instrText>
          </w:r>
          <w:r>
            <w:fldChar w:fldCharType="separate"/>
          </w:r>
          <w:r>
            <w:t>10</w:t>
          </w:r>
          <w:r>
            <w:fldChar w:fldCharType="end"/>
          </w:r>
          <w:r>
            <w:fldChar w:fldCharType="end"/>
          </w:r>
        </w:p>
        <w:p w14:paraId="31F528BD">
          <w:pPr>
            <w:pStyle w:val="17"/>
            <w:tabs>
              <w:tab w:val="right" w:leader="dot" w:pos="8485"/>
            </w:tabs>
          </w:pPr>
          <w:r>
            <w:fldChar w:fldCharType="begin"/>
          </w:r>
          <w:r>
            <w:instrText xml:space="preserve"> HYPERLINK \l _Toc24478 </w:instrText>
          </w:r>
          <w:r>
            <w:fldChar w:fldCharType="separate"/>
          </w:r>
          <w:r>
            <w:rPr>
              <w:rFonts w:hint="default"/>
            </w:rPr>
            <w:t xml:space="preserve">5.4. </w:t>
          </w:r>
          <w:r>
            <w:t>改进</w:t>
          </w:r>
          <w:r>
            <w:tab/>
          </w:r>
          <w:r>
            <w:fldChar w:fldCharType="begin"/>
          </w:r>
          <w:r>
            <w:instrText xml:space="preserve"> PAGEREF _Toc24478 \h </w:instrText>
          </w:r>
          <w:r>
            <w:fldChar w:fldCharType="separate"/>
          </w:r>
          <w:r>
            <w:t>10</w:t>
          </w:r>
          <w:r>
            <w:fldChar w:fldCharType="end"/>
          </w:r>
          <w:r>
            <w:fldChar w:fldCharType="end"/>
          </w:r>
        </w:p>
        <w:p w14:paraId="1DD846B6">
          <w:pPr>
            <w:pStyle w:val="16"/>
            <w:tabs>
              <w:tab w:val="right" w:leader="dot" w:pos="8485"/>
            </w:tabs>
          </w:pPr>
          <w:r>
            <w:fldChar w:fldCharType="begin"/>
          </w:r>
          <w:r>
            <w:instrText xml:space="preserve"> HYPERLINK \l _Toc31888 </w:instrText>
          </w:r>
          <w:r>
            <w:fldChar w:fldCharType="separate"/>
          </w:r>
          <w:r>
            <w:rPr>
              <w:rFonts w:hint="default"/>
            </w:rPr>
            <w:t xml:space="preserve">6. </w:t>
          </w:r>
          <w:r>
            <w:t>交付</w:t>
          </w:r>
          <w:r>
            <w:tab/>
          </w:r>
          <w:r>
            <w:fldChar w:fldCharType="begin"/>
          </w:r>
          <w:r>
            <w:instrText xml:space="preserve"> PAGEREF _Toc31888 \h </w:instrText>
          </w:r>
          <w:r>
            <w:fldChar w:fldCharType="separate"/>
          </w:r>
          <w:r>
            <w:t>10</w:t>
          </w:r>
          <w:r>
            <w:fldChar w:fldCharType="end"/>
          </w:r>
          <w:r>
            <w:fldChar w:fldCharType="end"/>
          </w:r>
        </w:p>
        <w:p w14:paraId="7BBC6801">
          <w:pPr>
            <w:pStyle w:val="17"/>
            <w:tabs>
              <w:tab w:val="right" w:leader="dot" w:pos="8485"/>
            </w:tabs>
          </w:pPr>
          <w:r>
            <w:fldChar w:fldCharType="begin"/>
          </w:r>
          <w:r>
            <w:instrText xml:space="preserve"> HYPERLINK \l _Toc27768 </w:instrText>
          </w:r>
          <w:r>
            <w:fldChar w:fldCharType="separate"/>
          </w:r>
          <w:r>
            <w:rPr>
              <w:rFonts w:hint="default"/>
            </w:rPr>
            <w:t xml:space="preserve">6.1. </w:t>
          </w:r>
          <w:r>
            <w:t>交付策划</w:t>
          </w:r>
          <w:r>
            <w:tab/>
          </w:r>
          <w:r>
            <w:fldChar w:fldCharType="begin"/>
          </w:r>
          <w:r>
            <w:instrText xml:space="preserve"> PAGEREF _Toc27768 \h </w:instrText>
          </w:r>
          <w:r>
            <w:fldChar w:fldCharType="separate"/>
          </w:r>
          <w:r>
            <w:t>10</w:t>
          </w:r>
          <w:r>
            <w:fldChar w:fldCharType="end"/>
          </w:r>
          <w:r>
            <w:fldChar w:fldCharType="end"/>
          </w:r>
        </w:p>
        <w:p w14:paraId="18C029CC">
          <w:pPr>
            <w:pStyle w:val="17"/>
            <w:tabs>
              <w:tab w:val="right" w:leader="dot" w:pos="8485"/>
            </w:tabs>
          </w:pPr>
          <w:r>
            <w:fldChar w:fldCharType="begin"/>
          </w:r>
          <w:r>
            <w:instrText xml:space="preserve"> HYPERLINK \l _Toc23864 </w:instrText>
          </w:r>
          <w:r>
            <w:fldChar w:fldCharType="separate"/>
          </w:r>
          <w:r>
            <w:rPr>
              <w:rFonts w:hint="default"/>
            </w:rPr>
            <w:t xml:space="preserve">6.2. </w:t>
          </w:r>
          <w:r>
            <w:t>交付实施</w:t>
          </w:r>
          <w:r>
            <w:tab/>
          </w:r>
          <w:r>
            <w:fldChar w:fldCharType="begin"/>
          </w:r>
          <w:r>
            <w:instrText xml:space="preserve"> PAGEREF _Toc23864 \h </w:instrText>
          </w:r>
          <w:r>
            <w:fldChar w:fldCharType="separate"/>
          </w:r>
          <w:r>
            <w:t>11</w:t>
          </w:r>
          <w:r>
            <w:fldChar w:fldCharType="end"/>
          </w:r>
          <w:r>
            <w:fldChar w:fldCharType="end"/>
          </w:r>
        </w:p>
        <w:p w14:paraId="587F0825">
          <w:pPr>
            <w:pStyle w:val="17"/>
            <w:tabs>
              <w:tab w:val="right" w:leader="dot" w:pos="8485"/>
            </w:tabs>
          </w:pPr>
          <w:r>
            <w:fldChar w:fldCharType="begin"/>
          </w:r>
          <w:r>
            <w:instrText xml:space="preserve"> HYPERLINK \l _Toc19329 </w:instrText>
          </w:r>
          <w:r>
            <w:fldChar w:fldCharType="separate"/>
          </w:r>
          <w:r>
            <w:rPr>
              <w:rFonts w:hint="default"/>
            </w:rPr>
            <w:t xml:space="preserve">6.3. </w:t>
          </w:r>
          <w:r>
            <w:t>交付检查</w:t>
          </w:r>
          <w:r>
            <w:tab/>
          </w:r>
          <w:r>
            <w:fldChar w:fldCharType="begin"/>
          </w:r>
          <w:r>
            <w:instrText xml:space="preserve"> PAGEREF _Toc19329 \h </w:instrText>
          </w:r>
          <w:r>
            <w:fldChar w:fldCharType="separate"/>
          </w:r>
          <w:r>
            <w:t>11</w:t>
          </w:r>
          <w:r>
            <w:fldChar w:fldCharType="end"/>
          </w:r>
          <w:r>
            <w:fldChar w:fldCharType="end"/>
          </w:r>
        </w:p>
        <w:p w14:paraId="2DA1296A">
          <w:pPr>
            <w:pStyle w:val="17"/>
            <w:tabs>
              <w:tab w:val="right" w:leader="dot" w:pos="8485"/>
            </w:tabs>
          </w:pPr>
          <w:r>
            <w:fldChar w:fldCharType="begin"/>
          </w:r>
          <w:r>
            <w:instrText xml:space="preserve"> HYPERLINK \l _Toc31036 </w:instrText>
          </w:r>
          <w:r>
            <w:fldChar w:fldCharType="separate"/>
          </w:r>
          <w:r>
            <w:rPr>
              <w:rFonts w:hint="default"/>
            </w:rPr>
            <w:t xml:space="preserve">6.4. </w:t>
          </w:r>
          <w:r>
            <w:t>交付改进</w:t>
          </w:r>
          <w:r>
            <w:tab/>
          </w:r>
          <w:r>
            <w:fldChar w:fldCharType="begin"/>
          </w:r>
          <w:r>
            <w:instrText xml:space="preserve"> PAGEREF _Toc31036 \h </w:instrText>
          </w:r>
          <w:r>
            <w:fldChar w:fldCharType="separate"/>
          </w:r>
          <w:r>
            <w:t>11</w:t>
          </w:r>
          <w:r>
            <w:fldChar w:fldCharType="end"/>
          </w:r>
          <w:r>
            <w:fldChar w:fldCharType="end"/>
          </w:r>
        </w:p>
        <w:p w14:paraId="0CA688F6">
          <w:pPr>
            <w:pStyle w:val="16"/>
            <w:tabs>
              <w:tab w:val="right" w:leader="dot" w:pos="8485"/>
            </w:tabs>
          </w:pPr>
          <w:r>
            <w:fldChar w:fldCharType="begin"/>
          </w:r>
          <w:r>
            <w:instrText xml:space="preserve"> HYPERLINK \l _Toc6072 </w:instrText>
          </w:r>
          <w:r>
            <w:fldChar w:fldCharType="separate"/>
          </w:r>
          <w:r>
            <w:rPr>
              <w:rFonts w:hint="default"/>
            </w:rPr>
            <w:t xml:space="preserve">7. </w:t>
          </w:r>
          <w:r>
            <w:t>应急</w:t>
          </w:r>
          <w:r>
            <w:tab/>
          </w:r>
          <w:r>
            <w:fldChar w:fldCharType="begin"/>
          </w:r>
          <w:r>
            <w:instrText xml:space="preserve"> PAGEREF _Toc6072 \h </w:instrText>
          </w:r>
          <w:r>
            <w:fldChar w:fldCharType="separate"/>
          </w:r>
          <w:r>
            <w:t>11</w:t>
          </w:r>
          <w:r>
            <w:fldChar w:fldCharType="end"/>
          </w:r>
          <w:r>
            <w:fldChar w:fldCharType="end"/>
          </w:r>
        </w:p>
        <w:p w14:paraId="5A079E5D">
          <w:pPr>
            <w:pStyle w:val="17"/>
            <w:tabs>
              <w:tab w:val="right" w:leader="dot" w:pos="8485"/>
            </w:tabs>
          </w:pPr>
          <w:r>
            <w:fldChar w:fldCharType="begin"/>
          </w:r>
          <w:r>
            <w:instrText xml:space="preserve"> HYPERLINK \l _Toc20712 </w:instrText>
          </w:r>
          <w:r>
            <w:fldChar w:fldCharType="separate"/>
          </w:r>
          <w:r>
            <w:rPr>
              <w:rFonts w:hint="default"/>
            </w:rPr>
            <w:t xml:space="preserve">7.1. </w:t>
          </w:r>
          <w:r>
            <w:t>应急准备</w:t>
          </w:r>
          <w:r>
            <w:tab/>
          </w:r>
          <w:r>
            <w:fldChar w:fldCharType="begin"/>
          </w:r>
          <w:r>
            <w:instrText xml:space="preserve"> PAGEREF _Toc20712 \h </w:instrText>
          </w:r>
          <w:r>
            <w:fldChar w:fldCharType="separate"/>
          </w:r>
          <w:r>
            <w:t>12</w:t>
          </w:r>
          <w:r>
            <w:fldChar w:fldCharType="end"/>
          </w:r>
          <w:r>
            <w:fldChar w:fldCharType="end"/>
          </w:r>
        </w:p>
        <w:p w14:paraId="03DC08CD">
          <w:pPr>
            <w:pStyle w:val="13"/>
            <w:tabs>
              <w:tab w:val="right" w:leader="dot" w:pos="8485"/>
            </w:tabs>
          </w:pPr>
          <w:r>
            <w:fldChar w:fldCharType="begin"/>
          </w:r>
          <w:r>
            <w:instrText xml:space="preserve"> HYPERLINK \l _Toc1120 </w:instrText>
          </w:r>
          <w:r>
            <w:fldChar w:fldCharType="separate"/>
          </w:r>
          <w:r>
            <w:rPr>
              <w:rFonts w:hint="default"/>
            </w:rPr>
            <w:t xml:space="preserve">7.1.1. </w:t>
          </w:r>
          <w:r>
            <w:t>应急响应组织</w:t>
          </w:r>
          <w:r>
            <w:tab/>
          </w:r>
          <w:r>
            <w:fldChar w:fldCharType="begin"/>
          </w:r>
          <w:r>
            <w:instrText xml:space="preserve"> PAGEREF _Toc1120 \h </w:instrText>
          </w:r>
          <w:r>
            <w:fldChar w:fldCharType="separate"/>
          </w:r>
          <w:r>
            <w:t>12</w:t>
          </w:r>
          <w:r>
            <w:fldChar w:fldCharType="end"/>
          </w:r>
          <w:r>
            <w:fldChar w:fldCharType="end"/>
          </w:r>
        </w:p>
        <w:p w14:paraId="30E247AA">
          <w:pPr>
            <w:pStyle w:val="13"/>
            <w:tabs>
              <w:tab w:val="right" w:leader="dot" w:pos="8485"/>
            </w:tabs>
          </w:pPr>
          <w:r>
            <w:fldChar w:fldCharType="begin"/>
          </w:r>
          <w:r>
            <w:instrText xml:space="preserve"> HYPERLINK \l _Toc13838 </w:instrText>
          </w:r>
          <w:r>
            <w:fldChar w:fldCharType="separate"/>
          </w:r>
          <w:r>
            <w:rPr>
              <w:rFonts w:hint="default"/>
            </w:rPr>
            <w:t xml:space="preserve">7.1.2. </w:t>
          </w:r>
          <w:r>
            <w:t>应急响应制度</w:t>
          </w:r>
          <w:r>
            <w:tab/>
          </w:r>
          <w:r>
            <w:fldChar w:fldCharType="begin"/>
          </w:r>
          <w:r>
            <w:instrText xml:space="preserve"> PAGEREF _Toc13838 \h </w:instrText>
          </w:r>
          <w:r>
            <w:fldChar w:fldCharType="separate"/>
          </w:r>
          <w:r>
            <w:t>12</w:t>
          </w:r>
          <w:r>
            <w:fldChar w:fldCharType="end"/>
          </w:r>
          <w:r>
            <w:fldChar w:fldCharType="end"/>
          </w:r>
        </w:p>
        <w:p w14:paraId="481B09D2">
          <w:pPr>
            <w:pStyle w:val="13"/>
            <w:tabs>
              <w:tab w:val="right" w:leader="dot" w:pos="8485"/>
            </w:tabs>
          </w:pPr>
          <w:r>
            <w:fldChar w:fldCharType="begin"/>
          </w:r>
          <w:r>
            <w:instrText xml:space="preserve"> HYPERLINK \l _Toc16688 </w:instrText>
          </w:r>
          <w:r>
            <w:fldChar w:fldCharType="separate"/>
          </w:r>
          <w:r>
            <w:rPr>
              <w:rFonts w:hint="default"/>
            </w:rPr>
            <w:t xml:space="preserve">7.1.3. </w:t>
          </w:r>
          <w:r>
            <w:t>风险评估与改进</w:t>
          </w:r>
          <w:r>
            <w:tab/>
          </w:r>
          <w:r>
            <w:fldChar w:fldCharType="begin"/>
          </w:r>
          <w:r>
            <w:instrText xml:space="preserve"> PAGEREF _Toc16688 \h </w:instrText>
          </w:r>
          <w:r>
            <w:fldChar w:fldCharType="separate"/>
          </w:r>
          <w:r>
            <w:t>12</w:t>
          </w:r>
          <w:r>
            <w:fldChar w:fldCharType="end"/>
          </w:r>
          <w:r>
            <w:fldChar w:fldCharType="end"/>
          </w:r>
        </w:p>
        <w:p w14:paraId="5ABDD28F">
          <w:pPr>
            <w:pStyle w:val="13"/>
            <w:tabs>
              <w:tab w:val="right" w:leader="dot" w:pos="8485"/>
            </w:tabs>
          </w:pPr>
          <w:r>
            <w:fldChar w:fldCharType="begin"/>
          </w:r>
          <w:r>
            <w:instrText xml:space="preserve"> HYPERLINK \l _Toc29172 </w:instrText>
          </w:r>
          <w:r>
            <w:fldChar w:fldCharType="separate"/>
          </w:r>
          <w:r>
            <w:rPr>
              <w:rFonts w:hint="default"/>
            </w:rPr>
            <w:t xml:space="preserve">7.1.4. </w:t>
          </w:r>
          <w:r>
            <w:t>应急事件级别划分</w:t>
          </w:r>
          <w:r>
            <w:tab/>
          </w:r>
          <w:r>
            <w:fldChar w:fldCharType="begin"/>
          </w:r>
          <w:r>
            <w:instrText xml:space="preserve"> PAGEREF _Toc29172 \h </w:instrText>
          </w:r>
          <w:r>
            <w:fldChar w:fldCharType="separate"/>
          </w:r>
          <w:r>
            <w:t>13</w:t>
          </w:r>
          <w:r>
            <w:fldChar w:fldCharType="end"/>
          </w:r>
          <w:r>
            <w:fldChar w:fldCharType="end"/>
          </w:r>
        </w:p>
        <w:p w14:paraId="3D953BA0">
          <w:pPr>
            <w:pStyle w:val="13"/>
            <w:tabs>
              <w:tab w:val="right" w:leader="dot" w:pos="8485"/>
            </w:tabs>
          </w:pPr>
          <w:r>
            <w:fldChar w:fldCharType="begin"/>
          </w:r>
          <w:r>
            <w:instrText xml:space="preserve"> HYPERLINK \l _Toc4380 </w:instrText>
          </w:r>
          <w:r>
            <w:fldChar w:fldCharType="separate"/>
          </w:r>
          <w:r>
            <w:rPr>
              <w:rFonts w:hint="default"/>
            </w:rPr>
            <w:t xml:space="preserve">7.1.5. </w:t>
          </w:r>
          <w:r>
            <w:t>应急响应预案制定</w:t>
          </w:r>
          <w:r>
            <w:tab/>
          </w:r>
          <w:r>
            <w:fldChar w:fldCharType="begin"/>
          </w:r>
          <w:r>
            <w:instrText xml:space="preserve"> PAGEREF _Toc4380 \h </w:instrText>
          </w:r>
          <w:r>
            <w:fldChar w:fldCharType="separate"/>
          </w:r>
          <w:r>
            <w:t>13</w:t>
          </w:r>
          <w:r>
            <w:fldChar w:fldCharType="end"/>
          </w:r>
          <w:r>
            <w:fldChar w:fldCharType="end"/>
          </w:r>
        </w:p>
        <w:p w14:paraId="411634BC">
          <w:pPr>
            <w:pStyle w:val="17"/>
            <w:tabs>
              <w:tab w:val="right" w:leader="dot" w:pos="8485"/>
            </w:tabs>
          </w:pPr>
          <w:r>
            <w:fldChar w:fldCharType="begin"/>
          </w:r>
          <w:r>
            <w:instrText xml:space="preserve"> HYPERLINK \l _Toc26489 </w:instrText>
          </w:r>
          <w:r>
            <w:fldChar w:fldCharType="separate"/>
          </w:r>
          <w:r>
            <w:rPr>
              <w:rFonts w:hint="default"/>
            </w:rPr>
            <w:t xml:space="preserve">7.2. </w:t>
          </w:r>
          <w:r>
            <w:t>监测与预警</w:t>
          </w:r>
          <w:r>
            <w:tab/>
          </w:r>
          <w:r>
            <w:fldChar w:fldCharType="begin"/>
          </w:r>
          <w:r>
            <w:instrText xml:space="preserve"> PAGEREF _Toc26489 \h </w:instrText>
          </w:r>
          <w:r>
            <w:fldChar w:fldCharType="separate"/>
          </w:r>
          <w:r>
            <w:t>14</w:t>
          </w:r>
          <w:r>
            <w:fldChar w:fldCharType="end"/>
          </w:r>
          <w:r>
            <w:fldChar w:fldCharType="end"/>
          </w:r>
        </w:p>
        <w:p w14:paraId="4A370F80">
          <w:pPr>
            <w:pStyle w:val="13"/>
            <w:tabs>
              <w:tab w:val="right" w:leader="dot" w:pos="8485"/>
            </w:tabs>
          </w:pPr>
          <w:r>
            <w:fldChar w:fldCharType="begin"/>
          </w:r>
          <w:r>
            <w:instrText xml:space="preserve"> HYPERLINK \l _Toc12376 </w:instrText>
          </w:r>
          <w:r>
            <w:fldChar w:fldCharType="separate"/>
          </w:r>
          <w:r>
            <w:rPr>
              <w:rFonts w:hint="default"/>
            </w:rPr>
            <w:t xml:space="preserve">7.2.1. </w:t>
          </w:r>
          <w:r>
            <w:t>日常监测与预警</w:t>
          </w:r>
          <w:r>
            <w:tab/>
          </w:r>
          <w:r>
            <w:fldChar w:fldCharType="begin"/>
          </w:r>
          <w:r>
            <w:instrText xml:space="preserve"> PAGEREF _Toc12376 \h </w:instrText>
          </w:r>
          <w:r>
            <w:fldChar w:fldCharType="separate"/>
          </w:r>
          <w:r>
            <w:t>14</w:t>
          </w:r>
          <w:r>
            <w:fldChar w:fldCharType="end"/>
          </w:r>
          <w:r>
            <w:fldChar w:fldCharType="end"/>
          </w:r>
        </w:p>
        <w:p w14:paraId="4F934FD0">
          <w:pPr>
            <w:pStyle w:val="13"/>
            <w:tabs>
              <w:tab w:val="right" w:leader="dot" w:pos="8485"/>
            </w:tabs>
          </w:pPr>
          <w:r>
            <w:fldChar w:fldCharType="begin"/>
          </w:r>
          <w:r>
            <w:instrText xml:space="preserve"> HYPERLINK \l _Toc31624 </w:instrText>
          </w:r>
          <w:r>
            <w:fldChar w:fldCharType="separate"/>
          </w:r>
          <w:r>
            <w:rPr>
              <w:rFonts w:hint="default"/>
            </w:rPr>
            <w:t xml:space="preserve">7.2.2. </w:t>
          </w:r>
          <w:r>
            <w:t>事件评估</w:t>
          </w:r>
          <w:r>
            <w:tab/>
          </w:r>
          <w:r>
            <w:fldChar w:fldCharType="begin"/>
          </w:r>
          <w:r>
            <w:instrText xml:space="preserve"> PAGEREF _Toc31624 \h </w:instrText>
          </w:r>
          <w:r>
            <w:fldChar w:fldCharType="separate"/>
          </w:r>
          <w:r>
            <w:t>15</w:t>
          </w:r>
          <w:r>
            <w:fldChar w:fldCharType="end"/>
          </w:r>
          <w:r>
            <w:fldChar w:fldCharType="end"/>
          </w:r>
        </w:p>
        <w:p w14:paraId="7DAC527B">
          <w:pPr>
            <w:pStyle w:val="17"/>
            <w:tabs>
              <w:tab w:val="right" w:leader="dot" w:pos="8485"/>
            </w:tabs>
          </w:pPr>
          <w:r>
            <w:fldChar w:fldCharType="begin"/>
          </w:r>
          <w:r>
            <w:instrText xml:space="preserve"> HYPERLINK \l _Toc19332 </w:instrText>
          </w:r>
          <w:r>
            <w:fldChar w:fldCharType="separate"/>
          </w:r>
          <w:r>
            <w:rPr>
              <w:rFonts w:hint="default"/>
            </w:rPr>
            <w:t xml:space="preserve">7.3. </w:t>
          </w:r>
          <w:r>
            <w:t>应急处置</w:t>
          </w:r>
          <w:r>
            <w:tab/>
          </w:r>
          <w:r>
            <w:fldChar w:fldCharType="begin"/>
          </w:r>
          <w:r>
            <w:instrText xml:space="preserve"> PAGEREF _Toc19332 \h </w:instrText>
          </w:r>
          <w:r>
            <w:fldChar w:fldCharType="separate"/>
          </w:r>
          <w:r>
            <w:t>15</w:t>
          </w:r>
          <w:r>
            <w:fldChar w:fldCharType="end"/>
          </w:r>
          <w:r>
            <w:fldChar w:fldCharType="end"/>
          </w:r>
        </w:p>
        <w:p w14:paraId="1FF43A5A">
          <w:pPr>
            <w:pStyle w:val="13"/>
            <w:tabs>
              <w:tab w:val="right" w:leader="dot" w:pos="8485"/>
            </w:tabs>
          </w:pPr>
          <w:r>
            <w:fldChar w:fldCharType="begin"/>
          </w:r>
          <w:r>
            <w:instrText xml:space="preserve"> HYPERLINK \l _Toc7707 </w:instrText>
          </w:r>
          <w:r>
            <w:fldChar w:fldCharType="separate"/>
          </w:r>
          <w:r>
            <w:rPr>
              <w:rFonts w:hint="default"/>
            </w:rPr>
            <w:t xml:space="preserve">7.3.1. </w:t>
          </w:r>
          <w:r>
            <w:t>排查与诊断</w:t>
          </w:r>
          <w:r>
            <w:tab/>
          </w:r>
          <w:r>
            <w:fldChar w:fldCharType="begin"/>
          </w:r>
          <w:r>
            <w:instrText xml:space="preserve"> PAGEREF _Toc7707 \h </w:instrText>
          </w:r>
          <w:r>
            <w:fldChar w:fldCharType="separate"/>
          </w:r>
          <w:r>
            <w:t>15</w:t>
          </w:r>
          <w:r>
            <w:fldChar w:fldCharType="end"/>
          </w:r>
          <w:r>
            <w:fldChar w:fldCharType="end"/>
          </w:r>
        </w:p>
        <w:p w14:paraId="34B95748">
          <w:pPr>
            <w:pStyle w:val="13"/>
            <w:tabs>
              <w:tab w:val="right" w:leader="dot" w:pos="8485"/>
            </w:tabs>
          </w:pPr>
          <w:r>
            <w:fldChar w:fldCharType="begin"/>
          </w:r>
          <w:r>
            <w:instrText xml:space="preserve"> HYPERLINK \l _Toc6433 </w:instrText>
          </w:r>
          <w:r>
            <w:fldChar w:fldCharType="separate"/>
          </w:r>
          <w:r>
            <w:rPr>
              <w:rFonts w:hint="default"/>
            </w:rPr>
            <w:t xml:space="preserve">7.3.2. </w:t>
          </w:r>
          <w:r>
            <w:t>处理与恢复</w:t>
          </w:r>
          <w:r>
            <w:tab/>
          </w:r>
          <w:r>
            <w:fldChar w:fldCharType="begin"/>
          </w:r>
          <w:r>
            <w:instrText xml:space="preserve"> PAGEREF _Toc6433 \h </w:instrText>
          </w:r>
          <w:r>
            <w:fldChar w:fldCharType="separate"/>
          </w:r>
          <w:r>
            <w:t>15</w:t>
          </w:r>
          <w:r>
            <w:fldChar w:fldCharType="end"/>
          </w:r>
          <w:r>
            <w:fldChar w:fldCharType="end"/>
          </w:r>
        </w:p>
        <w:p w14:paraId="0B1FC7CC">
          <w:pPr>
            <w:pStyle w:val="13"/>
            <w:tabs>
              <w:tab w:val="right" w:leader="dot" w:pos="8485"/>
            </w:tabs>
          </w:pPr>
          <w:r>
            <w:fldChar w:fldCharType="begin"/>
          </w:r>
          <w:r>
            <w:instrText xml:space="preserve"> HYPERLINK \l _Toc24667 </w:instrText>
          </w:r>
          <w:r>
            <w:fldChar w:fldCharType="separate"/>
          </w:r>
          <w:r>
            <w:rPr>
              <w:rFonts w:hint="default"/>
            </w:rPr>
            <w:t xml:space="preserve">7.3.3. </w:t>
          </w:r>
          <w:r>
            <w:t>事件升级</w:t>
          </w:r>
          <w:r>
            <w:tab/>
          </w:r>
          <w:r>
            <w:fldChar w:fldCharType="begin"/>
          </w:r>
          <w:r>
            <w:instrText xml:space="preserve"> PAGEREF _Toc24667 \h </w:instrText>
          </w:r>
          <w:r>
            <w:fldChar w:fldCharType="separate"/>
          </w:r>
          <w:r>
            <w:t>16</w:t>
          </w:r>
          <w:r>
            <w:fldChar w:fldCharType="end"/>
          </w:r>
          <w:r>
            <w:fldChar w:fldCharType="end"/>
          </w:r>
        </w:p>
        <w:p w14:paraId="4305BBAE">
          <w:pPr>
            <w:pStyle w:val="13"/>
            <w:tabs>
              <w:tab w:val="right" w:leader="dot" w:pos="8485"/>
            </w:tabs>
          </w:pPr>
          <w:r>
            <w:fldChar w:fldCharType="begin"/>
          </w:r>
          <w:r>
            <w:instrText xml:space="preserve"> HYPERLINK \l _Toc28606 </w:instrText>
          </w:r>
          <w:r>
            <w:fldChar w:fldCharType="separate"/>
          </w:r>
          <w:r>
            <w:rPr>
              <w:rFonts w:hint="default"/>
            </w:rPr>
            <w:t xml:space="preserve">7.3.4. </w:t>
          </w:r>
          <w:r>
            <w:t>信息通报</w:t>
          </w:r>
          <w:r>
            <w:tab/>
          </w:r>
          <w:r>
            <w:fldChar w:fldCharType="begin"/>
          </w:r>
          <w:r>
            <w:instrText xml:space="preserve"> PAGEREF _Toc28606 \h </w:instrText>
          </w:r>
          <w:r>
            <w:fldChar w:fldCharType="separate"/>
          </w:r>
          <w:r>
            <w:t>16</w:t>
          </w:r>
          <w:r>
            <w:fldChar w:fldCharType="end"/>
          </w:r>
          <w:r>
            <w:fldChar w:fldCharType="end"/>
          </w:r>
        </w:p>
        <w:p w14:paraId="41D3DA95">
          <w:pPr>
            <w:pStyle w:val="13"/>
            <w:tabs>
              <w:tab w:val="right" w:leader="dot" w:pos="8485"/>
            </w:tabs>
          </w:pPr>
          <w:r>
            <w:fldChar w:fldCharType="begin"/>
          </w:r>
          <w:r>
            <w:instrText xml:space="preserve"> HYPERLINK \l _Toc10389 </w:instrText>
          </w:r>
          <w:r>
            <w:fldChar w:fldCharType="separate"/>
          </w:r>
          <w:r>
            <w:rPr>
              <w:rFonts w:hint="default"/>
            </w:rPr>
            <w:t xml:space="preserve">7.3.5. </w:t>
          </w:r>
          <w:r>
            <w:t>持续服务</w:t>
          </w:r>
          <w:r>
            <w:tab/>
          </w:r>
          <w:r>
            <w:fldChar w:fldCharType="begin"/>
          </w:r>
          <w:r>
            <w:instrText xml:space="preserve"> PAGEREF _Toc10389 \h </w:instrText>
          </w:r>
          <w:r>
            <w:fldChar w:fldCharType="separate"/>
          </w:r>
          <w:r>
            <w:t>16</w:t>
          </w:r>
          <w:r>
            <w:fldChar w:fldCharType="end"/>
          </w:r>
          <w:r>
            <w:fldChar w:fldCharType="end"/>
          </w:r>
        </w:p>
        <w:p w14:paraId="5ADC048F">
          <w:pPr>
            <w:pStyle w:val="13"/>
            <w:tabs>
              <w:tab w:val="right" w:leader="dot" w:pos="8485"/>
            </w:tabs>
          </w:pPr>
          <w:r>
            <w:fldChar w:fldCharType="begin"/>
          </w:r>
          <w:r>
            <w:instrText xml:space="preserve"> HYPERLINK \l _Toc18046 </w:instrText>
          </w:r>
          <w:r>
            <w:fldChar w:fldCharType="separate"/>
          </w:r>
          <w:r>
            <w:rPr>
              <w:rFonts w:hint="default"/>
            </w:rPr>
            <w:t xml:space="preserve">7.3.6. </w:t>
          </w:r>
          <w:r>
            <w:t>事件关闭</w:t>
          </w:r>
          <w:r>
            <w:tab/>
          </w:r>
          <w:r>
            <w:fldChar w:fldCharType="begin"/>
          </w:r>
          <w:r>
            <w:instrText xml:space="preserve"> PAGEREF _Toc18046 \h </w:instrText>
          </w:r>
          <w:r>
            <w:fldChar w:fldCharType="separate"/>
          </w:r>
          <w:r>
            <w:t>16</w:t>
          </w:r>
          <w:r>
            <w:fldChar w:fldCharType="end"/>
          </w:r>
          <w:r>
            <w:fldChar w:fldCharType="end"/>
          </w:r>
        </w:p>
        <w:p w14:paraId="0F6CF6A1">
          <w:pPr>
            <w:pStyle w:val="16"/>
            <w:tabs>
              <w:tab w:val="right" w:leader="dot" w:pos="8485"/>
            </w:tabs>
          </w:pPr>
          <w:r>
            <w:fldChar w:fldCharType="begin"/>
          </w:r>
          <w:r>
            <w:instrText xml:space="preserve"> HYPERLINK \l _Toc23336 </w:instrText>
          </w:r>
          <w:r>
            <w:fldChar w:fldCharType="separate"/>
          </w:r>
          <w:r>
            <w:rPr>
              <w:rFonts w:hint="default"/>
            </w:rPr>
            <w:t xml:space="preserve">8. </w:t>
          </w:r>
          <w:r>
            <w:t>人员</w:t>
          </w:r>
          <w:r>
            <w:tab/>
          </w:r>
          <w:r>
            <w:fldChar w:fldCharType="begin"/>
          </w:r>
          <w:r>
            <w:instrText xml:space="preserve"> PAGEREF _Toc23336 \h </w:instrText>
          </w:r>
          <w:r>
            <w:fldChar w:fldCharType="separate"/>
          </w:r>
          <w:r>
            <w:t>16</w:t>
          </w:r>
          <w:r>
            <w:fldChar w:fldCharType="end"/>
          </w:r>
          <w:r>
            <w:fldChar w:fldCharType="end"/>
          </w:r>
        </w:p>
        <w:p w14:paraId="2091E37F">
          <w:pPr>
            <w:pStyle w:val="17"/>
            <w:tabs>
              <w:tab w:val="right" w:leader="dot" w:pos="8485"/>
            </w:tabs>
          </w:pPr>
          <w:r>
            <w:fldChar w:fldCharType="begin"/>
          </w:r>
          <w:r>
            <w:instrText xml:space="preserve"> HYPERLINK \l _Toc15081 </w:instrText>
          </w:r>
          <w:r>
            <w:fldChar w:fldCharType="separate"/>
          </w:r>
          <w:r>
            <w:rPr>
              <w:rFonts w:hint="default"/>
            </w:rPr>
            <w:t xml:space="preserve">8.1. </w:t>
          </w:r>
          <w:r>
            <w:t>人员管理</w:t>
          </w:r>
          <w:r>
            <w:tab/>
          </w:r>
          <w:r>
            <w:fldChar w:fldCharType="begin"/>
          </w:r>
          <w:r>
            <w:instrText xml:space="preserve"> PAGEREF _Toc15081 \h </w:instrText>
          </w:r>
          <w:r>
            <w:fldChar w:fldCharType="separate"/>
          </w:r>
          <w:r>
            <w:t>16</w:t>
          </w:r>
          <w:r>
            <w:fldChar w:fldCharType="end"/>
          </w:r>
          <w:r>
            <w:fldChar w:fldCharType="end"/>
          </w:r>
        </w:p>
        <w:p w14:paraId="608D988F">
          <w:pPr>
            <w:pStyle w:val="17"/>
            <w:tabs>
              <w:tab w:val="right" w:leader="dot" w:pos="8485"/>
            </w:tabs>
          </w:pPr>
          <w:r>
            <w:fldChar w:fldCharType="begin"/>
          </w:r>
          <w:r>
            <w:instrText xml:space="preserve"> HYPERLINK \l _Toc18329 </w:instrText>
          </w:r>
          <w:r>
            <w:fldChar w:fldCharType="separate"/>
          </w:r>
          <w:r>
            <w:rPr>
              <w:rFonts w:hint="default"/>
            </w:rPr>
            <w:t xml:space="preserve">8.2. </w:t>
          </w:r>
          <w:r>
            <w:t>岗位结构</w:t>
          </w:r>
          <w:r>
            <w:tab/>
          </w:r>
          <w:r>
            <w:fldChar w:fldCharType="begin"/>
          </w:r>
          <w:r>
            <w:instrText xml:space="preserve"> PAGEREF _Toc18329 \h </w:instrText>
          </w:r>
          <w:r>
            <w:fldChar w:fldCharType="separate"/>
          </w:r>
          <w:r>
            <w:t>17</w:t>
          </w:r>
          <w:r>
            <w:fldChar w:fldCharType="end"/>
          </w:r>
          <w:r>
            <w:fldChar w:fldCharType="end"/>
          </w:r>
        </w:p>
        <w:p w14:paraId="22DBE784">
          <w:pPr>
            <w:pStyle w:val="17"/>
            <w:tabs>
              <w:tab w:val="right" w:leader="dot" w:pos="8485"/>
            </w:tabs>
          </w:pPr>
          <w:r>
            <w:fldChar w:fldCharType="begin"/>
          </w:r>
          <w:r>
            <w:instrText xml:space="preserve"> HYPERLINK \l _Toc20003 </w:instrText>
          </w:r>
          <w:r>
            <w:fldChar w:fldCharType="separate"/>
          </w:r>
          <w:r>
            <w:rPr>
              <w:rFonts w:hint="default"/>
            </w:rPr>
            <w:t xml:space="preserve">8.3. </w:t>
          </w:r>
          <w:r>
            <w:t>知识</w:t>
          </w:r>
          <w:r>
            <w:tab/>
          </w:r>
          <w:r>
            <w:fldChar w:fldCharType="begin"/>
          </w:r>
          <w:r>
            <w:instrText xml:space="preserve"> PAGEREF _Toc20003 \h </w:instrText>
          </w:r>
          <w:r>
            <w:fldChar w:fldCharType="separate"/>
          </w:r>
          <w:r>
            <w:t>17</w:t>
          </w:r>
          <w:r>
            <w:fldChar w:fldCharType="end"/>
          </w:r>
          <w:r>
            <w:fldChar w:fldCharType="end"/>
          </w:r>
        </w:p>
        <w:p w14:paraId="5D84B3DB">
          <w:pPr>
            <w:pStyle w:val="17"/>
            <w:tabs>
              <w:tab w:val="right" w:leader="dot" w:pos="8485"/>
            </w:tabs>
          </w:pPr>
          <w:r>
            <w:fldChar w:fldCharType="begin"/>
          </w:r>
          <w:r>
            <w:instrText xml:space="preserve"> HYPERLINK \l _Toc25442 </w:instrText>
          </w:r>
          <w:r>
            <w:fldChar w:fldCharType="separate"/>
          </w:r>
          <w:r>
            <w:rPr>
              <w:rFonts w:hint="default"/>
            </w:rPr>
            <w:t xml:space="preserve">8.4. </w:t>
          </w:r>
          <w:r>
            <w:t>技能</w:t>
          </w:r>
          <w:r>
            <w:tab/>
          </w:r>
          <w:r>
            <w:fldChar w:fldCharType="begin"/>
          </w:r>
          <w:r>
            <w:instrText xml:space="preserve"> PAGEREF _Toc25442 \h </w:instrText>
          </w:r>
          <w:r>
            <w:fldChar w:fldCharType="separate"/>
          </w:r>
          <w:r>
            <w:t>17</w:t>
          </w:r>
          <w:r>
            <w:fldChar w:fldCharType="end"/>
          </w:r>
          <w:r>
            <w:fldChar w:fldCharType="end"/>
          </w:r>
        </w:p>
        <w:p w14:paraId="29D3F108">
          <w:pPr>
            <w:pStyle w:val="16"/>
            <w:tabs>
              <w:tab w:val="right" w:leader="dot" w:pos="8485"/>
            </w:tabs>
          </w:pPr>
          <w:r>
            <w:fldChar w:fldCharType="begin"/>
          </w:r>
          <w:r>
            <w:instrText xml:space="preserve"> HYPERLINK \l _Toc23808 </w:instrText>
          </w:r>
          <w:r>
            <w:fldChar w:fldCharType="separate"/>
          </w:r>
          <w:r>
            <w:rPr>
              <w:rFonts w:hint="default"/>
            </w:rPr>
            <w:t xml:space="preserve">9. </w:t>
          </w:r>
          <w:r>
            <w:t>资源</w:t>
          </w:r>
          <w:r>
            <w:tab/>
          </w:r>
          <w:r>
            <w:fldChar w:fldCharType="begin"/>
          </w:r>
          <w:r>
            <w:instrText xml:space="preserve"> PAGEREF _Toc23808 \h </w:instrText>
          </w:r>
          <w:r>
            <w:fldChar w:fldCharType="separate"/>
          </w:r>
          <w:r>
            <w:t>18</w:t>
          </w:r>
          <w:r>
            <w:fldChar w:fldCharType="end"/>
          </w:r>
          <w:r>
            <w:fldChar w:fldCharType="end"/>
          </w:r>
        </w:p>
        <w:p w14:paraId="50A306D2">
          <w:pPr>
            <w:pStyle w:val="17"/>
            <w:tabs>
              <w:tab w:val="right" w:leader="dot" w:pos="8485"/>
            </w:tabs>
          </w:pPr>
          <w:r>
            <w:fldChar w:fldCharType="begin"/>
          </w:r>
          <w:r>
            <w:instrText xml:space="preserve"> HYPERLINK \l _Toc26693 </w:instrText>
          </w:r>
          <w:r>
            <w:fldChar w:fldCharType="separate"/>
          </w:r>
          <w:r>
            <w:rPr>
              <w:rFonts w:hint="default"/>
            </w:rPr>
            <w:t xml:space="preserve">9.1. </w:t>
          </w:r>
          <w:r>
            <w:t>运行维护工具</w:t>
          </w:r>
          <w:r>
            <w:tab/>
          </w:r>
          <w:r>
            <w:fldChar w:fldCharType="begin"/>
          </w:r>
          <w:r>
            <w:instrText xml:space="preserve"> PAGEREF _Toc26693 \h </w:instrText>
          </w:r>
          <w:r>
            <w:fldChar w:fldCharType="separate"/>
          </w:r>
          <w:r>
            <w:t>18</w:t>
          </w:r>
          <w:r>
            <w:fldChar w:fldCharType="end"/>
          </w:r>
          <w:r>
            <w:fldChar w:fldCharType="end"/>
          </w:r>
        </w:p>
        <w:p w14:paraId="61D82BF7">
          <w:pPr>
            <w:pStyle w:val="17"/>
            <w:tabs>
              <w:tab w:val="right" w:leader="dot" w:pos="8485"/>
            </w:tabs>
          </w:pPr>
          <w:r>
            <w:fldChar w:fldCharType="begin"/>
          </w:r>
          <w:r>
            <w:instrText xml:space="preserve"> HYPERLINK \l _Toc12684 </w:instrText>
          </w:r>
          <w:r>
            <w:fldChar w:fldCharType="separate"/>
          </w:r>
          <w:r>
            <w:rPr>
              <w:rFonts w:hint="default"/>
            </w:rPr>
            <w:t xml:space="preserve">9.2. </w:t>
          </w:r>
          <w:r>
            <w:t>服务台</w:t>
          </w:r>
          <w:r>
            <w:tab/>
          </w:r>
          <w:r>
            <w:fldChar w:fldCharType="begin"/>
          </w:r>
          <w:r>
            <w:instrText xml:space="preserve"> PAGEREF _Toc12684 \h </w:instrText>
          </w:r>
          <w:r>
            <w:fldChar w:fldCharType="separate"/>
          </w:r>
          <w:r>
            <w:t>18</w:t>
          </w:r>
          <w:r>
            <w:fldChar w:fldCharType="end"/>
          </w:r>
          <w:r>
            <w:fldChar w:fldCharType="end"/>
          </w:r>
        </w:p>
        <w:p w14:paraId="15635FDC">
          <w:pPr>
            <w:pStyle w:val="17"/>
            <w:tabs>
              <w:tab w:val="right" w:leader="dot" w:pos="8485"/>
            </w:tabs>
          </w:pPr>
          <w:r>
            <w:fldChar w:fldCharType="begin"/>
          </w:r>
          <w:r>
            <w:instrText xml:space="preserve"> HYPERLINK \l _Toc23076 </w:instrText>
          </w:r>
          <w:r>
            <w:fldChar w:fldCharType="separate"/>
          </w:r>
          <w:r>
            <w:rPr>
              <w:rFonts w:hint="default"/>
              <w:lang w:val="en-US" w:eastAsia="zh-CN"/>
            </w:rPr>
            <w:t xml:space="preserve">9.3. </w:t>
          </w:r>
          <w:r>
            <w:rPr>
              <w:rFonts w:hint="eastAsia"/>
              <w:lang w:val="en-US" w:eastAsia="zh-CN"/>
            </w:rPr>
            <w:t>服务知识</w:t>
          </w:r>
          <w:r>
            <w:tab/>
          </w:r>
          <w:r>
            <w:fldChar w:fldCharType="begin"/>
          </w:r>
          <w:r>
            <w:instrText xml:space="preserve"> PAGEREF _Toc23076 \h </w:instrText>
          </w:r>
          <w:r>
            <w:fldChar w:fldCharType="separate"/>
          </w:r>
          <w:r>
            <w:t>18</w:t>
          </w:r>
          <w:r>
            <w:fldChar w:fldCharType="end"/>
          </w:r>
          <w:r>
            <w:fldChar w:fldCharType="end"/>
          </w:r>
        </w:p>
        <w:p w14:paraId="4FD8A877">
          <w:pPr>
            <w:pStyle w:val="17"/>
            <w:tabs>
              <w:tab w:val="right" w:leader="dot" w:pos="8485"/>
            </w:tabs>
          </w:pPr>
          <w:r>
            <w:fldChar w:fldCharType="begin"/>
          </w:r>
          <w:r>
            <w:instrText xml:space="preserve"> HYPERLINK \l _Toc16897 </w:instrText>
          </w:r>
          <w:r>
            <w:fldChar w:fldCharType="separate"/>
          </w:r>
          <w:r>
            <w:rPr>
              <w:rFonts w:hint="default"/>
            </w:rPr>
            <w:t xml:space="preserve">9.4. </w:t>
          </w:r>
          <w:r>
            <w:t>备件库</w:t>
          </w:r>
          <w:r>
            <w:tab/>
          </w:r>
          <w:r>
            <w:fldChar w:fldCharType="begin"/>
          </w:r>
          <w:r>
            <w:instrText xml:space="preserve"> PAGEREF _Toc16897 \h </w:instrText>
          </w:r>
          <w:r>
            <w:fldChar w:fldCharType="separate"/>
          </w:r>
          <w:r>
            <w:t>18</w:t>
          </w:r>
          <w:r>
            <w:fldChar w:fldCharType="end"/>
          </w:r>
          <w:r>
            <w:fldChar w:fldCharType="end"/>
          </w:r>
        </w:p>
        <w:p w14:paraId="69E2D859">
          <w:pPr>
            <w:pStyle w:val="17"/>
            <w:tabs>
              <w:tab w:val="right" w:leader="dot" w:pos="8485"/>
            </w:tabs>
          </w:pPr>
          <w:r>
            <w:fldChar w:fldCharType="begin"/>
          </w:r>
          <w:r>
            <w:instrText xml:space="preserve"> HYPERLINK \l _Toc22703 </w:instrText>
          </w:r>
          <w:r>
            <w:fldChar w:fldCharType="separate"/>
          </w:r>
          <w:r>
            <w:rPr>
              <w:rFonts w:hint="default"/>
              <w:lang w:val="en-US" w:eastAsia="zh-CN"/>
            </w:rPr>
            <w:t xml:space="preserve">9.5. </w:t>
          </w:r>
          <w:r>
            <w:rPr>
              <w:rFonts w:hint="eastAsia"/>
              <w:lang w:val="en-US" w:eastAsia="zh-CN"/>
            </w:rPr>
            <w:t>最终软件库</w:t>
          </w:r>
          <w:r>
            <w:tab/>
          </w:r>
          <w:r>
            <w:fldChar w:fldCharType="begin"/>
          </w:r>
          <w:r>
            <w:instrText xml:space="preserve"> PAGEREF _Toc22703 \h </w:instrText>
          </w:r>
          <w:r>
            <w:fldChar w:fldCharType="separate"/>
          </w:r>
          <w:r>
            <w:t>19</w:t>
          </w:r>
          <w:r>
            <w:fldChar w:fldCharType="end"/>
          </w:r>
          <w:r>
            <w:fldChar w:fldCharType="end"/>
          </w:r>
        </w:p>
        <w:p w14:paraId="1302060A">
          <w:pPr>
            <w:pStyle w:val="17"/>
            <w:tabs>
              <w:tab w:val="right" w:leader="dot" w:pos="8485"/>
            </w:tabs>
          </w:pPr>
          <w:r>
            <w:fldChar w:fldCharType="begin"/>
          </w:r>
          <w:r>
            <w:instrText xml:space="preserve"> HYPERLINK \l _Toc4162 </w:instrText>
          </w:r>
          <w:r>
            <w:fldChar w:fldCharType="separate"/>
          </w:r>
          <w:r>
            <w:rPr>
              <w:rFonts w:hint="default"/>
            </w:rPr>
            <w:t xml:space="preserve">9.6. </w:t>
          </w:r>
          <w:r>
            <w:rPr>
              <w:rFonts w:hint="eastAsia"/>
              <w:lang w:val="en-US" w:eastAsia="zh-CN"/>
            </w:rPr>
            <w:t>服务数据</w:t>
          </w:r>
          <w:r>
            <w:tab/>
          </w:r>
          <w:r>
            <w:fldChar w:fldCharType="begin"/>
          </w:r>
          <w:r>
            <w:instrText xml:space="preserve"> PAGEREF _Toc4162 \h </w:instrText>
          </w:r>
          <w:r>
            <w:fldChar w:fldCharType="separate"/>
          </w:r>
          <w:r>
            <w:t>19</w:t>
          </w:r>
          <w:r>
            <w:fldChar w:fldCharType="end"/>
          </w:r>
          <w:r>
            <w:fldChar w:fldCharType="end"/>
          </w:r>
        </w:p>
        <w:p w14:paraId="2766280B">
          <w:pPr>
            <w:pStyle w:val="16"/>
            <w:tabs>
              <w:tab w:val="right" w:leader="dot" w:pos="8485"/>
            </w:tabs>
          </w:pPr>
          <w:r>
            <w:fldChar w:fldCharType="begin"/>
          </w:r>
          <w:r>
            <w:instrText xml:space="preserve"> HYPERLINK \l _Toc871 </w:instrText>
          </w:r>
          <w:r>
            <w:fldChar w:fldCharType="separate"/>
          </w:r>
          <w:r>
            <w:rPr>
              <w:rFonts w:hint="default"/>
            </w:rPr>
            <w:t xml:space="preserve">10. </w:t>
          </w:r>
          <w:r>
            <w:t>技术</w:t>
          </w:r>
          <w:r>
            <w:tab/>
          </w:r>
          <w:r>
            <w:fldChar w:fldCharType="begin"/>
          </w:r>
          <w:r>
            <w:instrText xml:space="preserve"> PAGEREF _Toc871 \h </w:instrText>
          </w:r>
          <w:r>
            <w:fldChar w:fldCharType="separate"/>
          </w:r>
          <w:r>
            <w:t>19</w:t>
          </w:r>
          <w:r>
            <w:fldChar w:fldCharType="end"/>
          </w:r>
          <w:r>
            <w:fldChar w:fldCharType="end"/>
          </w:r>
        </w:p>
        <w:p w14:paraId="7FF86561">
          <w:pPr>
            <w:pStyle w:val="17"/>
            <w:tabs>
              <w:tab w:val="right" w:leader="dot" w:pos="8485"/>
            </w:tabs>
          </w:pPr>
          <w:r>
            <w:fldChar w:fldCharType="begin"/>
          </w:r>
          <w:r>
            <w:instrText xml:space="preserve"> HYPERLINK \l _Toc30287 </w:instrText>
          </w:r>
          <w:r>
            <w:fldChar w:fldCharType="separate"/>
          </w:r>
          <w:r>
            <w:rPr>
              <w:rFonts w:hint="default"/>
            </w:rPr>
            <w:t xml:space="preserve">10.1. </w:t>
          </w:r>
          <w:r>
            <w:t>技术研发</w:t>
          </w:r>
          <w:r>
            <w:tab/>
          </w:r>
          <w:r>
            <w:fldChar w:fldCharType="begin"/>
          </w:r>
          <w:r>
            <w:instrText xml:space="preserve"> PAGEREF _Toc30287 \h </w:instrText>
          </w:r>
          <w:r>
            <w:fldChar w:fldCharType="separate"/>
          </w:r>
          <w:r>
            <w:t>19</w:t>
          </w:r>
          <w:r>
            <w:fldChar w:fldCharType="end"/>
          </w:r>
          <w:r>
            <w:fldChar w:fldCharType="end"/>
          </w:r>
        </w:p>
        <w:p w14:paraId="67EDA52B">
          <w:pPr>
            <w:pStyle w:val="17"/>
            <w:tabs>
              <w:tab w:val="right" w:leader="dot" w:pos="8485"/>
            </w:tabs>
          </w:pPr>
          <w:r>
            <w:fldChar w:fldCharType="begin"/>
          </w:r>
          <w:r>
            <w:instrText xml:space="preserve"> HYPERLINK \l _Toc10945 </w:instrText>
          </w:r>
          <w:r>
            <w:fldChar w:fldCharType="separate"/>
          </w:r>
          <w:r>
            <w:rPr>
              <w:rFonts w:hint="default"/>
            </w:rPr>
            <w:t xml:space="preserve">10.2. </w:t>
          </w:r>
          <w:r>
            <w:t>与发现问题、解决问题相关的技术</w:t>
          </w:r>
          <w:r>
            <w:tab/>
          </w:r>
          <w:r>
            <w:fldChar w:fldCharType="begin"/>
          </w:r>
          <w:r>
            <w:instrText xml:space="preserve"> PAGEREF _Toc10945 \h </w:instrText>
          </w:r>
          <w:r>
            <w:fldChar w:fldCharType="separate"/>
          </w:r>
          <w:r>
            <w:t>19</w:t>
          </w:r>
          <w:r>
            <w:fldChar w:fldCharType="end"/>
          </w:r>
          <w:r>
            <w:fldChar w:fldCharType="end"/>
          </w:r>
        </w:p>
        <w:p w14:paraId="4325ACBB">
          <w:pPr>
            <w:pStyle w:val="16"/>
            <w:tabs>
              <w:tab w:val="right" w:leader="dot" w:pos="8485"/>
            </w:tabs>
          </w:pPr>
          <w:r>
            <w:fldChar w:fldCharType="begin"/>
          </w:r>
          <w:r>
            <w:instrText xml:space="preserve"> HYPERLINK \l _Toc20314 </w:instrText>
          </w:r>
          <w:r>
            <w:fldChar w:fldCharType="separate"/>
          </w:r>
          <w:r>
            <w:rPr>
              <w:rFonts w:hint="default"/>
            </w:rPr>
            <w:t xml:space="preserve">11. </w:t>
          </w:r>
          <w:r>
            <w:t>过程</w:t>
          </w:r>
          <w:r>
            <w:tab/>
          </w:r>
          <w:r>
            <w:fldChar w:fldCharType="begin"/>
          </w:r>
          <w:r>
            <w:instrText xml:space="preserve"> PAGEREF _Toc20314 \h </w:instrText>
          </w:r>
          <w:r>
            <w:fldChar w:fldCharType="separate"/>
          </w:r>
          <w:r>
            <w:t>20</w:t>
          </w:r>
          <w:r>
            <w:fldChar w:fldCharType="end"/>
          </w:r>
          <w:r>
            <w:fldChar w:fldCharType="end"/>
          </w:r>
        </w:p>
        <w:p w14:paraId="2D8DAB76">
          <w:pPr>
            <w:pStyle w:val="17"/>
            <w:tabs>
              <w:tab w:val="right" w:leader="dot" w:pos="8485"/>
            </w:tabs>
          </w:pPr>
          <w:r>
            <w:fldChar w:fldCharType="begin"/>
          </w:r>
          <w:r>
            <w:instrText xml:space="preserve"> HYPERLINK \l _Toc8055 </w:instrText>
          </w:r>
          <w:r>
            <w:fldChar w:fldCharType="separate"/>
          </w:r>
          <w:r>
            <w:rPr>
              <w:rFonts w:hint="default"/>
              <w:lang w:val="en-US" w:eastAsia="zh-CN"/>
            </w:rPr>
            <w:t xml:space="preserve">11.1. </w:t>
          </w:r>
          <w:r>
            <w:rPr>
              <w:rFonts w:hint="eastAsia"/>
              <w:lang w:val="en-US" w:eastAsia="zh-CN"/>
            </w:rPr>
            <w:t>过程框架设计</w:t>
          </w:r>
          <w:r>
            <w:tab/>
          </w:r>
          <w:r>
            <w:fldChar w:fldCharType="begin"/>
          </w:r>
          <w:r>
            <w:instrText xml:space="preserve"> PAGEREF _Toc8055 \h </w:instrText>
          </w:r>
          <w:r>
            <w:fldChar w:fldCharType="separate"/>
          </w:r>
          <w:r>
            <w:t>20</w:t>
          </w:r>
          <w:r>
            <w:fldChar w:fldCharType="end"/>
          </w:r>
          <w:r>
            <w:fldChar w:fldCharType="end"/>
          </w:r>
        </w:p>
        <w:p w14:paraId="34CABBBF">
          <w:pPr>
            <w:pStyle w:val="17"/>
            <w:tabs>
              <w:tab w:val="right" w:leader="dot" w:pos="8485"/>
            </w:tabs>
          </w:pPr>
          <w:r>
            <w:fldChar w:fldCharType="begin"/>
          </w:r>
          <w:r>
            <w:instrText xml:space="preserve"> HYPERLINK \l _Toc10837 </w:instrText>
          </w:r>
          <w:r>
            <w:fldChar w:fldCharType="separate"/>
          </w:r>
          <w:r>
            <w:rPr>
              <w:rFonts w:hint="default"/>
            </w:rPr>
            <w:t xml:space="preserve">11.2. </w:t>
          </w:r>
          <w:r>
            <w:t>服务级别管理</w:t>
          </w:r>
          <w:r>
            <w:tab/>
          </w:r>
          <w:r>
            <w:fldChar w:fldCharType="begin"/>
          </w:r>
          <w:r>
            <w:instrText xml:space="preserve"> PAGEREF _Toc10837 \h </w:instrText>
          </w:r>
          <w:r>
            <w:fldChar w:fldCharType="separate"/>
          </w:r>
          <w:r>
            <w:t>20</w:t>
          </w:r>
          <w:r>
            <w:fldChar w:fldCharType="end"/>
          </w:r>
          <w:r>
            <w:fldChar w:fldCharType="end"/>
          </w:r>
        </w:p>
        <w:p w14:paraId="1FB876B4">
          <w:pPr>
            <w:pStyle w:val="17"/>
            <w:tabs>
              <w:tab w:val="right" w:leader="dot" w:pos="8485"/>
            </w:tabs>
          </w:pPr>
          <w:r>
            <w:fldChar w:fldCharType="begin"/>
          </w:r>
          <w:r>
            <w:instrText xml:space="preserve"> HYPERLINK \l _Toc14663 </w:instrText>
          </w:r>
          <w:r>
            <w:fldChar w:fldCharType="separate"/>
          </w:r>
          <w:r>
            <w:rPr>
              <w:rFonts w:hint="default"/>
            </w:rPr>
            <w:t xml:space="preserve">11.3. </w:t>
          </w:r>
          <w:r>
            <w:t>服务报告</w:t>
          </w:r>
          <w:r>
            <w:tab/>
          </w:r>
          <w:r>
            <w:fldChar w:fldCharType="begin"/>
          </w:r>
          <w:r>
            <w:instrText xml:space="preserve"> PAGEREF _Toc14663 \h </w:instrText>
          </w:r>
          <w:r>
            <w:fldChar w:fldCharType="separate"/>
          </w:r>
          <w:r>
            <w:t>20</w:t>
          </w:r>
          <w:r>
            <w:fldChar w:fldCharType="end"/>
          </w:r>
          <w:r>
            <w:fldChar w:fldCharType="end"/>
          </w:r>
        </w:p>
        <w:p w14:paraId="46CA77A7">
          <w:pPr>
            <w:pStyle w:val="17"/>
            <w:tabs>
              <w:tab w:val="right" w:leader="dot" w:pos="8485"/>
            </w:tabs>
          </w:pPr>
          <w:r>
            <w:fldChar w:fldCharType="begin"/>
          </w:r>
          <w:r>
            <w:instrText xml:space="preserve"> HYPERLINK \l _Toc23102 </w:instrText>
          </w:r>
          <w:r>
            <w:fldChar w:fldCharType="separate"/>
          </w:r>
          <w:r>
            <w:rPr>
              <w:rFonts w:hint="default"/>
            </w:rPr>
            <w:t xml:space="preserve">11.4. </w:t>
          </w:r>
          <w:r>
            <w:t>事件管理</w:t>
          </w:r>
          <w:r>
            <w:tab/>
          </w:r>
          <w:r>
            <w:fldChar w:fldCharType="begin"/>
          </w:r>
          <w:r>
            <w:instrText xml:space="preserve"> PAGEREF _Toc23102 \h </w:instrText>
          </w:r>
          <w:r>
            <w:fldChar w:fldCharType="separate"/>
          </w:r>
          <w:r>
            <w:t>21</w:t>
          </w:r>
          <w:r>
            <w:fldChar w:fldCharType="end"/>
          </w:r>
          <w:r>
            <w:fldChar w:fldCharType="end"/>
          </w:r>
        </w:p>
        <w:p w14:paraId="4A2476A0">
          <w:pPr>
            <w:pStyle w:val="17"/>
            <w:tabs>
              <w:tab w:val="right" w:leader="dot" w:pos="8485"/>
            </w:tabs>
          </w:pPr>
          <w:r>
            <w:fldChar w:fldCharType="begin"/>
          </w:r>
          <w:r>
            <w:instrText xml:space="preserve"> HYPERLINK \l _Toc14504 </w:instrText>
          </w:r>
          <w:r>
            <w:fldChar w:fldCharType="separate"/>
          </w:r>
          <w:r>
            <w:rPr>
              <w:rFonts w:hint="default"/>
            </w:rPr>
            <w:t xml:space="preserve">11.5. </w:t>
          </w:r>
          <w:r>
            <w:t>问题管理</w:t>
          </w:r>
          <w:r>
            <w:tab/>
          </w:r>
          <w:r>
            <w:fldChar w:fldCharType="begin"/>
          </w:r>
          <w:r>
            <w:instrText xml:space="preserve"> PAGEREF _Toc14504 \h </w:instrText>
          </w:r>
          <w:r>
            <w:fldChar w:fldCharType="separate"/>
          </w:r>
          <w:r>
            <w:t>21</w:t>
          </w:r>
          <w:r>
            <w:fldChar w:fldCharType="end"/>
          </w:r>
          <w:r>
            <w:fldChar w:fldCharType="end"/>
          </w:r>
        </w:p>
        <w:p w14:paraId="306F9C83">
          <w:pPr>
            <w:pStyle w:val="17"/>
            <w:tabs>
              <w:tab w:val="right" w:leader="dot" w:pos="8485"/>
            </w:tabs>
          </w:pPr>
          <w:r>
            <w:fldChar w:fldCharType="begin"/>
          </w:r>
          <w:r>
            <w:instrText xml:space="preserve"> HYPERLINK \l _Toc6509 </w:instrText>
          </w:r>
          <w:r>
            <w:fldChar w:fldCharType="separate"/>
          </w:r>
          <w:r>
            <w:rPr>
              <w:rFonts w:hint="default"/>
            </w:rPr>
            <w:t xml:space="preserve">11.6. </w:t>
          </w:r>
          <w:r>
            <w:t>变更管理</w:t>
          </w:r>
          <w:r>
            <w:tab/>
          </w:r>
          <w:r>
            <w:fldChar w:fldCharType="begin"/>
          </w:r>
          <w:r>
            <w:instrText xml:space="preserve"> PAGEREF _Toc6509 \h </w:instrText>
          </w:r>
          <w:r>
            <w:fldChar w:fldCharType="separate"/>
          </w:r>
          <w:r>
            <w:t>22</w:t>
          </w:r>
          <w:r>
            <w:fldChar w:fldCharType="end"/>
          </w:r>
          <w:r>
            <w:fldChar w:fldCharType="end"/>
          </w:r>
        </w:p>
        <w:p w14:paraId="720B136E">
          <w:pPr>
            <w:pStyle w:val="17"/>
            <w:tabs>
              <w:tab w:val="right" w:leader="dot" w:pos="8485"/>
            </w:tabs>
          </w:pPr>
          <w:r>
            <w:fldChar w:fldCharType="begin"/>
          </w:r>
          <w:r>
            <w:instrText xml:space="preserve"> HYPERLINK \l _Toc838 </w:instrText>
          </w:r>
          <w:r>
            <w:fldChar w:fldCharType="separate"/>
          </w:r>
          <w:r>
            <w:rPr>
              <w:rFonts w:hint="default"/>
            </w:rPr>
            <w:t xml:space="preserve">11.7. </w:t>
          </w:r>
          <w:r>
            <w:t>发布管理</w:t>
          </w:r>
          <w:r>
            <w:tab/>
          </w:r>
          <w:r>
            <w:fldChar w:fldCharType="begin"/>
          </w:r>
          <w:r>
            <w:instrText xml:space="preserve"> PAGEREF _Toc838 \h </w:instrText>
          </w:r>
          <w:r>
            <w:fldChar w:fldCharType="separate"/>
          </w:r>
          <w:r>
            <w:t>22</w:t>
          </w:r>
          <w:r>
            <w:fldChar w:fldCharType="end"/>
          </w:r>
          <w:r>
            <w:fldChar w:fldCharType="end"/>
          </w:r>
        </w:p>
        <w:p w14:paraId="14CC7928">
          <w:pPr>
            <w:pStyle w:val="17"/>
            <w:tabs>
              <w:tab w:val="right" w:leader="dot" w:pos="8485"/>
            </w:tabs>
          </w:pPr>
          <w:r>
            <w:fldChar w:fldCharType="begin"/>
          </w:r>
          <w:r>
            <w:instrText xml:space="preserve"> HYPERLINK \l _Toc24752 </w:instrText>
          </w:r>
          <w:r>
            <w:fldChar w:fldCharType="separate"/>
          </w:r>
          <w:r>
            <w:rPr>
              <w:rFonts w:hint="default"/>
            </w:rPr>
            <w:t xml:space="preserve">11.8. </w:t>
          </w:r>
          <w:r>
            <w:t>配置管理</w:t>
          </w:r>
          <w:r>
            <w:tab/>
          </w:r>
          <w:r>
            <w:fldChar w:fldCharType="begin"/>
          </w:r>
          <w:r>
            <w:instrText xml:space="preserve"> PAGEREF _Toc24752 \h </w:instrText>
          </w:r>
          <w:r>
            <w:fldChar w:fldCharType="separate"/>
          </w:r>
          <w:r>
            <w:t>23</w:t>
          </w:r>
          <w:r>
            <w:fldChar w:fldCharType="end"/>
          </w:r>
          <w:r>
            <w:fldChar w:fldCharType="end"/>
          </w:r>
        </w:p>
        <w:p w14:paraId="7AEE1902">
          <w:pPr>
            <w:pStyle w:val="17"/>
            <w:tabs>
              <w:tab w:val="right" w:leader="dot" w:pos="8485"/>
            </w:tabs>
          </w:pPr>
          <w:r>
            <w:fldChar w:fldCharType="begin"/>
          </w:r>
          <w:r>
            <w:instrText xml:space="preserve"> HYPERLINK \l _Toc31044 </w:instrText>
          </w:r>
          <w:r>
            <w:fldChar w:fldCharType="separate"/>
          </w:r>
          <w:r>
            <w:rPr>
              <w:rFonts w:hint="default"/>
              <w:lang w:val="en-US" w:eastAsia="zh-CN"/>
            </w:rPr>
            <w:t xml:space="preserve">11.9. </w:t>
          </w:r>
          <w:r>
            <w:rPr>
              <w:rFonts w:hint="eastAsia"/>
              <w:lang w:val="en-US" w:eastAsia="zh-CN"/>
            </w:rPr>
            <w:t>服务可用性和连续性</w:t>
          </w:r>
          <w:r>
            <w:tab/>
          </w:r>
          <w:r>
            <w:fldChar w:fldCharType="begin"/>
          </w:r>
          <w:r>
            <w:instrText xml:space="preserve"> PAGEREF _Toc31044 \h </w:instrText>
          </w:r>
          <w:r>
            <w:fldChar w:fldCharType="separate"/>
          </w:r>
          <w:r>
            <w:t>23</w:t>
          </w:r>
          <w:r>
            <w:fldChar w:fldCharType="end"/>
          </w:r>
          <w:r>
            <w:fldChar w:fldCharType="end"/>
          </w:r>
        </w:p>
        <w:p w14:paraId="738B05B2">
          <w:pPr>
            <w:pStyle w:val="17"/>
            <w:tabs>
              <w:tab w:val="right" w:leader="dot" w:pos="8485"/>
            </w:tabs>
          </w:pPr>
          <w:r>
            <w:fldChar w:fldCharType="begin"/>
          </w:r>
          <w:r>
            <w:instrText xml:space="preserve"> HYPERLINK \l _Toc22528 </w:instrText>
          </w:r>
          <w:r>
            <w:fldChar w:fldCharType="separate"/>
          </w:r>
          <w:r>
            <w:rPr>
              <w:rFonts w:hint="default"/>
              <w:lang w:val="en-US" w:eastAsia="zh-CN"/>
            </w:rPr>
            <w:t xml:space="preserve">11.10. </w:t>
          </w:r>
          <w:r>
            <w:rPr>
              <w:rFonts w:hint="eastAsia"/>
              <w:lang w:val="en-US" w:eastAsia="zh-CN"/>
            </w:rPr>
            <w:t>容量管理</w:t>
          </w:r>
          <w:r>
            <w:tab/>
          </w:r>
          <w:r>
            <w:fldChar w:fldCharType="begin"/>
          </w:r>
          <w:r>
            <w:instrText xml:space="preserve"> PAGEREF _Toc22528 \h </w:instrText>
          </w:r>
          <w:r>
            <w:fldChar w:fldCharType="separate"/>
          </w:r>
          <w:r>
            <w:t>23</w:t>
          </w:r>
          <w:r>
            <w:fldChar w:fldCharType="end"/>
          </w:r>
          <w:r>
            <w:fldChar w:fldCharType="end"/>
          </w:r>
        </w:p>
        <w:p w14:paraId="21DBD9D0">
          <w:pPr>
            <w:pStyle w:val="17"/>
            <w:tabs>
              <w:tab w:val="right" w:leader="dot" w:pos="8485"/>
            </w:tabs>
          </w:pPr>
          <w:r>
            <w:fldChar w:fldCharType="begin"/>
          </w:r>
          <w:r>
            <w:instrText xml:space="preserve"> HYPERLINK \l _Toc20879 </w:instrText>
          </w:r>
          <w:r>
            <w:fldChar w:fldCharType="separate"/>
          </w:r>
          <w:r>
            <w:rPr>
              <w:rFonts w:hint="default" w:ascii="黑体" w:hAnsi="黑体" w:eastAsia="黑体" w:cs="黑体"/>
              <w:szCs w:val="36"/>
            </w:rPr>
            <w:t xml:space="preserve">11.11. </w:t>
          </w:r>
          <w:r>
            <w:rPr>
              <w:rFonts w:ascii="黑体" w:hAnsi="黑体" w:eastAsia="黑体" w:cs="黑体"/>
              <w:bCs/>
              <w:spacing w:val="-8"/>
              <w:position w:val="2"/>
              <w:szCs w:val="36"/>
            </w:rPr>
            <w:t>信息安全管理</w:t>
          </w:r>
          <w:r>
            <w:tab/>
          </w:r>
          <w:r>
            <w:fldChar w:fldCharType="begin"/>
          </w:r>
          <w:r>
            <w:instrText xml:space="preserve"> PAGEREF _Toc20879 \h </w:instrText>
          </w:r>
          <w:r>
            <w:fldChar w:fldCharType="separate"/>
          </w:r>
          <w:r>
            <w:t>24</w:t>
          </w:r>
          <w:r>
            <w:fldChar w:fldCharType="end"/>
          </w:r>
          <w:r>
            <w:fldChar w:fldCharType="end"/>
          </w:r>
        </w:p>
        <w:p w14:paraId="5D2AE095">
          <w:pPr>
            <w:pStyle w:val="12"/>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eastAsia="Arial" w:cs="Arial"/>
              <w:snapToGrid w:val="0"/>
              <w:color w:val="000000"/>
              <w:kern w:val="0"/>
              <w:sz w:val="21"/>
              <w:szCs w:val="21"/>
              <w:lang w:val="en-US" w:eastAsia="en-US" w:bidi="ar-SA"/>
            </w:rPr>
          </w:pPr>
          <w:r>
            <w:fldChar w:fldCharType="end"/>
          </w:r>
        </w:p>
      </w:sdtContent>
    </w:sdt>
    <w:p w14:paraId="5CE7F393">
      <w:pPr>
        <w:pStyle w:val="12"/>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eastAsia="Arial" w:cs="Arial"/>
          <w:snapToGrid w:val="0"/>
          <w:color w:val="000000"/>
          <w:kern w:val="0"/>
          <w:sz w:val="21"/>
          <w:szCs w:val="21"/>
          <w:lang w:val="en-US" w:eastAsia="en-US" w:bidi="ar-SA"/>
        </w:rPr>
      </w:pPr>
    </w:p>
    <w:p w14:paraId="555110E8">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4"/>
          <w:lang w:val="en-US" w:eastAsia="en-US" w:bidi="ar-SA"/>
        </w:rPr>
        <w:sectPr>
          <w:pgSz w:w="11906" w:h="16839"/>
          <w:pgMar w:top="1431" w:right="1710" w:bottom="0" w:left="1711" w:header="0" w:footer="0" w:gutter="0"/>
          <w:cols w:space="720" w:num="1"/>
        </w:sectPr>
      </w:pPr>
    </w:p>
    <w:p w14:paraId="6BEC55E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226"/>
      <w:bookmarkStart w:id="8" w:name="_Toc27496"/>
      <w:bookmarkStart w:id="9" w:name="_Toc30891"/>
      <w:r>
        <w:t>目的</w:t>
      </w:r>
      <w:bookmarkEnd w:id="7"/>
      <w:bookmarkEnd w:id="8"/>
      <w:bookmarkEnd w:id="9"/>
    </w:p>
    <w:p w14:paraId="7B738F0A">
      <w:pPr>
        <w:keepNext w:val="0"/>
        <w:keepLines w:val="0"/>
        <w:pageBreakBefore w:val="0"/>
        <w:widowControl w:val="0"/>
        <w:kinsoku w:val="0"/>
        <w:wordWrap/>
        <w:overflowPunct/>
        <w:topLinePunct w:val="0"/>
        <w:autoSpaceDE w:val="0"/>
        <w:autoSpaceDN w:val="0"/>
        <w:bidi w:val="0"/>
        <w:adjustRightInd w:val="0"/>
        <w:snapToGrid w:val="0"/>
        <w:spacing w:before="142" w:line="360" w:lineRule="auto"/>
        <w:ind w:left="23" w:right="160" w:firstLine="482"/>
        <w:jc w:val="both"/>
        <w:textAlignment w:val="baseline"/>
        <w:rPr>
          <w:rFonts w:ascii="宋体" w:hAnsi="宋体" w:eastAsia="宋体" w:cs="宋体"/>
          <w:sz w:val="24"/>
          <w:szCs w:val="24"/>
        </w:rPr>
      </w:pPr>
      <w:r>
        <w:rPr>
          <w:rFonts w:ascii="宋体" w:hAnsi="宋体" w:eastAsia="宋体" w:cs="宋体"/>
          <w:spacing w:val="-1"/>
          <w:sz w:val="24"/>
          <w:szCs w:val="24"/>
        </w:rPr>
        <w:t>为提升公司运维服务能力管理的科学化、规范化和专业化，确保运维服务</w:t>
      </w:r>
      <w:r>
        <w:rPr>
          <w:rFonts w:ascii="宋体" w:hAnsi="宋体" w:eastAsia="宋体" w:cs="宋体"/>
          <w:sz w:val="24"/>
          <w:szCs w:val="24"/>
        </w:rPr>
        <w:t>相关部门为各客户提供双方协商一致的、安全稳定的</w:t>
      </w:r>
      <w:r>
        <w:rPr>
          <w:rFonts w:ascii="宋体" w:hAnsi="宋体" w:eastAsia="宋体" w:cs="宋体"/>
          <w:spacing w:val="-1"/>
          <w:sz w:val="24"/>
          <w:szCs w:val="24"/>
        </w:rPr>
        <w:t>运行维护优质服务，公司</w:t>
      </w:r>
      <w:r>
        <w:rPr>
          <w:rFonts w:ascii="宋体" w:hAnsi="宋体" w:eastAsia="宋体" w:cs="宋体"/>
          <w:sz w:val="24"/>
          <w:szCs w:val="24"/>
        </w:rPr>
        <w:t>依据信息技术服务相关标准的要求，建立遵照国家标</w:t>
      </w:r>
      <w:r>
        <w:rPr>
          <w:rFonts w:ascii="宋体" w:hAnsi="宋体" w:eastAsia="宋体" w:cs="宋体"/>
          <w:spacing w:val="-1"/>
          <w:sz w:val="24"/>
          <w:szCs w:val="24"/>
        </w:rPr>
        <w:t>准、适应客户需求和管理</w:t>
      </w:r>
      <w:r>
        <w:rPr>
          <w:rFonts w:ascii="宋体" w:hAnsi="宋体" w:eastAsia="宋体" w:cs="宋体"/>
          <w:spacing w:val="-2"/>
          <w:sz w:val="24"/>
          <w:szCs w:val="24"/>
        </w:rPr>
        <w:t>要求、持续优化的运维服务能力管理体系，特制定本制度。</w:t>
      </w:r>
    </w:p>
    <w:p w14:paraId="4267AD3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4378"/>
      <w:bookmarkStart w:id="11" w:name="_Toc3877"/>
      <w:bookmarkStart w:id="12" w:name="_Toc679"/>
      <w:r>
        <w:t>适用范围</w:t>
      </w:r>
      <w:bookmarkEnd w:id="10"/>
      <w:bookmarkEnd w:id="11"/>
      <w:bookmarkEnd w:id="12"/>
    </w:p>
    <w:p w14:paraId="18312DFF">
      <w:pPr>
        <w:keepNext w:val="0"/>
        <w:keepLines w:val="0"/>
        <w:pageBreakBefore w:val="0"/>
        <w:widowControl w:val="0"/>
        <w:kinsoku w:val="0"/>
        <w:wordWrap/>
        <w:overflowPunct/>
        <w:topLinePunct w:val="0"/>
        <w:autoSpaceDE w:val="0"/>
        <w:autoSpaceDN w:val="0"/>
        <w:bidi w:val="0"/>
        <w:adjustRightInd w:val="0"/>
        <w:snapToGrid w:val="0"/>
        <w:spacing w:before="147" w:line="219" w:lineRule="auto"/>
        <w:ind w:left="504"/>
        <w:textAlignment w:val="baseline"/>
        <w:rPr>
          <w:rFonts w:ascii="宋体" w:hAnsi="宋体" w:eastAsia="宋体" w:cs="宋体"/>
          <w:sz w:val="24"/>
          <w:szCs w:val="24"/>
        </w:rPr>
      </w:pPr>
      <w:r>
        <w:rPr>
          <w:rFonts w:ascii="宋体" w:hAnsi="宋体" w:eastAsia="宋体" w:cs="宋体"/>
          <w:spacing w:val="-3"/>
          <w:sz w:val="24"/>
          <w:szCs w:val="24"/>
        </w:rPr>
        <w:t>本文件适用于公司为客户提供的各类服务。</w:t>
      </w:r>
    </w:p>
    <w:p w14:paraId="6C610E4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19112"/>
      <w:bookmarkStart w:id="14" w:name="_Toc25255"/>
      <w:bookmarkStart w:id="15" w:name="_Toc776"/>
      <w:r>
        <w:t>引用文件</w:t>
      </w:r>
      <w:bookmarkEnd w:id="13"/>
      <w:bookmarkEnd w:id="14"/>
      <w:bookmarkEnd w:id="15"/>
    </w:p>
    <w:p w14:paraId="77DB5ADF">
      <w:pPr>
        <w:pStyle w:val="12"/>
        <w:keepNext w:val="0"/>
        <w:keepLines w:val="0"/>
        <w:pageBreakBefore w:val="0"/>
        <w:widowControl w:val="0"/>
        <w:kinsoku w:val="0"/>
        <w:wordWrap/>
        <w:overflowPunct/>
        <w:topLinePunct w:val="0"/>
        <w:autoSpaceDE w:val="0"/>
        <w:autoSpaceDN w:val="0"/>
        <w:bidi w:val="0"/>
        <w:adjustRightInd w:val="0"/>
        <w:snapToGrid w:val="0"/>
        <w:spacing w:before="209" w:line="327" w:lineRule="exact"/>
        <w:ind w:left="520"/>
        <w:textAlignment w:val="baseline"/>
        <w:rPr>
          <w:rFonts w:ascii="宋体" w:hAnsi="宋体" w:eastAsia="宋体" w:cs="宋体"/>
          <w:sz w:val="24"/>
          <w:szCs w:val="24"/>
        </w:rPr>
      </w:pPr>
      <w:r>
        <w:rPr>
          <w:spacing w:val="-1"/>
          <w:position w:val="1"/>
          <w:sz w:val="24"/>
          <w:szCs w:val="24"/>
        </w:rPr>
        <w:t>1.</w:t>
      </w:r>
      <w:r>
        <w:rPr>
          <w:spacing w:val="24"/>
          <w:position w:val="1"/>
          <w:sz w:val="24"/>
          <w:szCs w:val="24"/>
        </w:rPr>
        <w:t xml:space="preserve">  </w:t>
      </w:r>
      <w:r>
        <w:rPr>
          <w:rFonts w:hint="eastAsia"/>
          <w:spacing w:val="-1"/>
          <w:position w:val="1"/>
          <w:sz w:val="24"/>
          <w:szCs w:val="24"/>
        </w:rPr>
        <w:t>T/CESA 1299—2023</w:t>
      </w:r>
      <w:r>
        <w:rPr>
          <w:rFonts w:ascii="宋体" w:hAnsi="宋体" w:eastAsia="宋体" w:cs="宋体"/>
          <w:spacing w:val="-1"/>
          <w:position w:val="1"/>
          <w:sz w:val="24"/>
          <w:szCs w:val="24"/>
        </w:rPr>
        <w:t xml:space="preserve">《信息技术服务 </w:t>
      </w:r>
      <w:r>
        <w:rPr>
          <w:rFonts w:ascii="宋体" w:hAnsi="宋体" w:eastAsia="宋体" w:cs="宋体"/>
          <w:spacing w:val="-2"/>
          <w:position w:val="1"/>
          <w:sz w:val="24"/>
          <w:szCs w:val="24"/>
        </w:rPr>
        <w:t>运行维护服务能力成熟度模型》</w:t>
      </w:r>
    </w:p>
    <w:p w14:paraId="561CDEB4">
      <w:pPr>
        <w:pStyle w:val="12"/>
        <w:keepNext w:val="0"/>
        <w:keepLines w:val="0"/>
        <w:pageBreakBefore w:val="0"/>
        <w:widowControl w:val="0"/>
        <w:kinsoku w:val="0"/>
        <w:wordWrap/>
        <w:overflowPunct/>
        <w:topLinePunct w:val="0"/>
        <w:autoSpaceDE w:val="0"/>
        <w:autoSpaceDN w:val="0"/>
        <w:bidi w:val="0"/>
        <w:adjustRightInd w:val="0"/>
        <w:snapToGrid w:val="0"/>
        <w:spacing w:before="297" w:line="327" w:lineRule="exact"/>
        <w:ind w:left="501"/>
        <w:textAlignment w:val="baseline"/>
        <w:rPr>
          <w:rFonts w:ascii="宋体" w:hAnsi="宋体" w:eastAsia="宋体" w:cs="宋体"/>
          <w:sz w:val="24"/>
          <w:szCs w:val="24"/>
        </w:rPr>
      </w:pPr>
      <w:r>
        <w:rPr>
          <w:spacing w:val="-1"/>
          <w:position w:val="1"/>
          <w:sz w:val="24"/>
          <w:szCs w:val="24"/>
        </w:rPr>
        <w:t>2.</w:t>
      </w:r>
      <w:r>
        <w:rPr>
          <w:spacing w:val="25"/>
          <w:position w:val="1"/>
          <w:sz w:val="24"/>
          <w:szCs w:val="24"/>
        </w:rPr>
        <w:t xml:space="preserve">  </w:t>
      </w:r>
      <w:r>
        <w:rPr>
          <w:spacing w:val="-1"/>
          <w:position w:val="1"/>
          <w:sz w:val="24"/>
          <w:szCs w:val="24"/>
        </w:rPr>
        <w:t>GB/T28827.1-2022</w:t>
      </w:r>
      <w:r>
        <w:rPr>
          <w:rFonts w:ascii="宋体" w:hAnsi="宋体" w:eastAsia="宋体" w:cs="宋体"/>
          <w:spacing w:val="-1"/>
          <w:position w:val="1"/>
          <w:sz w:val="24"/>
          <w:szCs w:val="24"/>
        </w:rPr>
        <w:t>《信息技术服务 运行维护 第一部分：通用要求》</w:t>
      </w:r>
    </w:p>
    <w:p w14:paraId="06F1BAB2">
      <w:pPr>
        <w:pStyle w:val="12"/>
        <w:keepNext w:val="0"/>
        <w:keepLines w:val="0"/>
        <w:pageBreakBefore w:val="0"/>
        <w:widowControl w:val="0"/>
        <w:kinsoku w:val="0"/>
        <w:wordWrap/>
        <w:overflowPunct/>
        <w:topLinePunct w:val="0"/>
        <w:autoSpaceDE w:val="0"/>
        <w:autoSpaceDN w:val="0"/>
        <w:bidi w:val="0"/>
        <w:adjustRightInd w:val="0"/>
        <w:snapToGrid w:val="0"/>
        <w:spacing w:before="297" w:line="327" w:lineRule="exact"/>
        <w:ind w:left="504"/>
        <w:textAlignment w:val="baseline"/>
        <w:rPr>
          <w:rFonts w:ascii="宋体" w:hAnsi="宋体" w:eastAsia="宋体" w:cs="宋体"/>
          <w:sz w:val="24"/>
          <w:szCs w:val="24"/>
        </w:rPr>
      </w:pPr>
      <w:r>
        <w:rPr>
          <w:spacing w:val="-1"/>
          <w:position w:val="1"/>
          <w:sz w:val="24"/>
          <w:szCs w:val="24"/>
        </w:rPr>
        <w:t>3.</w:t>
      </w:r>
      <w:r>
        <w:rPr>
          <w:spacing w:val="23"/>
          <w:w w:val="101"/>
          <w:position w:val="1"/>
          <w:sz w:val="24"/>
          <w:szCs w:val="24"/>
        </w:rPr>
        <w:t xml:space="preserve">  </w:t>
      </w:r>
      <w:r>
        <w:rPr>
          <w:spacing w:val="-1"/>
          <w:position w:val="1"/>
          <w:sz w:val="24"/>
          <w:szCs w:val="24"/>
        </w:rPr>
        <w:t xml:space="preserve">GB/T 29264-2012 </w:t>
      </w:r>
      <w:r>
        <w:rPr>
          <w:rFonts w:ascii="宋体" w:hAnsi="宋体" w:eastAsia="宋体" w:cs="宋体"/>
          <w:spacing w:val="-1"/>
          <w:position w:val="1"/>
          <w:sz w:val="24"/>
          <w:szCs w:val="24"/>
        </w:rPr>
        <w:t>《信息技术服务 分类与代码》</w:t>
      </w:r>
    </w:p>
    <w:p w14:paraId="7CEAFD14">
      <w:pPr>
        <w:pStyle w:val="12"/>
        <w:keepNext w:val="0"/>
        <w:keepLines w:val="0"/>
        <w:pageBreakBefore w:val="0"/>
        <w:widowControl w:val="0"/>
        <w:kinsoku w:val="0"/>
        <w:wordWrap/>
        <w:overflowPunct/>
        <w:topLinePunct w:val="0"/>
        <w:autoSpaceDE w:val="0"/>
        <w:autoSpaceDN w:val="0"/>
        <w:bidi w:val="0"/>
        <w:adjustRightInd w:val="0"/>
        <w:snapToGrid w:val="0"/>
        <w:spacing w:before="297" w:line="327" w:lineRule="exact"/>
        <w:ind w:left="497"/>
        <w:textAlignment w:val="baseline"/>
        <w:rPr>
          <w:rFonts w:ascii="宋体" w:hAnsi="宋体" w:eastAsia="宋体" w:cs="宋体"/>
          <w:sz w:val="24"/>
          <w:szCs w:val="24"/>
        </w:rPr>
      </w:pPr>
      <w:r>
        <w:rPr>
          <w:spacing w:val="-1"/>
          <w:position w:val="1"/>
          <w:sz w:val="24"/>
          <w:szCs w:val="24"/>
        </w:rPr>
        <w:t>4.</w:t>
      </w:r>
      <w:r>
        <w:rPr>
          <w:spacing w:val="22"/>
          <w:position w:val="1"/>
          <w:sz w:val="24"/>
          <w:szCs w:val="24"/>
        </w:rPr>
        <w:t xml:space="preserve">  </w:t>
      </w:r>
      <w:r>
        <w:rPr>
          <w:spacing w:val="-1"/>
          <w:position w:val="1"/>
          <w:sz w:val="24"/>
          <w:szCs w:val="24"/>
        </w:rPr>
        <w:t xml:space="preserve">GB/T 28827.2-2012 </w:t>
      </w:r>
      <w:r>
        <w:rPr>
          <w:rFonts w:ascii="宋体" w:hAnsi="宋体" w:eastAsia="宋体" w:cs="宋体"/>
          <w:spacing w:val="-1"/>
          <w:position w:val="1"/>
          <w:sz w:val="24"/>
          <w:szCs w:val="24"/>
        </w:rPr>
        <w:t>《信息技术服务 运行维护 第</w:t>
      </w:r>
      <w:r>
        <w:rPr>
          <w:rFonts w:ascii="宋体" w:hAnsi="宋体" w:eastAsia="宋体" w:cs="宋体"/>
          <w:spacing w:val="-53"/>
          <w:position w:val="1"/>
          <w:sz w:val="24"/>
          <w:szCs w:val="24"/>
        </w:rPr>
        <w:t xml:space="preserve"> </w:t>
      </w:r>
      <w:r>
        <w:rPr>
          <w:spacing w:val="-1"/>
          <w:position w:val="1"/>
          <w:sz w:val="24"/>
          <w:szCs w:val="24"/>
        </w:rPr>
        <w:t xml:space="preserve">2 </w:t>
      </w:r>
      <w:r>
        <w:rPr>
          <w:rFonts w:ascii="宋体" w:hAnsi="宋体" w:eastAsia="宋体" w:cs="宋体"/>
          <w:spacing w:val="-1"/>
          <w:position w:val="1"/>
          <w:sz w:val="24"/>
          <w:szCs w:val="24"/>
        </w:rPr>
        <w:t>部分</w:t>
      </w:r>
      <w:r>
        <w:rPr>
          <w:spacing w:val="-1"/>
          <w:position w:val="1"/>
          <w:sz w:val="24"/>
          <w:szCs w:val="24"/>
        </w:rPr>
        <w:t>:</w:t>
      </w:r>
      <w:r>
        <w:rPr>
          <w:rFonts w:ascii="宋体" w:hAnsi="宋体" w:eastAsia="宋体" w:cs="宋体"/>
          <w:spacing w:val="-1"/>
          <w:position w:val="1"/>
          <w:sz w:val="24"/>
          <w:szCs w:val="24"/>
        </w:rPr>
        <w:t>交付规范》</w:t>
      </w:r>
    </w:p>
    <w:p w14:paraId="40BF2250">
      <w:pPr>
        <w:pStyle w:val="12"/>
        <w:keepNext w:val="0"/>
        <w:keepLines w:val="0"/>
        <w:pageBreakBefore w:val="0"/>
        <w:widowControl w:val="0"/>
        <w:kinsoku w:val="0"/>
        <w:wordWrap/>
        <w:overflowPunct/>
        <w:topLinePunct w:val="0"/>
        <w:autoSpaceDE w:val="0"/>
        <w:autoSpaceDN w:val="0"/>
        <w:bidi w:val="0"/>
        <w:adjustRightInd w:val="0"/>
        <w:snapToGrid w:val="0"/>
        <w:spacing w:before="297" w:line="329" w:lineRule="auto"/>
        <w:ind w:left="29" w:right="14" w:firstLine="474"/>
        <w:textAlignment w:val="baseline"/>
        <w:rPr>
          <w:rFonts w:ascii="宋体" w:hAnsi="宋体" w:eastAsia="宋体" w:cs="宋体"/>
          <w:sz w:val="24"/>
          <w:szCs w:val="24"/>
        </w:rPr>
      </w:pPr>
      <w:r>
        <w:rPr>
          <w:spacing w:val="-2"/>
          <w:sz w:val="24"/>
          <w:szCs w:val="24"/>
        </w:rPr>
        <w:t>5.</w:t>
      </w:r>
      <w:r>
        <w:rPr>
          <w:spacing w:val="20"/>
          <w:sz w:val="24"/>
          <w:szCs w:val="24"/>
        </w:rPr>
        <w:t xml:space="preserve">  </w:t>
      </w:r>
      <w:r>
        <w:rPr>
          <w:spacing w:val="-2"/>
          <w:sz w:val="24"/>
          <w:szCs w:val="24"/>
        </w:rPr>
        <w:t>GB/T</w:t>
      </w:r>
      <w:r>
        <w:rPr>
          <w:spacing w:val="50"/>
          <w:sz w:val="24"/>
          <w:szCs w:val="24"/>
        </w:rPr>
        <w:t xml:space="preserve"> </w:t>
      </w:r>
      <w:r>
        <w:rPr>
          <w:spacing w:val="-2"/>
          <w:sz w:val="24"/>
          <w:szCs w:val="24"/>
        </w:rPr>
        <w:t>28827.3-2012</w:t>
      </w:r>
      <w:r>
        <w:rPr>
          <w:spacing w:val="43"/>
          <w:w w:val="101"/>
          <w:sz w:val="24"/>
          <w:szCs w:val="24"/>
        </w:rPr>
        <w:t xml:space="preserve"> </w:t>
      </w:r>
      <w:r>
        <w:rPr>
          <w:rFonts w:ascii="宋体" w:hAnsi="宋体" w:eastAsia="宋体" w:cs="宋体"/>
          <w:spacing w:val="-2"/>
          <w:sz w:val="24"/>
          <w:szCs w:val="24"/>
        </w:rPr>
        <w:t>《信息技术服务</w:t>
      </w:r>
      <w:r>
        <w:rPr>
          <w:rFonts w:ascii="宋体" w:hAnsi="宋体" w:eastAsia="宋体" w:cs="宋体"/>
          <w:spacing w:val="63"/>
          <w:sz w:val="24"/>
          <w:szCs w:val="24"/>
        </w:rPr>
        <w:t xml:space="preserve"> </w:t>
      </w:r>
      <w:r>
        <w:rPr>
          <w:rFonts w:ascii="宋体" w:hAnsi="宋体" w:eastAsia="宋体" w:cs="宋体"/>
          <w:spacing w:val="-2"/>
          <w:sz w:val="24"/>
          <w:szCs w:val="24"/>
        </w:rPr>
        <w:t>运行维护</w:t>
      </w:r>
      <w:r>
        <w:rPr>
          <w:rFonts w:ascii="宋体" w:hAnsi="宋体" w:eastAsia="宋体" w:cs="宋体"/>
          <w:spacing w:val="52"/>
          <w:sz w:val="24"/>
          <w:szCs w:val="24"/>
        </w:rPr>
        <w:t xml:space="preserve"> </w:t>
      </w:r>
      <w:r>
        <w:rPr>
          <w:rFonts w:ascii="宋体" w:hAnsi="宋体" w:eastAsia="宋体" w:cs="宋体"/>
          <w:spacing w:val="-2"/>
          <w:sz w:val="24"/>
          <w:szCs w:val="24"/>
        </w:rPr>
        <w:t>第</w:t>
      </w:r>
      <w:r>
        <w:rPr>
          <w:rFonts w:ascii="宋体" w:hAnsi="宋体" w:eastAsia="宋体" w:cs="宋体"/>
          <w:spacing w:val="-50"/>
          <w:sz w:val="24"/>
          <w:szCs w:val="24"/>
        </w:rPr>
        <w:t xml:space="preserve"> </w:t>
      </w:r>
      <w:r>
        <w:rPr>
          <w:spacing w:val="-2"/>
          <w:sz w:val="24"/>
          <w:szCs w:val="24"/>
        </w:rPr>
        <w:t xml:space="preserve">3 </w:t>
      </w:r>
      <w:r>
        <w:rPr>
          <w:rFonts w:ascii="宋体" w:hAnsi="宋体" w:eastAsia="宋体" w:cs="宋体"/>
          <w:spacing w:val="-2"/>
          <w:sz w:val="24"/>
          <w:szCs w:val="24"/>
        </w:rPr>
        <w:t>部分</w:t>
      </w:r>
      <w:r>
        <w:rPr>
          <w:spacing w:val="-2"/>
          <w:sz w:val="24"/>
          <w:szCs w:val="24"/>
        </w:rPr>
        <w:t>:</w:t>
      </w:r>
      <w:r>
        <w:rPr>
          <w:rFonts w:ascii="宋体" w:hAnsi="宋体" w:eastAsia="宋体" w:cs="宋体"/>
          <w:spacing w:val="-2"/>
          <w:sz w:val="24"/>
          <w:szCs w:val="24"/>
        </w:rPr>
        <w:t>应急响应规</w:t>
      </w:r>
      <w:r>
        <w:rPr>
          <w:rFonts w:ascii="宋体" w:hAnsi="宋体" w:eastAsia="宋体" w:cs="宋体"/>
          <w:spacing w:val="-8"/>
          <w:sz w:val="24"/>
          <w:szCs w:val="24"/>
        </w:rPr>
        <w:t>范》</w:t>
      </w:r>
    </w:p>
    <w:p w14:paraId="76F05E69">
      <w:pPr>
        <w:keepNext w:val="0"/>
        <w:keepLines w:val="0"/>
        <w:pageBreakBefore w:val="0"/>
        <w:widowControl w:val="0"/>
        <w:kinsoku w:val="0"/>
        <w:wordWrap/>
        <w:overflowPunct/>
        <w:topLinePunct w:val="0"/>
        <w:autoSpaceDE w:val="0"/>
        <w:autoSpaceDN w:val="0"/>
        <w:bidi w:val="0"/>
        <w:adjustRightInd w:val="0"/>
        <w:snapToGrid w:val="0"/>
        <w:spacing w:before="252" w:line="220" w:lineRule="auto"/>
        <w:ind w:left="346"/>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6.</w:t>
      </w:r>
      <w:r>
        <w:rPr>
          <w:rFonts w:ascii="宋体" w:hAnsi="宋体" w:eastAsia="宋体" w:cs="宋体"/>
          <w:spacing w:val="-3"/>
          <w:sz w:val="24"/>
          <w:szCs w:val="24"/>
        </w:rPr>
        <w:t>国家有关法律、法规及行业标准</w:t>
      </w:r>
    </w:p>
    <w:p w14:paraId="6FD94875">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419"/>
      <w:bookmarkStart w:id="17" w:name="_Toc31467"/>
      <w:bookmarkStart w:id="18" w:name="_Toc2389"/>
      <w:r>
        <w:t>运维服务战略与组织</w:t>
      </w:r>
      <w:bookmarkEnd w:id="16"/>
      <w:bookmarkEnd w:id="17"/>
      <w:bookmarkEnd w:id="18"/>
    </w:p>
    <w:p w14:paraId="2AF14AF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bookmark64"/>
      <w:bookmarkEnd w:id="19"/>
      <w:bookmarkStart w:id="20" w:name="_Toc26256"/>
      <w:bookmarkStart w:id="21" w:name="_Toc5909"/>
      <w:bookmarkStart w:id="22" w:name="_Toc30930"/>
      <w:r>
        <w:t>服务目标</w:t>
      </w:r>
      <w:bookmarkEnd w:id="20"/>
      <w:bookmarkEnd w:id="21"/>
      <w:bookmarkEnd w:id="22"/>
    </w:p>
    <w:p w14:paraId="30011128">
      <w:pPr>
        <w:pStyle w:val="12"/>
        <w:keepNext w:val="0"/>
        <w:keepLines w:val="0"/>
        <w:pageBreakBefore w:val="0"/>
        <w:widowControl w:val="0"/>
        <w:kinsoku w:val="0"/>
        <w:wordWrap/>
        <w:overflowPunct/>
        <w:topLinePunct w:val="0"/>
        <w:autoSpaceDE w:val="0"/>
        <w:autoSpaceDN w:val="0"/>
        <w:bidi w:val="0"/>
        <w:adjustRightInd w:val="0"/>
        <w:snapToGrid w:val="0"/>
        <w:spacing w:before="289" w:line="220" w:lineRule="auto"/>
        <w:ind w:left="511"/>
        <w:textAlignment w:val="baseline"/>
        <w:rPr>
          <w:rFonts w:ascii="宋体" w:hAnsi="宋体" w:eastAsia="宋体" w:cs="宋体"/>
          <w:sz w:val="24"/>
          <w:szCs w:val="24"/>
        </w:rPr>
      </w:pPr>
      <w:r>
        <w:rPr>
          <w:rFonts w:ascii="宋体" w:hAnsi="宋体" w:eastAsia="宋体" w:cs="宋体"/>
          <w:spacing w:val="-5"/>
          <w:sz w:val="24"/>
          <w:szCs w:val="24"/>
        </w:rPr>
        <w:t>甘肃国邦</w:t>
      </w:r>
      <w:r>
        <w:rPr>
          <w:spacing w:val="-5"/>
          <w:sz w:val="24"/>
          <w:szCs w:val="24"/>
        </w:rPr>
        <w:t>IT</w:t>
      </w:r>
      <w:r>
        <w:rPr>
          <w:rFonts w:ascii="宋体" w:hAnsi="宋体" w:eastAsia="宋体" w:cs="宋体"/>
          <w:spacing w:val="-5"/>
          <w:sz w:val="24"/>
          <w:szCs w:val="24"/>
        </w:rPr>
        <w:t>运维服务的服务目标定义如下：</w:t>
      </w:r>
    </w:p>
    <w:p w14:paraId="4745AD69">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507"/>
        <w:textAlignment w:val="baseline"/>
        <w:rPr>
          <w:rFonts w:ascii="宋体" w:hAnsi="宋体" w:eastAsia="宋体" w:cs="宋体"/>
          <w:sz w:val="24"/>
          <w:szCs w:val="24"/>
        </w:rPr>
      </w:pPr>
      <w:r>
        <w:rPr>
          <w:rFonts w:ascii="宋体" w:hAnsi="宋体" w:eastAsia="宋体" w:cs="宋体"/>
          <w:spacing w:val="-7"/>
          <w:sz w:val="24"/>
          <w:szCs w:val="24"/>
        </w:rPr>
        <w:t>不断提升客户满意度；</w:t>
      </w:r>
    </w:p>
    <w:p w14:paraId="0A92C883">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507"/>
        <w:textAlignment w:val="baseline"/>
        <w:rPr>
          <w:rFonts w:ascii="宋体" w:hAnsi="宋体" w:eastAsia="宋体" w:cs="宋体"/>
          <w:sz w:val="24"/>
          <w:szCs w:val="24"/>
        </w:rPr>
      </w:pPr>
      <w:r>
        <w:rPr>
          <w:rFonts w:ascii="宋体" w:hAnsi="宋体" w:eastAsia="宋体" w:cs="宋体"/>
          <w:spacing w:val="-5"/>
          <w:sz w:val="24"/>
          <w:szCs w:val="24"/>
        </w:rPr>
        <w:t>不断提高系统的可靠性和稳定性；</w:t>
      </w:r>
    </w:p>
    <w:p w14:paraId="01929FE1">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503"/>
        <w:textAlignment w:val="baseline"/>
        <w:rPr>
          <w:rFonts w:ascii="宋体" w:hAnsi="宋体" w:eastAsia="宋体" w:cs="宋体"/>
          <w:sz w:val="24"/>
          <w:szCs w:val="24"/>
        </w:rPr>
      </w:pPr>
      <w:r>
        <w:rPr>
          <w:rFonts w:ascii="宋体" w:hAnsi="宋体" w:eastAsia="宋体" w:cs="宋体"/>
          <w:spacing w:val="-4"/>
          <w:sz w:val="24"/>
          <w:szCs w:val="24"/>
        </w:rPr>
        <w:t>确保无重大事件发生。</w:t>
      </w:r>
    </w:p>
    <w:p w14:paraId="7147DC7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18978"/>
      <w:r>
        <w:t>运维服务战略</w:t>
      </w:r>
      <w:bookmarkEnd w:id="23"/>
    </w:p>
    <w:p w14:paraId="2CA3CB3B">
      <w:pPr>
        <w:keepNext w:val="0"/>
        <w:keepLines w:val="0"/>
        <w:pageBreakBefore w:val="0"/>
        <w:widowControl w:val="0"/>
        <w:kinsoku w:val="0"/>
        <w:wordWrap/>
        <w:overflowPunct/>
        <w:topLinePunct w:val="0"/>
        <w:autoSpaceDE w:val="0"/>
        <w:autoSpaceDN w:val="0"/>
        <w:bidi w:val="0"/>
        <w:adjustRightInd w:val="0"/>
        <w:snapToGrid w:val="0"/>
        <w:spacing w:line="360" w:lineRule="auto"/>
        <w:ind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依据公司发展战略，公司的运维服务战略是</w:t>
      </w:r>
      <w:r>
        <w:rPr>
          <w:rFonts w:ascii="宋体" w:hAnsi="宋体" w:eastAsia="宋体" w:cs="宋体"/>
          <w:spacing w:val="-1"/>
          <w:sz w:val="24"/>
          <w:szCs w:val="24"/>
        </w:rPr>
        <w:t>：凭借公司优秀的专业化服务</w:t>
      </w:r>
      <w:r>
        <w:rPr>
          <w:rFonts w:ascii="宋体" w:hAnsi="宋体" w:eastAsia="宋体" w:cs="宋体"/>
          <w:sz w:val="24"/>
          <w:szCs w:val="24"/>
        </w:rPr>
        <w:t>团队和丰富的行业信息技术服务经验，为客户提供专</w:t>
      </w:r>
      <w:r>
        <w:rPr>
          <w:rFonts w:ascii="宋体" w:hAnsi="宋体" w:eastAsia="宋体" w:cs="宋体"/>
          <w:spacing w:val="-1"/>
          <w:sz w:val="24"/>
          <w:szCs w:val="24"/>
        </w:rPr>
        <w:t>业化、规范化、高效率的</w:t>
      </w:r>
      <w:r>
        <w:rPr>
          <w:rFonts w:ascii="宋体" w:hAnsi="宋体" w:eastAsia="宋体" w:cs="宋体"/>
          <w:spacing w:val="-3"/>
          <w:sz w:val="24"/>
          <w:szCs w:val="24"/>
        </w:rPr>
        <w:t>运维服务，让公司的服务更高效、更健康。</w:t>
      </w:r>
    </w:p>
    <w:p w14:paraId="6081F545">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3508"/>
      <w:bookmarkStart w:id="25" w:name="_Toc699"/>
      <w:bookmarkStart w:id="26" w:name="_Toc9927"/>
      <w:r>
        <w:t>运行维护服务能力管理</w:t>
      </w:r>
      <w:bookmarkEnd w:id="24"/>
      <w:bookmarkEnd w:id="25"/>
      <w:bookmarkEnd w:id="26"/>
    </w:p>
    <w:p w14:paraId="2D23076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bookmark65"/>
      <w:bookmarkEnd w:id="27"/>
      <w:bookmarkStart w:id="28" w:name="_Toc29257"/>
      <w:bookmarkStart w:id="29" w:name="_Toc17262"/>
      <w:bookmarkStart w:id="30" w:name="_Toc4473"/>
      <w:r>
        <w:t>策划</w:t>
      </w:r>
      <w:bookmarkEnd w:id="28"/>
      <w:bookmarkEnd w:id="29"/>
      <w:bookmarkEnd w:id="30"/>
    </w:p>
    <w:p w14:paraId="6E84EA8B">
      <w:pPr>
        <w:keepNext w:val="0"/>
        <w:keepLines w:val="0"/>
        <w:pageBreakBefore w:val="0"/>
        <w:widowControl w:val="0"/>
        <w:kinsoku w:val="0"/>
        <w:wordWrap/>
        <w:overflowPunct/>
        <w:topLinePunct w:val="0"/>
        <w:autoSpaceDE w:val="0"/>
        <w:autoSpaceDN w:val="0"/>
        <w:bidi w:val="0"/>
        <w:adjustRightInd w:val="0"/>
        <w:snapToGrid w:val="0"/>
        <w:spacing w:line="360" w:lineRule="auto"/>
        <w:ind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运行维护服务策划阶段包括运维服务目录管理、运维服务规划等内容。具体包括：</w:t>
      </w:r>
    </w:p>
    <w:p w14:paraId="73D64F1E">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制定运维服务目录，并根据公司运维发展更新运维服务目录；</w:t>
      </w:r>
    </w:p>
    <w:p w14:paraId="277CE53B">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2" w:line="290" w:lineRule="auto"/>
        <w:ind w:left="425" w:leftChars="0" w:right="200" w:hanging="425" w:firstLineChars="0"/>
        <w:textAlignment w:val="baseline"/>
        <w:rPr>
          <w:rFonts w:ascii="宋体" w:hAnsi="宋体" w:eastAsia="宋体" w:cs="宋体"/>
          <w:sz w:val="24"/>
          <w:szCs w:val="24"/>
        </w:rPr>
      </w:pPr>
      <w:r>
        <w:rPr>
          <w:rFonts w:ascii="宋体" w:hAnsi="宋体" w:eastAsia="宋体" w:cs="宋体"/>
          <w:sz w:val="24"/>
          <w:szCs w:val="24"/>
        </w:rPr>
        <w:t>依据公司业务需求，建立与运维服务相适应的运维部</w:t>
      </w:r>
      <w:r>
        <w:rPr>
          <w:rFonts w:ascii="宋体" w:hAnsi="宋体" w:eastAsia="宋体" w:cs="宋体"/>
          <w:spacing w:val="-1"/>
          <w:sz w:val="24"/>
          <w:szCs w:val="24"/>
        </w:rPr>
        <w:t>织架构和管理</w:t>
      </w:r>
      <w:r>
        <w:rPr>
          <w:rFonts w:ascii="宋体" w:hAnsi="宋体" w:eastAsia="宋体" w:cs="宋体"/>
          <w:spacing w:val="-15"/>
          <w:sz w:val="24"/>
          <w:szCs w:val="24"/>
        </w:rPr>
        <w:t>制度；</w:t>
      </w:r>
    </w:p>
    <w:p w14:paraId="126A818F">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39" w:line="327" w:lineRule="exact"/>
        <w:ind w:left="425" w:leftChars="0" w:hanging="425" w:firstLineChars="0"/>
        <w:textAlignment w:val="baseline"/>
        <w:rPr>
          <w:rFonts w:ascii="宋体" w:hAnsi="宋体" w:eastAsia="宋体" w:cs="宋体"/>
          <w:sz w:val="24"/>
          <w:szCs w:val="24"/>
        </w:rPr>
      </w:pPr>
      <w:r>
        <w:rPr>
          <w:rFonts w:ascii="宋体" w:hAnsi="宋体" w:eastAsia="宋体" w:cs="宋体"/>
          <w:spacing w:val="-4"/>
          <w:position w:val="1"/>
          <w:sz w:val="24"/>
          <w:szCs w:val="24"/>
        </w:rPr>
        <w:t>建立运维服务的指标体系和保障体系；</w:t>
      </w:r>
    </w:p>
    <w:p w14:paraId="2A63D0B6">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4" w:line="290" w:lineRule="auto"/>
        <w:ind w:left="425" w:leftChars="0" w:right="200" w:hanging="425" w:firstLineChars="0"/>
        <w:textAlignment w:val="baseline"/>
        <w:rPr>
          <w:rFonts w:ascii="宋体" w:hAnsi="宋体" w:eastAsia="宋体" w:cs="宋体"/>
          <w:sz w:val="24"/>
          <w:szCs w:val="24"/>
        </w:rPr>
      </w:pPr>
      <w:r>
        <w:rPr>
          <w:rFonts w:ascii="宋体" w:hAnsi="宋体" w:eastAsia="宋体" w:cs="宋体"/>
          <w:sz w:val="24"/>
          <w:szCs w:val="24"/>
        </w:rPr>
        <w:t>识别、评估和管理运维服务能力管理体系各项风险，以确保</w:t>
      </w:r>
      <w:r>
        <w:rPr>
          <w:rFonts w:ascii="宋体" w:hAnsi="宋体" w:eastAsia="宋体" w:cs="宋体"/>
          <w:spacing w:val="-1"/>
          <w:sz w:val="24"/>
          <w:szCs w:val="24"/>
        </w:rPr>
        <w:t>完成所计划</w:t>
      </w:r>
      <w:r>
        <w:rPr>
          <w:rFonts w:ascii="宋体" w:hAnsi="宋体" w:eastAsia="宋体" w:cs="宋体"/>
          <w:spacing w:val="-16"/>
          <w:sz w:val="24"/>
          <w:szCs w:val="24"/>
        </w:rPr>
        <w:t>的指标；</w:t>
      </w:r>
    </w:p>
    <w:p w14:paraId="3F7EF76F">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1"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策划并获得完成目标所需的相关资源（人员、资源、技术、过程等</w:t>
      </w:r>
      <w:r>
        <w:rPr>
          <w:rFonts w:ascii="宋体" w:hAnsi="宋体" w:eastAsia="宋体" w:cs="宋体"/>
          <w:spacing w:val="3"/>
          <w:sz w:val="24"/>
          <w:szCs w:val="24"/>
        </w:rPr>
        <w:t>）；</w:t>
      </w:r>
    </w:p>
    <w:p w14:paraId="50311FFD">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40" w:line="327" w:lineRule="exact"/>
        <w:ind w:left="425" w:leftChars="0" w:hanging="425" w:firstLineChars="0"/>
        <w:textAlignment w:val="baseline"/>
        <w:rPr>
          <w:rFonts w:ascii="宋体" w:hAnsi="宋体" w:eastAsia="宋体" w:cs="宋体"/>
          <w:sz w:val="24"/>
          <w:szCs w:val="24"/>
        </w:rPr>
      </w:pPr>
      <w:r>
        <w:rPr>
          <w:rFonts w:ascii="宋体" w:hAnsi="宋体" w:eastAsia="宋体" w:cs="宋体"/>
          <w:spacing w:val="-5"/>
          <w:position w:val="1"/>
          <w:sz w:val="24"/>
          <w:szCs w:val="24"/>
        </w:rPr>
        <w:t>策划运维服务质量改进计划；</w:t>
      </w:r>
    </w:p>
    <w:p w14:paraId="2B2B829D">
      <w:pPr>
        <w:pStyle w:val="12"/>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84" w:line="290" w:lineRule="auto"/>
        <w:ind w:left="425" w:leftChars="0" w:right="133" w:hanging="425" w:firstLineChars="0"/>
        <w:textAlignment w:val="baseline"/>
        <w:rPr>
          <w:rFonts w:ascii="宋体" w:hAnsi="宋体" w:eastAsia="宋体" w:cs="宋体"/>
          <w:sz w:val="24"/>
          <w:szCs w:val="24"/>
        </w:rPr>
      </w:pPr>
      <w:r>
        <w:rPr>
          <w:rFonts w:ascii="宋体" w:hAnsi="宋体" w:eastAsia="宋体" w:cs="宋体"/>
          <w:spacing w:val="-1"/>
          <w:sz w:val="24"/>
          <w:szCs w:val="24"/>
        </w:rPr>
        <w:t>依据运维服务战略，制定运维服务年度计划</w:t>
      </w:r>
      <w:r>
        <w:rPr>
          <w:spacing w:val="-1"/>
          <w:sz w:val="24"/>
          <w:szCs w:val="24"/>
        </w:rPr>
        <w:t>,</w:t>
      </w:r>
      <w:r>
        <w:rPr>
          <w:spacing w:val="-35"/>
          <w:sz w:val="24"/>
          <w:szCs w:val="24"/>
        </w:rPr>
        <w:t xml:space="preserve"> </w:t>
      </w:r>
      <w:r>
        <w:rPr>
          <w:rFonts w:ascii="宋体" w:hAnsi="宋体" w:eastAsia="宋体" w:cs="宋体"/>
          <w:spacing w:val="-1"/>
          <w:sz w:val="24"/>
          <w:szCs w:val="24"/>
        </w:rPr>
        <w:t>明</w:t>
      </w:r>
      <w:r>
        <w:rPr>
          <w:rFonts w:ascii="宋体" w:hAnsi="宋体" w:eastAsia="宋体" w:cs="宋体"/>
          <w:spacing w:val="-2"/>
          <w:sz w:val="24"/>
          <w:szCs w:val="24"/>
        </w:rPr>
        <w:t>确运维服务能力管理的需</w:t>
      </w:r>
      <w:r>
        <w:rPr>
          <w:rFonts w:ascii="宋体" w:hAnsi="宋体" w:eastAsia="宋体" w:cs="宋体"/>
          <w:spacing w:val="-8"/>
          <w:sz w:val="24"/>
          <w:szCs w:val="24"/>
        </w:rPr>
        <w:t>求及目标。</w:t>
      </w:r>
    </w:p>
    <w:p w14:paraId="2E26943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10449"/>
      <w:bookmarkStart w:id="32" w:name="_Toc25998"/>
      <w:bookmarkStart w:id="33" w:name="_Toc8307"/>
      <w:r>
        <w:t>运维服务目录管理</w:t>
      </w:r>
      <w:bookmarkEnd w:id="31"/>
      <w:bookmarkEnd w:id="32"/>
      <w:bookmarkEnd w:id="33"/>
    </w:p>
    <w:p w14:paraId="131CCF3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运维部负责建立、修订、完善运行维护服务</w:t>
      </w:r>
      <w:r>
        <w:rPr>
          <w:rFonts w:ascii="宋体" w:hAnsi="宋体" w:eastAsia="宋体" w:cs="宋体"/>
          <w:spacing w:val="-1"/>
          <w:sz w:val="24"/>
          <w:szCs w:val="24"/>
        </w:rPr>
        <w:t>目录，并负责服务目录的管理。服务目录主要包含服务项目、服务内容、响应时间、服务频度、交付方</w:t>
      </w:r>
      <w:r>
        <w:rPr>
          <w:rFonts w:ascii="宋体" w:hAnsi="宋体" w:eastAsia="宋体" w:cs="宋体"/>
          <w:spacing w:val="-4"/>
          <w:sz w:val="24"/>
          <w:szCs w:val="24"/>
        </w:rPr>
        <w:t>式和服务交付成果等相关内容。</w:t>
      </w:r>
    </w:p>
    <w:p w14:paraId="6954036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ascii="宋体" w:hAnsi="宋体" w:eastAsia="宋体" w:cs="宋体"/>
          <w:spacing w:val="-1"/>
          <w:sz w:val="24"/>
          <w:szCs w:val="24"/>
        </w:rPr>
        <w:t>由运维部统一制订和发布运维服务目录，并配合运</w:t>
      </w:r>
      <w:r>
        <w:rPr>
          <w:rFonts w:ascii="宋体" w:hAnsi="宋体" w:eastAsia="宋体" w:cs="宋体"/>
          <w:spacing w:val="-2"/>
          <w:sz w:val="24"/>
          <w:szCs w:val="24"/>
        </w:rPr>
        <w:t>维服务的宣传推广</w:t>
      </w:r>
      <w:r>
        <w:rPr>
          <w:rFonts w:ascii="宋体" w:hAnsi="宋体" w:eastAsia="宋体" w:cs="宋体"/>
          <w:sz w:val="24"/>
          <w:szCs w:val="24"/>
        </w:rPr>
        <w:t>工作，使公司内外部用户了解运维服务内容和服务产品，</w:t>
      </w:r>
      <w:r>
        <w:rPr>
          <w:rFonts w:ascii="宋体" w:hAnsi="宋体" w:eastAsia="宋体" w:cs="宋体"/>
          <w:spacing w:val="-1"/>
          <w:sz w:val="24"/>
          <w:szCs w:val="24"/>
        </w:rPr>
        <w:t>在客户需要时可以便</w:t>
      </w:r>
      <w:r>
        <w:rPr>
          <w:rFonts w:ascii="宋体" w:hAnsi="宋体" w:eastAsia="宋体" w:cs="宋体"/>
          <w:spacing w:val="-3"/>
          <w:sz w:val="24"/>
          <w:szCs w:val="24"/>
        </w:rPr>
        <w:t>捷、准确、及时的获得相关服务。</w:t>
      </w:r>
    </w:p>
    <w:p w14:paraId="43CFADE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运维部定期修订、完善服务目录，修订服务</w:t>
      </w:r>
      <w:r>
        <w:rPr>
          <w:rFonts w:ascii="宋体" w:hAnsi="宋体" w:eastAsia="宋体" w:cs="宋体"/>
          <w:spacing w:val="-1"/>
          <w:sz w:val="24"/>
          <w:szCs w:val="24"/>
        </w:rPr>
        <w:t>内容，根据运维服务的生</w:t>
      </w:r>
      <w:r>
        <w:rPr>
          <w:rFonts w:ascii="宋体" w:hAnsi="宋体" w:eastAsia="宋体" w:cs="宋体"/>
          <w:spacing w:val="-3"/>
          <w:sz w:val="24"/>
          <w:szCs w:val="24"/>
        </w:rPr>
        <w:t>命周期，定期增加或删除服务内容。</w:t>
      </w:r>
    </w:p>
    <w:p w14:paraId="6F846E1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21377"/>
      <w:r>
        <w:t>运维服务能力计划</w:t>
      </w:r>
      <w:bookmarkEnd w:id="34"/>
    </w:p>
    <w:p w14:paraId="33AF7EAD">
      <w:pPr>
        <w:keepNext w:val="0"/>
        <w:keepLines w:val="0"/>
        <w:pageBreakBefore w:val="0"/>
        <w:widowControl w:val="0"/>
        <w:kinsoku w:val="0"/>
        <w:wordWrap/>
        <w:overflowPunct/>
        <w:topLinePunct w:val="0"/>
        <w:autoSpaceDE w:val="0"/>
        <w:autoSpaceDN w:val="0"/>
        <w:bidi w:val="0"/>
        <w:adjustRightInd w:val="0"/>
        <w:snapToGrid w:val="0"/>
        <w:spacing w:before="78" w:line="360" w:lineRule="auto"/>
        <w:ind w:left="22" w:right="160" w:firstLine="480"/>
        <w:textAlignment w:val="baseline"/>
        <w:rPr>
          <w:rFonts w:ascii="宋体" w:hAnsi="宋体" w:eastAsia="宋体" w:cs="宋体"/>
          <w:sz w:val="24"/>
          <w:szCs w:val="24"/>
        </w:rPr>
      </w:pPr>
      <w:r>
        <w:rPr>
          <w:rFonts w:ascii="宋体" w:hAnsi="宋体" w:eastAsia="宋体" w:cs="宋体"/>
          <w:sz w:val="24"/>
          <w:szCs w:val="24"/>
        </w:rPr>
        <w:t>运维服务能力计划，在每个年度的年初编制，每</w:t>
      </w:r>
      <w:r>
        <w:rPr>
          <w:rFonts w:ascii="宋体" w:hAnsi="宋体" w:eastAsia="宋体" w:cs="宋体"/>
          <w:spacing w:val="-1"/>
          <w:sz w:val="24"/>
          <w:szCs w:val="24"/>
        </w:rPr>
        <w:t>年一次。运维服务能力计</w:t>
      </w:r>
      <w:r>
        <w:rPr>
          <w:rFonts w:ascii="宋体" w:hAnsi="宋体" w:eastAsia="宋体" w:cs="宋体"/>
          <w:spacing w:val="-2"/>
          <w:sz w:val="24"/>
          <w:szCs w:val="24"/>
        </w:rPr>
        <w:t>划由运维服务能力管理体系管理者代表负责组织编制。</w:t>
      </w:r>
    </w:p>
    <w:p w14:paraId="3E253FF4">
      <w:pPr>
        <w:keepNext w:val="0"/>
        <w:keepLines w:val="0"/>
        <w:pageBreakBefore w:val="0"/>
        <w:widowControl w:val="0"/>
        <w:kinsoku w:val="0"/>
        <w:wordWrap/>
        <w:overflowPunct/>
        <w:topLinePunct w:val="0"/>
        <w:autoSpaceDE w:val="0"/>
        <w:autoSpaceDN w:val="0"/>
        <w:bidi w:val="0"/>
        <w:adjustRightInd w:val="0"/>
        <w:snapToGrid w:val="0"/>
        <w:spacing w:before="1" w:line="218" w:lineRule="auto"/>
        <w:ind w:left="503"/>
        <w:textAlignment w:val="baseline"/>
        <w:rPr>
          <w:rFonts w:ascii="宋体" w:hAnsi="宋体" w:eastAsia="宋体" w:cs="宋体"/>
          <w:sz w:val="24"/>
          <w:szCs w:val="24"/>
        </w:rPr>
      </w:pPr>
      <w:r>
        <w:rPr>
          <w:rFonts w:ascii="宋体" w:hAnsi="宋体" w:eastAsia="宋体" w:cs="宋体"/>
          <w:spacing w:val="-2"/>
          <w:sz w:val="24"/>
          <w:szCs w:val="24"/>
        </w:rPr>
        <w:t>运维服务能力计划是运维服务战略的体现，主要内容包括如下几个方面：</w:t>
      </w:r>
    </w:p>
    <w:p w14:paraId="54E37AAB">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3"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运维服务战略规划和战略执行计划；</w:t>
      </w:r>
    </w:p>
    <w:p w14:paraId="45454984">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运维服务团队人力资源计划、储备、培养和培训；</w:t>
      </w:r>
    </w:p>
    <w:p w14:paraId="2139C214">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39" w:line="328" w:lineRule="exact"/>
        <w:ind w:left="425" w:leftChars="0" w:hanging="425" w:firstLineChars="0"/>
        <w:textAlignment w:val="baseline"/>
        <w:rPr>
          <w:rFonts w:ascii="宋体" w:hAnsi="宋体" w:eastAsia="宋体" w:cs="宋体"/>
          <w:sz w:val="24"/>
          <w:szCs w:val="24"/>
        </w:rPr>
      </w:pPr>
      <w:r>
        <w:rPr>
          <w:rFonts w:ascii="宋体" w:hAnsi="宋体" w:eastAsia="宋体" w:cs="宋体"/>
          <w:spacing w:val="-6"/>
          <w:position w:val="1"/>
          <w:sz w:val="24"/>
          <w:szCs w:val="24"/>
        </w:rPr>
        <w:t>运维服务资源计划；</w:t>
      </w:r>
    </w:p>
    <w:p w14:paraId="5C952C98">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3"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运维服务过程计划；</w:t>
      </w:r>
    </w:p>
    <w:p w14:paraId="0297AF04">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运维服务技术研发计划；</w:t>
      </w:r>
    </w:p>
    <w:p w14:paraId="06251036">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39" w:line="328" w:lineRule="exact"/>
        <w:ind w:left="425" w:leftChars="0" w:hanging="425" w:firstLineChars="0"/>
        <w:textAlignment w:val="baseline"/>
        <w:rPr>
          <w:rFonts w:ascii="宋体" w:hAnsi="宋体" w:eastAsia="宋体" w:cs="宋体"/>
          <w:sz w:val="24"/>
          <w:szCs w:val="24"/>
        </w:rPr>
      </w:pPr>
      <w:r>
        <w:rPr>
          <w:rFonts w:ascii="宋体" w:hAnsi="宋体" w:eastAsia="宋体" w:cs="宋体"/>
          <w:spacing w:val="-4"/>
          <w:position w:val="1"/>
          <w:sz w:val="24"/>
          <w:szCs w:val="24"/>
        </w:rPr>
        <w:t>运维服务能力管理体系改进计划；</w:t>
      </w:r>
    </w:p>
    <w:p w14:paraId="3F8DDA8D">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3"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交付和应急管理的计划；</w:t>
      </w:r>
    </w:p>
    <w:p w14:paraId="3CE8D625">
      <w:pPr>
        <w:pStyle w:val="12"/>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39" w:line="328" w:lineRule="exact"/>
        <w:ind w:left="425" w:leftChars="0" w:hanging="425" w:firstLineChars="0"/>
        <w:textAlignment w:val="baseline"/>
        <w:rPr>
          <w:rFonts w:ascii="宋体" w:hAnsi="宋体" w:eastAsia="宋体" w:cs="宋体"/>
          <w:sz w:val="24"/>
          <w:szCs w:val="24"/>
        </w:rPr>
      </w:pPr>
      <w:r>
        <w:rPr>
          <w:rFonts w:ascii="宋体" w:hAnsi="宋体" w:eastAsia="宋体" w:cs="宋体"/>
          <w:spacing w:val="-3"/>
          <w:position w:val="1"/>
          <w:sz w:val="24"/>
          <w:szCs w:val="24"/>
        </w:rPr>
        <w:t>运维服务能力管理指标的优化。</w:t>
      </w:r>
    </w:p>
    <w:p w14:paraId="61829BB1">
      <w:pPr>
        <w:pStyle w:val="12"/>
        <w:keepNext w:val="0"/>
        <w:keepLines w:val="0"/>
        <w:pageBreakBefore w:val="0"/>
        <w:widowControl w:val="0"/>
        <w:kinsoku w:val="0"/>
        <w:wordWrap/>
        <w:overflowPunct/>
        <w:topLinePunct w:val="0"/>
        <w:autoSpaceDE w:val="0"/>
        <w:autoSpaceDN w:val="0"/>
        <w:bidi w:val="0"/>
        <w:adjustRightInd w:val="0"/>
        <w:snapToGrid w:val="0"/>
        <w:spacing w:line="412" w:lineRule="auto"/>
        <w:textAlignment w:val="baseline"/>
      </w:pPr>
    </w:p>
    <w:p w14:paraId="07A6C72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9987"/>
      <w:bookmarkStart w:id="36" w:name="_Toc24467"/>
      <w:bookmarkStart w:id="37" w:name="_Toc29396"/>
      <w:r>
        <w:t>运维服务质量计划</w:t>
      </w:r>
      <w:bookmarkEnd w:id="35"/>
      <w:bookmarkEnd w:id="36"/>
      <w:bookmarkEnd w:id="37"/>
    </w:p>
    <w:p w14:paraId="33CF6B0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运维服务质量计划，在每个年度的年初编制，每</w:t>
      </w:r>
      <w:r>
        <w:rPr>
          <w:rFonts w:ascii="宋体" w:hAnsi="宋体" w:eastAsia="宋体" w:cs="宋体"/>
          <w:spacing w:val="-1"/>
          <w:sz w:val="24"/>
          <w:szCs w:val="24"/>
        </w:rPr>
        <w:t>年一次。运维服务质量计</w:t>
      </w:r>
      <w:r>
        <w:rPr>
          <w:rFonts w:ascii="宋体" w:hAnsi="宋体" w:eastAsia="宋体" w:cs="宋体"/>
          <w:sz w:val="24"/>
          <w:szCs w:val="24"/>
        </w:rPr>
        <w:t>划由质量部组织编制，包括内审、管理评审、内部过</w:t>
      </w:r>
      <w:r>
        <w:rPr>
          <w:rFonts w:ascii="宋体" w:hAnsi="宋体" w:eastAsia="宋体" w:cs="宋体"/>
          <w:spacing w:val="-1"/>
          <w:sz w:val="24"/>
          <w:szCs w:val="24"/>
        </w:rPr>
        <w:t>程改进、客户满意度、</w:t>
      </w:r>
      <w:r>
        <w:rPr>
          <w:rFonts w:ascii="宋体" w:hAnsi="宋体" w:eastAsia="宋体" w:cs="宋体"/>
          <w:spacing w:val="-3"/>
          <w:sz w:val="24"/>
          <w:szCs w:val="24"/>
        </w:rPr>
        <w:t>运维服务指标数据分析等各项内容。</w:t>
      </w:r>
    </w:p>
    <w:p w14:paraId="301AA16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29847"/>
      <w:bookmarkStart w:id="39" w:name="_Toc11885"/>
      <w:bookmarkStart w:id="40" w:name="_Toc8722"/>
      <w:r>
        <w:t>实施</w:t>
      </w:r>
      <w:bookmarkEnd w:id="38"/>
      <w:bookmarkEnd w:id="39"/>
      <w:bookmarkEnd w:id="40"/>
    </w:p>
    <w:p w14:paraId="233347D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运维部各工作组及各运维服务相关部门依照运维服务能力管理体系要求，在运维服务能力计划的基础上，执行运行维护服务的相关流程，实施、管理与交付服务，以满足与客户协商确定的服务承诺。具体包括：</w:t>
      </w:r>
    </w:p>
    <w:p w14:paraId="30CC085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制定与运维服务能力管理体系和运维服务能力计划相适宜的部门运维服务实施计划和项目管理制度，保证运维服务策划所要求的服务能力及服务质量；</w:t>
      </w:r>
    </w:p>
    <w:p w14:paraId="4044AE8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建立与客户有效沟通协调的制度，以保证客户的需求和反馈得到充分的确认；</w:t>
      </w:r>
    </w:p>
    <w:p w14:paraId="113D943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运维服务实施过程所有记录需按要求执行并存档，保证服务过程可追溯，结果可计量和评估，便于发现运维服务能力的不足，进而持续改进；</w:t>
      </w:r>
    </w:p>
    <w:p w14:paraId="77D31C3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质量部对交付过程和交付物进行客观审计；</w:t>
      </w:r>
    </w:p>
    <w:p w14:paraId="40CD798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质量部对实施结果定期组织总结评估，提出问题改进办法和优化建议。</w:t>
      </w:r>
    </w:p>
    <w:p w14:paraId="2405048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8687"/>
      <w:bookmarkStart w:id="42" w:name="_Toc31148"/>
      <w:bookmarkStart w:id="43" w:name="_Toc2215"/>
      <w:r>
        <w:t>检查</w:t>
      </w:r>
      <w:bookmarkEnd w:id="41"/>
      <w:bookmarkEnd w:id="42"/>
      <w:bookmarkEnd w:id="43"/>
    </w:p>
    <w:p w14:paraId="62B905B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为保证运维服务能力管理体系和服务能力的持续性、适用性和有效性，对实施结果和过程的执行进行检查、计量、评审和分析。具体包括：</w:t>
      </w:r>
    </w:p>
    <w:p w14:paraId="78B5ECF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公司质量部负责每年组织一到两次例行的内审工作，对运维服务体系运行的过程和指标进行检查，对不符合管理要求的过程和指标进行跟踪验证，直至闭合，并编制审核报告报运维服务能力管理层决策；</w:t>
      </w:r>
    </w:p>
    <w:p w14:paraId="01C5191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内部过程改进；</w:t>
      </w:r>
    </w:p>
    <w:p w14:paraId="1DC90CC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公司定期调查客户满意度，并对调查结果进行统计分析；</w:t>
      </w:r>
    </w:p>
    <w:p w14:paraId="151FE64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运维服务指标数据分析。</w:t>
      </w:r>
    </w:p>
    <w:p w14:paraId="7B00C3C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_Toc30188"/>
      <w:bookmarkStart w:id="45" w:name="_Toc15079"/>
      <w:bookmarkStart w:id="46" w:name="_Toc25646"/>
      <w:r>
        <w:t>内审</w:t>
      </w:r>
      <w:bookmarkEnd w:id="44"/>
      <w:bookmarkEnd w:id="45"/>
      <w:bookmarkEnd w:id="46"/>
    </w:p>
    <w:p w14:paraId="492F7B1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为验证运维服务能力管理体系活动和有关结果是否符合信息技术服务相关标准要求和运维服务能力管理体系文件，公司质量部组织相关服务部门针对运维服务能力管理体系进行内部审查工作。</w:t>
      </w:r>
    </w:p>
    <w:p w14:paraId="56171C7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年度内审计划由质量部负责编制，根据各部门服务管理体系实施情况、重要性及以往审核结果编制年度内部审核计划，内审计划报管理者代表批准后实施。</w:t>
      </w:r>
    </w:p>
    <w:p w14:paraId="3751FEE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内部审核每年至少进行一次，审核覆盖运维服务能力管理体系涉及的所有部门和运维服务能力管理体系全部要求。</w:t>
      </w:r>
    </w:p>
    <w:p w14:paraId="3442DC8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内审小组的人员构成主要由质量管理人员、运维服务流程负责人等组成。运维服务能力管理体系可与质量管理体系一并审核。</w:t>
      </w:r>
    </w:p>
    <w:p w14:paraId="512640D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6776"/>
      <w:bookmarkStart w:id="48" w:name="_Toc8160"/>
      <w:bookmarkStart w:id="49" w:name="_Toc7984"/>
      <w:r>
        <w:t>管理评审</w:t>
      </w:r>
      <w:bookmarkEnd w:id="47"/>
      <w:bookmarkEnd w:id="48"/>
      <w:bookmarkEnd w:id="49"/>
    </w:p>
    <w:p w14:paraId="771DC23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为确保运维服务能力管理体系和服务能力的持续性、适用性和有效性，公司管理层每年进行一次例行的管理评审，对运维服务体系的现状和适应性做出评价。</w:t>
      </w:r>
    </w:p>
    <w:p w14:paraId="0F5E0FE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管理评审由公司质量部启动，管理者代表和质量部具体组织和实施相关准备工作，就组织机构、人员、资源、技术、过程、交付</w:t>
      </w:r>
      <w:r>
        <w:rPr>
          <w:rFonts w:hint="eastAsia" w:ascii="宋体" w:hAnsi="宋体" w:eastAsia="宋体" w:cs="宋体"/>
          <w:sz w:val="24"/>
          <w:szCs w:val="24"/>
          <w:lang w:val="en-US" w:eastAsia="zh-CN"/>
        </w:rPr>
        <w:t>和</w:t>
      </w:r>
      <w:r>
        <w:rPr>
          <w:rFonts w:ascii="宋体" w:hAnsi="宋体" w:eastAsia="宋体" w:cs="宋体"/>
          <w:sz w:val="24"/>
          <w:szCs w:val="24"/>
        </w:rPr>
        <w:t>应急方面作出决策，以保证体系持续有效的要求。</w:t>
      </w:r>
    </w:p>
    <w:p w14:paraId="2A76162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管理评审每年一次，特殊情况下，如：管理方针、目标、组织结构、业务流程出现重大调整，出现重大的质量事故和客户投诉，由运维服务能力管理体系指导组成员提出申请，经最高管理者批准后，管理评审可随时举行</w:t>
      </w:r>
      <w:r>
        <w:rPr>
          <w:rFonts w:ascii="宋体" w:hAnsi="宋体" w:eastAsia="宋体" w:cs="宋体"/>
          <w:spacing w:val="-2"/>
          <w:sz w:val="24"/>
          <w:szCs w:val="24"/>
        </w:rPr>
        <w:t>。</w:t>
      </w:r>
    </w:p>
    <w:p w14:paraId="231E25B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_Toc11653"/>
      <w:bookmarkStart w:id="51" w:name="_Toc16983"/>
      <w:bookmarkStart w:id="52" w:name="_Toc21268"/>
      <w:r>
        <w:t>客户满意度</w:t>
      </w:r>
      <w:bookmarkEnd w:id="50"/>
      <w:bookmarkEnd w:id="51"/>
      <w:bookmarkEnd w:id="52"/>
    </w:p>
    <w:p w14:paraId="529A806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运维部服务台组负责调查客户满意度信息，将其作为运维服务能力管理体系有效的一种度量，并充分加以利用。</w:t>
      </w:r>
    </w:p>
    <w:p w14:paraId="23AFF80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_Toc2959"/>
      <w:bookmarkStart w:id="54" w:name="_Toc17579"/>
      <w:bookmarkStart w:id="55" w:name="_Toc24478"/>
      <w:r>
        <w:t>改进</w:t>
      </w:r>
      <w:bookmarkEnd w:id="53"/>
      <w:bookmarkEnd w:id="54"/>
      <w:bookmarkEnd w:id="55"/>
    </w:p>
    <w:p w14:paraId="6B64A0A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为了改进公司运行维护服务能力管理过程中的不足，持续提升运行维护服务能力，管理者代表组织好改进过程的策划工作，由质量部负责实施改进过程的管理。具体包括：</w:t>
      </w:r>
    </w:p>
    <w:p w14:paraId="3CE4AA18">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制定有效的、全面的服务能力改进机制，确保运维服务能力不断提高；</w:t>
      </w:r>
    </w:p>
    <w:p w14:paraId="037A1A42">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对管控过程中发现的不符合策划要求的行为和未达成的指标进行总结、调查分析，质量部负责根据分析结果确定改进措施，监控改进计划的落实；</w:t>
      </w:r>
    </w:p>
    <w:p w14:paraId="54D4A480">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改进相关过程文件，包括制度文件、分析报告、改进计划和相关记录等予以存档。</w:t>
      </w:r>
    </w:p>
    <w:p w14:paraId="7C9C80C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6" w:name="_Toc24696"/>
      <w:bookmarkStart w:id="57" w:name="_Toc26260"/>
      <w:bookmarkStart w:id="58" w:name="_Toc31888"/>
      <w:r>
        <w:t>交付</w:t>
      </w:r>
      <w:bookmarkEnd w:id="56"/>
      <w:bookmarkEnd w:id="57"/>
      <w:bookmarkEnd w:id="58"/>
    </w:p>
    <w:p w14:paraId="39DE540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为了向用户方交付有效、高效和合理的运维服务，使公司和用户方对运维服务交付标准达成一致，为用户方和公司提供运维交付的最佳实践和质量。公司对服务交付过程规划、实施、检查和改进以保障运维服务 SLA 的达成。</w:t>
      </w:r>
    </w:p>
    <w:p w14:paraId="7ED2A0F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_Toc17636"/>
      <w:bookmarkStart w:id="60" w:name="_Toc1547"/>
      <w:bookmarkStart w:id="61" w:name="_Toc27768"/>
      <w:r>
        <w:t>交付策划</w:t>
      </w:r>
      <w:bookmarkEnd w:id="59"/>
      <w:bookmarkEnd w:id="60"/>
      <w:bookmarkEnd w:id="61"/>
    </w:p>
    <w:p w14:paraId="33B1479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根据用户方需求和公司自身能力，双方协商签署项目合同；公司做好必要的交付准备，制定运维项目服务交付计划，确保服务正常提供。</w:t>
      </w:r>
    </w:p>
    <w:p w14:paraId="6826D98A">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运维项目服务交付计划中内容包括：</w:t>
      </w:r>
    </w:p>
    <w:p w14:paraId="00B9FA9B">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2"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依据服务目录与用户方确认服务级别协议；</w:t>
      </w:r>
    </w:p>
    <w:p w14:paraId="54794131">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编制交付实施计划、交付检查计划和交付改进计划；</w:t>
      </w:r>
    </w:p>
    <w:p w14:paraId="2F6E26F6">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配备符合能力要求的管理人员和专业人员；</w:t>
      </w:r>
    </w:p>
    <w:p w14:paraId="4E48D934">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3" w:line="360" w:lineRule="auto"/>
        <w:ind w:left="425" w:leftChars="0" w:right="160" w:hanging="425" w:firstLineChars="0"/>
        <w:textAlignment w:val="baseline"/>
        <w:rPr>
          <w:rFonts w:ascii="宋体" w:hAnsi="宋体" w:eastAsia="宋体" w:cs="宋体"/>
          <w:sz w:val="24"/>
          <w:szCs w:val="24"/>
        </w:rPr>
      </w:pPr>
      <w:r>
        <w:rPr>
          <w:rFonts w:ascii="宋体" w:hAnsi="宋体" w:eastAsia="宋体" w:cs="宋体"/>
          <w:spacing w:val="-1"/>
          <w:sz w:val="24"/>
          <w:szCs w:val="24"/>
        </w:rPr>
        <w:t>明确职责分工、服务流程和关键技术要求，必要时提供服务手册和技术手</w:t>
      </w:r>
      <w:r>
        <w:rPr>
          <w:rFonts w:ascii="宋体" w:hAnsi="宋体" w:eastAsia="宋体" w:cs="宋体"/>
          <w:spacing w:val="-17"/>
          <w:sz w:val="24"/>
          <w:szCs w:val="24"/>
        </w:rPr>
        <w:t>册；</w:t>
      </w:r>
    </w:p>
    <w:p w14:paraId="7342C7DC">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准备必要的资源，如工具、服务台和知识库；</w:t>
      </w:r>
    </w:p>
    <w:p w14:paraId="131FABEE">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明确考核要求、计算办法和奖惩措施；</w:t>
      </w:r>
    </w:p>
    <w:p w14:paraId="53FF2FE7">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3"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明确服务交付过程中的安全要求，并采取保障措施，如签署保密协议等；</w:t>
      </w:r>
    </w:p>
    <w:p w14:paraId="792FC9DB">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3"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明确服务交付过程中可能存在的各种风险，制定风险规避计</w:t>
      </w:r>
      <w:r>
        <w:rPr>
          <w:rFonts w:ascii="宋体" w:hAnsi="宋体" w:eastAsia="宋体" w:cs="宋体"/>
          <w:spacing w:val="-4"/>
          <w:sz w:val="24"/>
          <w:szCs w:val="24"/>
        </w:rPr>
        <w:t>划；</w:t>
      </w:r>
    </w:p>
    <w:p w14:paraId="26E4E0EA">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2" w:line="360" w:lineRule="auto"/>
        <w:ind w:left="425" w:leftChars="0" w:right="160" w:hanging="425" w:firstLineChars="0"/>
        <w:textAlignment w:val="baseline"/>
        <w:rPr>
          <w:rFonts w:ascii="宋体" w:hAnsi="宋体" w:eastAsia="宋体" w:cs="宋体"/>
          <w:sz w:val="24"/>
          <w:szCs w:val="24"/>
        </w:rPr>
      </w:pPr>
      <w:r>
        <w:rPr>
          <w:rFonts w:ascii="宋体" w:hAnsi="宋体" w:eastAsia="宋体" w:cs="宋体"/>
          <w:spacing w:val="-1"/>
          <w:sz w:val="24"/>
          <w:szCs w:val="24"/>
        </w:rPr>
        <w:t>与用户方就必要信息达成共识，如时间计划、人员配备、投诉受理渠道及</w:t>
      </w:r>
      <w:r>
        <w:rPr>
          <w:rFonts w:ascii="宋体" w:hAnsi="宋体" w:eastAsia="宋体" w:cs="宋体"/>
          <w:spacing w:val="-13"/>
          <w:sz w:val="24"/>
          <w:szCs w:val="24"/>
        </w:rPr>
        <w:t>流程等；</w:t>
      </w:r>
    </w:p>
    <w:p w14:paraId="68665E06">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6"/>
          <w:sz w:val="24"/>
          <w:szCs w:val="24"/>
        </w:rPr>
        <w:t>明确供需双方产生异议的处理原则；</w:t>
      </w:r>
    </w:p>
    <w:p w14:paraId="34FE2D98">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4"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明确供需双方在交付过程中产生遗留问题的处理原则；</w:t>
      </w:r>
    </w:p>
    <w:p w14:paraId="4FDC63BD">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针对应急事件制定预案。</w:t>
      </w:r>
    </w:p>
    <w:p w14:paraId="5E78959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2" w:name="_Toc9794"/>
      <w:bookmarkStart w:id="63" w:name="_Toc20379"/>
      <w:bookmarkStart w:id="64" w:name="_Toc23864"/>
      <w:r>
        <w:t>交付实施</w:t>
      </w:r>
      <w:bookmarkEnd w:id="62"/>
      <w:bookmarkEnd w:id="63"/>
      <w:bookmarkEnd w:id="64"/>
    </w:p>
    <w:p w14:paraId="0334C80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按照交付策划向用户方提供运行维护服务，完成服务级别协议规定内容。交付实施过程中按照规定的服务级别、服务报告、事件、问题、配置、变更、发布、信息安全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最终软件库、服务数据10</w:t>
      </w:r>
      <w:r>
        <w:rPr>
          <w:rFonts w:ascii="宋体" w:hAnsi="宋体" w:eastAsia="宋体" w:cs="宋体"/>
          <w:sz w:val="24"/>
          <w:szCs w:val="24"/>
        </w:rPr>
        <w:t xml:space="preserve"> 个过程程序管理要求进行过程实施和记录。</w:t>
      </w:r>
    </w:p>
    <w:p w14:paraId="4D70BBC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_Toc22838"/>
      <w:bookmarkStart w:id="66" w:name="_Toc10545"/>
      <w:bookmarkStart w:id="67" w:name="_Toc19329"/>
      <w:r>
        <w:t>交付检查</w:t>
      </w:r>
      <w:bookmarkEnd w:id="65"/>
      <w:bookmarkEnd w:id="66"/>
      <w:bookmarkEnd w:id="67"/>
    </w:p>
    <w:p w14:paraId="6481889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公司质量部对项目做过程审计和项目质量点检查确保项目的交付过程和成果的有效性，通过抽查和定期的客户满意度调查，和用户方确认完成情况和满意度情况，并对发现的问题提出改进建议。</w:t>
      </w:r>
    </w:p>
    <w:p w14:paraId="64CEBD5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_Toc31036"/>
      <w:r>
        <w:t>交付改进</w:t>
      </w:r>
      <w:bookmarkEnd w:id="68"/>
    </w:p>
    <w:p w14:paraId="28CD666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总结和分析不符合的服务交付，项目负责人以及各领域负责人根据业务影响分析，对不符合和用户方不满意，以及需要规避改进的内容进行跟踪性改进，以确保服务持续改进。</w:t>
      </w:r>
    </w:p>
    <w:p w14:paraId="0262A5C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5952"/>
      <w:bookmarkStart w:id="70" w:name="_Toc2610"/>
      <w:bookmarkStart w:id="71" w:name="_Toc6072"/>
      <w:r>
        <w:t>应急</w:t>
      </w:r>
      <w:bookmarkEnd w:id="69"/>
      <w:bookmarkEnd w:id="70"/>
      <w:bookmarkEnd w:id="71"/>
    </w:p>
    <w:p w14:paraId="3CFAB22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为预防和控制潜在的事故或紧急情况，并对其做出应急准备和响应，最大限度地减少可能产生的事故和可能造成的后果，应对应急准备、监测与预警、应急处置和总结改进进行管理。</w:t>
      </w:r>
    </w:p>
    <w:p w14:paraId="7B26F8B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_Toc25441"/>
      <w:bookmarkStart w:id="73" w:name="_Toc19736"/>
      <w:bookmarkStart w:id="74" w:name="_Toc20712"/>
      <w:r>
        <w:t>应急准备</w:t>
      </w:r>
      <w:bookmarkEnd w:id="72"/>
      <w:bookmarkEnd w:id="73"/>
      <w:bookmarkEnd w:id="74"/>
    </w:p>
    <w:p w14:paraId="275AD352">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为预防和控制潜在的事故或紧急情况，并对其做出应急准备和响应，最大限度地减少可能产生的事故和可能造成的后果，应对应急准备、监测与预警、应急处置和总结改进进行管理。</w:t>
      </w:r>
    </w:p>
    <w:p w14:paraId="5DAA5C4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5" w:name="_Toc2930"/>
      <w:bookmarkStart w:id="76" w:name="_Toc1305"/>
      <w:bookmarkStart w:id="77" w:name="_Toc1120"/>
      <w:r>
        <w:t>应急响应组织</w:t>
      </w:r>
      <w:bookmarkEnd w:id="75"/>
      <w:bookmarkEnd w:id="76"/>
      <w:bookmarkEnd w:id="77"/>
    </w:p>
    <w:p w14:paraId="644CBBD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成立应急响应小组，由公司副总经理担任组长；由质量部、研发部等相关部门领导、技术骨干等组成。</w:t>
      </w:r>
    </w:p>
    <w:p w14:paraId="6D62579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组织开展事件预防、应急处置、恢复运行、事件通报等各项应急工作。相关部门要主动协调有关各方面，参与实施部门听从指挥、步调一致。</w:t>
      </w:r>
    </w:p>
    <w:p w14:paraId="3EF4D1A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_Toc942"/>
      <w:bookmarkStart w:id="79" w:name="_Toc20557"/>
      <w:bookmarkStart w:id="80" w:name="_Toc13838"/>
      <w:r>
        <w:t>应急响应制度</w:t>
      </w:r>
      <w:bookmarkEnd w:id="78"/>
      <w:bookmarkEnd w:id="79"/>
      <w:bookmarkEnd w:id="80"/>
    </w:p>
    <w:p w14:paraId="77760B1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制定应急响应管理规范，明确应急响应的目标、原则、范围，并要求：与相关利益方就应急响应制度达成一致；</w:t>
      </w:r>
    </w:p>
    <w:p w14:paraId="05D73C7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定期对应急响应制度进行评审；</w:t>
      </w:r>
    </w:p>
    <w:p w14:paraId="7118EAC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在组织战略、业务流程、客户要求等发生重大变化时对应急响应制度进行调整。</w:t>
      </w:r>
    </w:p>
    <w:p w14:paraId="103A76F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1" w:name="_Toc23059"/>
      <w:bookmarkStart w:id="82" w:name="_Toc25410"/>
      <w:bookmarkStart w:id="83" w:name="_Toc16688"/>
      <w:r>
        <w:t>风险评估与改进</w:t>
      </w:r>
      <w:bookmarkEnd w:id="81"/>
      <w:bookmarkEnd w:id="82"/>
      <w:bookmarkEnd w:id="83"/>
    </w:p>
    <w:p w14:paraId="05A387D8">
      <w:pPr>
        <w:pStyle w:val="12"/>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24"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12"/>
          <w:sz w:val="24"/>
          <w:szCs w:val="24"/>
        </w:rPr>
        <w:t>风险评估</w:t>
      </w:r>
    </w:p>
    <w:p w14:paraId="66D9534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按照确定的方法和流程对重要信息系统实施风险评估，确保了解其在运行维护过程中的关键活动、所需资源、限制条件及信息系统面临的各种风险要素。了解当风险演变为应急事件时所产生的影响和后果，以及信息系统服务中断所带来的损失。</w:t>
      </w:r>
    </w:p>
    <w:p w14:paraId="29BF8920">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企业授权组织内或组织外的服务公司进行风险识别，并将授权通知到所有相关利益方。被授权的服务公司结合具体的信息系统现状和要求，从技术和管理等方面确定风险要素。</w:t>
      </w:r>
    </w:p>
    <w:p w14:paraId="53146F30">
      <w:pPr>
        <w:pStyle w:val="12"/>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改进</w:t>
      </w:r>
    </w:p>
    <w:p w14:paraId="79D16EA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对于识别出的各种风险，制定明确的控制策略，必要时对业务系统进行升级改造。可供选择的风险控制策略包括：风险规避、风险转移、风险降低、风险接受。</w:t>
      </w:r>
    </w:p>
    <w:p w14:paraId="7981069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20133"/>
      <w:bookmarkStart w:id="85" w:name="_Toc31686"/>
      <w:bookmarkStart w:id="86" w:name="_Toc29172"/>
      <w:r>
        <w:t>应急事件级别划分</w:t>
      </w:r>
      <w:bookmarkEnd w:id="84"/>
      <w:bookmarkEnd w:id="85"/>
      <w:bookmarkEnd w:id="86"/>
    </w:p>
    <w:p w14:paraId="21AA211D">
      <w:pPr>
        <w:keepNext w:val="0"/>
        <w:keepLines w:val="0"/>
        <w:pageBreakBefore w:val="0"/>
        <w:widowControl w:val="0"/>
        <w:kinsoku w:val="0"/>
        <w:wordWrap/>
        <w:overflowPunct/>
        <w:topLinePunct w:val="0"/>
        <w:autoSpaceDE w:val="0"/>
        <w:autoSpaceDN w:val="0"/>
        <w:bidi w:val="0"/>
        <w:adjustRightInd w:val="0"/>
        <w:snapToGrid w:val="0"/>
        <w:spacing w:before="78" w:line="360" w:lineRule="auto"/>
        <w:ind w:left="30" w:right="205" w:firstLine="474"/>
        <w:textAlignment w:val="baseline"/>
        <w:rPr>
          <w:rFonts w:ascii="宋体" w:hAnsi="宋体" w:eastAsia="宋体" w:cs="宋体"/>
          <w:sz w:val="24"/>
          <w:szCs w:val="24"/>
        </w:rPr>
      </w:pPr>
      <w:r>
        <w:rPr>
          <w:rFonts w:ascii="宋体" w:hAnsi="宋体" w:eastAsia="宋体" w:cs="宋体"/>
          <w:sz w:val="24"/>
          <w:szCs w:val="24"/>
        </w:rPr>
        <w:t>按照系统的订单等级、系统服务时段、系统</w:t>
      </w:r>
      <w:r>
        <w:rPr>
          <w:rFonts w:ascii="宋体" w:hAnsi="宋体" w:eastAsia="宋体" w:cs="宋体"/>
          <w:spacing w:val="-1"/>
          <w:sz w:val="24"/>
          <w:szCs w:val="24"/>
        </w:rPr>
        <w:t>受损程度要素对可能发生的应</w:t>
      </w:r>
      <w:r>
        <w:rPr>
          <w:rFonts w:ascii="宋体" w:hAnsi="宋体" w:eastAsia="宋体" w:cs="宋体"/>
          <w:spacing w:val="-5"/>
          <w:sz w:val="24"/>
          <w:szCs w:val="24"/>
        </w:rPr>
        <w:t>急事件进行级别划分。</w:t>
      </w:r>
    </w:p>
    <w:p w14:paraId="33D0F2B2">
      <w:pPr>
        <w:keepNext w:val="0"/>
        <w:keepLines w:val="0"/>
        <w:pageBreakBefore w:val="0"/>
        <w:widowControl w:val="0"/>
        <w:kinsoku w:val="0"/>
        <w:wordWrap/>
        <w:overflowPunct/>
        <w:topLinePunct w:val="0"/>
        <w:autoSpaceDE w:val="0"/>
        <w:autoSpaceDN w:val="0"/>
        <w:bidi w:val="0"/>
        <w:adjustRightInd w:val="0"/>
        <w:snapToGrid w:val="0"/>
        <w:spacing w:before="2" w:line="361" w:lineRule="auto"/>
        <w:ind w:left="27" w:right="205" w:firstLine="479"/>
        <w:jc w:val="both"/>
        <w:textAlignment w:val="baseline"/>
        <w:rPr>
          <w:rFonts w:ascii="宋体" w:hAnsi="宋体" w:eastAsia="宋体" w:cs="宋体"/>
          <w:sz w:val="24"/>
          <w:szCs w:val="24"/>
        </w:rPr>
      </w:pPr>
      <w:r>
        <w:rPr>
          <w:rFonts w:ascii="宋体" w:hAnsi="宋体" w:eastAsia="宋体" w:cs="宋体"/>
          <w:spacing w:val="-1"/>
          <w:sz w:val="24"/>
          <w:szCs w:val="24"/>
        </w:rPr>
        <w:t>组织结合自身的业务要求，对应急事件级别对应的响应时间、处置完成时</w:t>
      </w:r>
      <w:r>
        <w:rPr>
          <w:rFonts w:ascii="宋体" w:hAnsi="宋体" w:eastAsia="宋体" w:cs="宋体"/>
          <w:sz w:val="24"/>
          <w:szCs w:val="24"/>
        </w:rPr>
        <w:t>间等达成一致。组织根据应急事件级别配置</w:t>
      </w:r>
      <w:r>
        <w:rPr>
          <w:rFonts w:ascii="宋体" w:hAnsi="宋体" w:eastAsia="宋体" w:cs="宋体"/>
          <w:spacing w:val="-1"/>
          <w:sz w:val="24"/>
          <w:szCs w:val="24"/>
        </w:rPr>
        <w:t>响应的保障措施，如人员、资金和</w:t>
      </w:r>
      <w:r>
        <w:rPr>
          <w:rFonts w:ascii="宋体" w:hAnsi="宋体" w:eastAsia="宋体" w:cs="宋体"/>
          <w:spacing w:val="-9"/>
          <w:sz w:val="24"/>
          <w:szCs w:val="24"/>
        </w:rPr>
        <w:t>设备等。</w:t>
      </w:r>
    </w:p>
    <w:p w14:paraId="56EA84A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7" w:name="_Toc7235"/>
      <w:bookmarkStart w:id="88" w:name="_Toc32547"/>
      <w:bookmarkStart w:id="89" w:name="_Toc4380"/>
      <w:r>
        <w:t>应急响应预案制定</w:t>
      </w:r>
      <w:bookmarkEnd w:id="87"/>
      <w:bookmarkEnd w:id="88"/>
      <w:bookmarkEnd w:id="89"/>
    </w:p>
    <w:p w14:paraId="4E2ABB38">
      <w:pPr>
        <w:pStyle w:val="12"/>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78"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预案制定与评审</w:t>
      </w:r>
    </w:p>
    <w:p w14:paraId="4BB6A59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根据应急事件级别制定应急响应预案。应急响应预案可以分为总体预案和针对某个项目的专项预案。</w:t>
      </w:r>
    </w:p>
    <w:p w14:paraId="4DDF92A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应急响应预案的格式能够为应急响应组织进行系统恢复操作提供快速明确的指导。应急响应预案明确、简洁，易于在紧急情况下执行，并使用检查列表。</w:t>
      </w:r>
    </w:p>
    <w:p w14:paraId="013C62D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服务用户方组织对应急响应预案进行评审，并与相关利益方达成一致。2）预案发布</w:t>
      </w:r>
    </w:p>
    <w:p w14:paraId="7CEECA5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经过评审确认的应急响应预案，应由应急响应执行组长负责发布。</w:t>
      </w:r>
    </w:p>
    <w:p w14:paraId="2196B9A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应急响应预案应进行版本控制。</w:t>
      </w:r>
    </w:p>
    <w:p w14:paraId="34B2DDA7">
      <w:pPr>
        <w:keepNext w:val="0"/>
        <w:keepLines w:val="0"/>
        <w:pageBreakBefore w:val="0"/>
        <w:widowControl w:val="0"/>
        <w:kinsoku w:val="0"/>
        <w:wordWrap/>
        <w:overflowPunct/>
        <w:topLinePunct w:val="0"/>
        <w:autoSpaceDE w:val="0"/>
        <w:autoSpaceDN w:val="0"/>
        <w:bidi w:val="0"/>
        <w:adjustRightInd w:val="0"/>
        <w:snapToGrid w:val="0"/>
        <w:spacing w:before="97" w:line="221" w:lineRule="auto"/>
        <w:ind w:left="28"/>
        <w:textAlignment w:val="baseline"/>
        <w:rPr>
          <w:rFonts w:ascii="黑体" w:hAnsi="黑体" w:eastAsia="黑体" w:cs="黑体"/>
          <w:sz w:val="30"/>
          <w:szCs w:val="30"/>
        </w:rPr>
      </w:pPr>
      <w:r>
        <w:rPr>
          <w:rFonts w:ascii="黑体" w:hAnsi="黑体" w:eastAsia="黑体" w:cs="黑体"/>
          <w:b/>
          <w:bCs/>
          <w:spacing w:val="-6"/>
          <w:sz w:val="30"/>
          <w:szCs w:val="30"/>
        </w:rPr>
        <w:t>7.1.6</w:t>
      </w:r>
      <w:r>
        <w:rPr>
          <w:rFonts w:ascii="黑体" w:hAnsi="黑体" w:eastAsia="黑体" w:cs="黑体"/>
          <w:spacing w:val="-59"/>
          <w:sz w:val="30"/>
          <w:szCs w:val="30"/>
        </w:rPr>
        <w:t xml:space="preserve"> </w:t>
      </w:r>
      <w:r>
        <w:rPr>
          <w:rFonts w:ascii="黑体" w:hAnsi="黑体" w:eastAsia="黑体" w:cs="黑体"/>
          <w:b/>
          <w:bCs/>
          <w:spacing w:val="-6"/>
          <w:sz w:val="30"/>
          <w:szCs w:val="30"/>
        </w:rPr>
        <w:t>培训与演练</w:t>
      </w:r>
    </w:p>
    <w:p w14:paraId="78DF4920">
      <w:pPr>
        <w:pStyle w:val="12"/>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78"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1"/>
          <w:sz w:val="24"/>
          <w:szCs w:val="24"/>
        </w:rPr>
        <w:t>培训</w:t>
      </w:r>
    </w:p>
    <w:p w14:paraId="4C6656EB">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5" w:right="160" w:firstLine="479"/>
        <w:textAlignment w:val="baseline"/>
        <w:rPr>
          <w:rFonts w:ascii="宋体" w:hAnsi="宋体" w:eastAsia="宋体" w:cs="宋体"/>
          <w:sz w:val="24"/>
          <w:szCs w:val="24"/>
        </w:rPr>
      </w:pPr>
      <w:r>
        <w:rPr>
          <w:rFonts w:ascii="宋体" w:hAnsi="宋体" w:eastAsia="宋体" w:cs="宋体"/>
          <w:sz w:val="24"/>
          <w:szCs w:val="24"/>
        </w:rPr>
        <w:t>制定应急响应培训计划，并组织相关人员参与</w:t>
      </w:r>
      <w:r>
        <w:rPr>
          <w:rFonts w:ascii="宋体" w:hAnsi="宋体" w:eastAsia="宋体" w:cs="宋体"/>
          <w:spacing w:val="-1"/>
          <w:sz w:val="24"/>
          <w:szCs w:val="24"/>
        </w:rPr>
        <w:t>。应急响应预案作为培训的</w:t>
      </w:r>
      <w:r>
        <w:rPr>
          <w:rFonts w:ascii="宋体" w:hAnsi="宋体" w:eastAsia="宋体" w:cs="宋体"/>
          <w:spacing w:val="-8"/>
          <w:sz w:val="24"/>
          <w:szCs w:val="24"/>
        </w:rPr>
        <w:t>主要内容。</w:t>
      </w:r>
    </w:p>
    <w:p w14:paraId="45C319F6">
      <w:pPr>
        <w:keepNext w:val="0"/>
        <w:keepLines w:val="0"/>
        <w:pageBreakBefore w:val="0"/>
        <w:widowControl w:val="0"/>
        <w:kinsoku w:val="0"/>
        <w:wordWrap/>
        <w:overflowPunct/>
        <w:topLinePunct w:val="0"/>
        <w:autoSpaceDE w:val="0"/>
        <w:autoSpaceDN w:val="0"/>
        <w:bidi w:val="0"/>
        <w:adjustRightInd w:val="0"/>
        <w:snapToGrid w:val="0"/>
        <w:spacing w:line="360" w:lineRule="auto"/>
        <w:ind w:left="23" w:right="160" w:firstLine="480"/>
        <w:textAlignment w:val="baseline"/>
        <w:rPr>
          <w:rFonts w:ascii="宋体" w:hAnsi="宋体" w:eastAsia="宋体" w:cs="宋体"/>
          <w:sz w:val="24"/>
          <w:szCs w:val="24"/>
        </w:rPr>
      </w:pPr>
      <w:r>
        <w:rPr>
          <w:rFonts w:ascii="宋体" w:hAnsi="宋体" w:eastAsia="宋体" w:cs="宋体"/>
          <w:sz w:val="24"/>
          <w:szCs w:val="24"/>
        </w:rPr>
        <w:t>培训使得组织及人员明确其在应急响应过程中</w:t>
      </w:r>
      <w:r>
        <w:rPr>
          <w:rFonts w:ascii="宋体" w:hAnsi="宋体" w:eastAsia="宋体" w:cs="宋体"/>
          <w:spacing w:val="-1"/>
          <w:sz w:val="24"/>
          <w:szCs w:val="24"/>
        </w:rPr>
        <w:t>的责任范围、接口关系，明</w:t>
      </w:r>
      <w:r>
        <w:rPr>
          <w:rFonts w:ascii="宋体" w:hAnsi="宋体" w:eastAsia="宋体" w:cs="宋体"/>
          <w:spacing w:val="-3"/>
          <w:sz w:val="24"/>
          <w:szCs w:val="24"/>
        </w:rPr>
        <w:t>确应急处置的操作规范和操作流程。</w:t>
      </w:r>
    </w:p>
    <w:p w14:paraId="1C6C305F">
      <w:pPr>
        <w:keepNext w:val="0"/>
        <w:keepLines w:val="0"/>
        <w:pageBreakBefore w:val="0"/>
        <w:widowControl w:val="0"/>
        <w:kinsoku w:val="0"/>
        <w:wordWrap/>
        <w:overflowPunct/>
        <w:topLinePunct w:val="0"/>
        <w:autoSpaceDE w:val="0"/>
        <w:autoSpaceDN w:val="0"/>
        <w:bidi w:val="0"/>
        <w:adjustRightInd w:val="0"/>
        <w:snapToGrid w:val="0"/>
        <w:spacing w:before="1" w:line="218" w:lineRule="auto"/>
        <w:ind w:left="504"/>
        <w:textAlignment w:val="baseline"/>
        <w:rPr>
          <w:rFonts w:ascii="宋体" w:hAnsi="宋体" w:eastAsia="宋体" w:cs="宋体"/>
          <w:sz w:val="24"/>
          <w:szCs w:val="24"/>
        </w:rPr>
      </w:pPr>
      <w:r>
        <w:rPr>
          <w:rFonts w:ascii="宋体" w:hAnsi="宋体" w:eastAsia="宋体" w:cs="宋体"/>
          <w:spacing w:val="-3"/>
          <w:sz w:val="24"/>
          <w:szCs w:val="24"/>
        </w:rPr>
        <w:t>培训至少每年举办一次。</w:t>
      </w:r>
    </w:p>
    <w:p w14:paraId="72B7B2D1">
      <w:pPr>
        <w:pStyle w:val="12"/>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83" w:line="221"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演练</w:t>
      </w:r>
    </w:p>
    <w:p w14:paraId="6682E387">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4" w:right="160" w:firstLine="481"/>
        <w:textAlignment w:val="baseline"/>
        <w:rPr>
          <w:rFonts w:ascii="宋体" w:hAnsi="宋体" w:eastAsia="宋体" w:cs="宋体"/>
          <w:sz w:val="24"/>
          <w:szCs w:val="24"/>
        </w:rPr>
      </w:pPr>
      <w:r>
        <w:rPr>
          <w:rFonts w:ascii="宋体" w:hAnsi="宋体" w:eastAsia="宋体" w:cs="宋体"/>
          <w:spacing w:val="-1"/>
          <w:sz w:val="24"/>
          <w:szCs w:val="24"/>
        </w:rPr>
        <w:t>为检验应急响应预案的有效性，同时使相关人员了解运行维护预案的目标</w:t>
      </w:r>
      <w:r>
        <w:rPr>
          <w:rFonts w:ascii="宋体" w:hAnsi="宋体" w:eastAsia="宋体" w:cs="宋体"/>
          <w:spacing w:val="-2"/>
          <w:sz w:val="24"/>
          <w:szCs w:val="24"/>
        </w:rPr>
        <w:t>和内容，熟悉应急响应的操作规程，组织应</w:t>
      </w:r>
      <w:r>
        <w:rPr>
          <w:rFonts w:ascii="宋体" w:hAnsi="宋体" w:eastAsia="宋体" w:cs="宋体"/>
          <w:spacing w:val="-3"/>
          <w:sz w:val="24"/>
          <w:szCs w:val="24"/>
        </w:rPr>
        <w:t>进行应急演练，应：</w:t>
      </w:r>
    </w:p>
    <w:p w14:paraId="1BC6F8DB">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预先制定演练计划、演练脚本；</w:t>
      </w:r>
    </w:p>
    <w:p w14:paraId="55C11DC8">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84"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演练的整个过程有详细的记录，并形成报告；</w:t>
      </w:r>
    </w:p>
    <w:p w14:paraId="3DC1B21D">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8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演练不能影响业务的正常运行。</w:t>
      </w:r>
    </w:p>
    <w:p w14:paraId="4A3D65DA">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82"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为提升应急响应能力，组织可采用无脚本演练。</w:t>
      </w:r>
    </w:p>
    <w:p w14:paraId="2AB16B64">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83"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必要时，组织可根据演练的效果，对应急响应预案进行完善。</w:t>
      </w:r>
    </w:p>
    <w:p w14:paraId="640C8D8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_Toc8732"/>
      <w:bookmarkStart w:id="91" w:name="_Toc8890"/>
      <w:bookmarkStart w:id="92" w:name="_Toc26489"/>
      <w:r>
        <w:t>监测与预警</w:t>
      </w:r>
      <w:bookmarkEnd w:id="90"/>
      <w:bookmarkEnd w:id="91"/>
      <w:bookmarkEnd w:id="92"/>
    </w:p>
    <w:p w14:paraId="4ADA6CF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3" w:name="bookmark66"/>
      <w:bookmarkEnd w:id="93"/>
      <w:bookmarkStart w:id="94" w:name="_Toc10835"/>
      <w:bookmarkStart w:id="95" w:name="_Toc14763"/>
      <w:bookmarkStart w:id="96" w:name="_Toc12376"/>
      <w:r>
        <w:t>日常监测与预警</w:t>
      </w:r>
      <w:bookmarkEnd w:id="94"/>
      <w:bookmarkEnd w:id="95"/>
      <w:bookmarkEnd w:id="96"/>
    </w:p>
    <w:p w14:paraId="37D93652">
      <w:pPr>
        <w:pStyle w:val="12"/>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79"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1"/>
          <w:sz w:val="24"/>
          <w:szCs w:val="24"/>
        </w:rPr>
        <w:t>范围</w:t>
      </w:r>
    </w:p>
    <w:p w14:paraId="52E87BEA">
      <w:pPr>
        <w:keepNext w:val="0"/>
        <w:keepLines w:val="0"/>
        <w:pageBreakBefore w:val="0"/>
        <w:widowControl w:val="0"/>
        <w:kinsoku w:val="0"/>
        <w:wordWrap/>
        <w:overflowPunct/>
        <w:topLinePunct w:val="0"/>
        <w:autoSpaceDE w:val="0"/>
        <w:autoSpaceDN w:val="0"/>
        <w:bidi w:val="0"/>
        <w:adjustRightInd w:val="0"/>
        <w:snapToGrid w:val="0"/>
        <w:spacing w:before="182" w:line="360" w:lineRule="auto"/>
        <w:ind w:left="24" w:right="160" w:firstLine="481"/>
        <w:textAlignment w:val="baseline"/>
        <w:rPr>
          <w:rFonts w:ascii="宋体" w:hAnsi="宋体" w:eastAsia="宋体" w:cs="宋体"/>
          <w:sz w:val="24"/>
          <w:szCs w:val="24"/>
        </w:rPr>
      </w:pPr>
      <w:r>
        <w:rPr>
          <w:rFonts w:ascii="宋体" w:hAnsi="宋体" w:eastAsia="宋体" w:cs="宋体"/>
          <w:spacing w:val="-1"/>
          <w:sz w:val="24"/>
          <w:szCs w:val="24"/>
        </w:rPr>
        <w:t>组织持续开展日常监测活动，实施有效预警，对运行维护服务对象的运行</w:t>
      </w:r>
      <w:r>
        <w:rPr>
          <w:rFonts w:ascii="宋体" w:hAnsi="宋体" w:eastAsia="宋体" w:cs="宋体"/>
          <w:sz w:val="24"/>
          <w:szCs w:val="24"/>
        </w:rPr>
        <w:t>情况进行监测与预警，以跟踪和判别以下对象的容</w:t>
      </w:r>
      <w:r>
        <w:rPr>
          <w:rFonts w:ascii="宋体" w:hAnsi="宋体" w:eastAsia="宋体" w:cs="宋体"/>
          <w:spacing w:val="-1"/>
          <w:sz w:val="24"/>
          <w:szCs w:val="24"/>
        </w:rPr>
        <w:t>量、可用性和连续性；范围</w:t>
      </w:r>
      <w:r>
        <w:rPr>
          <w:rFonts w:ascii="宋体" w:hAnsi="宋体" w:eastAsia="宋体" w:cs="宋体"/>
          <w:spacing w:val="-15"/>
          <w:sz w:val="24"/>
          <w:szCs w:val="24"/>
        </w:rPr>
        <w:t>如下：</w:t>
      </w:r>
    </w:p>
    <w:p w14:paraId="5D37F47F">
      <w:pPr>
        <w:keepNext w:val="0"/>
        <w:keepLines w:val="0"/>
        <w:pageBreakBefore w:val="0"/>
        <w:widowControl w:val="0"/>
        <w:kinsoku w:val="0"/>
        <w:wordWrap/>
        <w:overflowPunct/>
        <w:topLinePunct w:val="0"/>
        <w:autoSpaceDE w:val="0"/>
        <w:autoSpaceDN w:val="0"/>
        <w:bidi w:val="0"/>
        <w:adjustRightInd w:val="0"/>
        <w:snapToGrid w:val="0"/>
        <w:spacing w:before="1" w:line="219" w:lineRule="auto"/>
        <w:ind w:left="502"/>
        <w:textAlignment w:val="baseline"/>
        <w:rPr>
          <w:rFonts w:ascii="宋体" w:hAnsi="宋体" w:eastAsia="宋体" w:cs="宋体"/>
          <w:sz w:val="24"/>
          <w:szCs w:val="24"/>
        </w:rPr>
      </w:pPr>
      <w:r>
        <w:rPr>
          <w:rFonts w:ascii="宋体" w:hAnsi="宋体" w:eastAsia="宋体" w:cs="宋体"/>
          <w:spacing w:val="-8"/>
          <w:sz w:val="24"/>
          <w:szCs w:val="24"/>
        </w:rPr>
        <w:t>业务平台系统；</w:t>
      </w:r>
    </w:p>
    <w:p w14:paraId="707AA12B">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504"/>
        <w:textAlignment w:val="baseline"/>
        <w:rPr>
          <w:rFonts w:ascii="宋体" w:hAnsi="宋体" w:eastAsia="宋体" w:cs="宋体"/>
          <w:sz w:val="24"/>
          <w:szCs w:val="24"/>
        </w:rPr>
      </w:pPr>
      <w:r>
        <w:rPr>
          <w:rFonts w:ascii="宋体" w:hAnsi="宋体" w:eastAsia="宋体" w:cs="宋体"/>
          <w:spacing w:val="-3"/>
          <w:sz w:val="24"/>
          <w:szCs w:val="24"/>
        </w:rPr>
        <w:t>支撑应用系统运行的操作系统软件、数据库软件；</w:t>
      </w:r>
      <w:r>
        <w:rPr>
          <w:rFonts w:ascii="宋体" w:hAnsi="宋体" w:eastAsia="宋体" w:cs="宋体"/>
          <w:spacing w:val="-10"/>
          <w:sz w:val="24"/>
          <w:szCs w:val="24"/>
        </w:rPr>
        <w:t>网络及网络设备；</w:t>
      </w:r>
      <w:r>
        <w:rPr>
          <w:rFonts w:ascii="宋体" w:hAnsi="宋体" w:eastAsia="宋体" w:cs="宋体"/>
          <w:spacing w:val="-7"/>
          <w:sz w:val="24"/>
          <w:szCs w:val="24"/>
        </w:rPr>
        <w:t>主机、存储等设备；</w:t>
      </w:r>
    </w:p>
    <w:p w14:paraId="5FAACCFC">
      <w:pPr>
        <w:pStyle w:val="12"/>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3"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手段与工具</w:t>
      </w:r>
    </w:p>
    <w:p w14:paraId="6D722661">
      <w:pPr>
        <w:keepNext w:val="0"/>
        <w:keepLines w:val="0"/>
        <w:pageBreakBefore w:val="0"/>
        <w:widowControl w:val="0"/>
        <w:kinsoku w:val="0"/>
        <w:wordWrap/>
        <w:overflowPunct/>
        <w:topLinePunct w:val="0"/>
        <w:autoSpaceDE w:val="0"/>
        <w:autoSpaceDN w:val="0"/>
        <w:bidi w:val="0"/>
        <w:adjustRightInd w:val="0"/>
        <w:snapToGrid w:val="0"/>
        <w:spacing w:before="181" w:line="360" w:lineRule="auto"/>
        <w:ind w:left="23" w:right="240" w:firstLine="485"/>
        <w:textAlignment w:val="baseline"/>
        <w:rPr>
          <w:rFonts w:ascii="宋体" w:hAnsi="宋体" w:eastAsia="宋体" w:cs="宋体"/>
          <w:sz w:val="24"/>
          <w:szCs w:val="24"/>
        </w:rPr>
      </w:pPr>
      <w:r>
        <w:rPr>
          <w:rFonts w:ascii="宋体" w:hAnsi="宋体" w:eastAsia="宋体" w:cs="宋体"/>
          <w:spacing w:val="-2"/>
          <w:sz w:val="24"/>
          <w:szCs w:val="24"/>
        </w:rPr>
        <w:t>结合运行维护服务级别协议和应急响应预案，开展日常监测</w:t>
      </w:r>
      <w:r>
        <w:rPr>
          <w:rFonts w:ascii="宋体" w:hAnsi="宋体" w:eastAsia="宋体" w:cs="宋体"/>
          <w:spacing w:val="-3"/>
          <w:sz w:val="24"/>
          <w:szCs w:val="24"/>
        </w:rPr>
        <w:t>与预警活动，</w:t>
      </w:r>
      <w:r>
        <w:rPr>
          <w:rFonts w:ascii="宋体" w:hAnsi="宋体" w:eastAsia="宋体" w:cs="宋体"/>
          <w:spacing w:val="-15"/>
          <w:sz w:val="24"/>
          <w:szCs w:val="24"/>
        </w:rPr>
        <w:t>包括：</w:t>
      </w:r>
    </w:p>
    <w:p w14:paraId="1E11ED03">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before="1"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6"/>
          <w:sz w:val="24"/>
          <w:szCs w:val="24"/>
        </w:rPr>
        <w:t>设立服务台并保持运营；</w:t>
      </w:r>
    </w:p>
    <w:p w14:paraId="411A6AD9">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6"/>
          <w:sz w:val="24"/>
          <w:szCs w:val="24"/>
        </w:rPr>
        <w:t>建立知识库并保持更新；</w:t>
      </w:r>
    </w:p>
    <w:p w14:paraId="09F44B1B">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确定监测项、监测时间间隔与阈值；</w:t>
      </w:r>
    </w:p>
    <w:p w14:paraId="2BABB0C5">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before="182"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确定活动中的人员、角色和职责。</w:t>
      </w:r>
    </w:p>
    <w:p w14:paraId="193FC0CD">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before="183"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采用运行维护工具与人工相结合的方式开展日常监测与预警活动。</w:t>
      </w:r>
    </w:p>
    <w:p w14:paraId="79B704A4">
      <w:pPr>
        <w:pStyle w:val="12"/>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41" w:line="327" w:lineRule="exact"/>
        <w:ind w:left="425" w:leftChars="0" w:hanging="425" w:firstLineChars="0"/>
        <w:textAlignment w:val="baseline"/>
        <w:rPr>
          <w:rFonts w:ascii="宋体" w:hAnsi="宋体" w:eastAsia="宋体" w:cs="宋体"/>
          <w:sz w:val="24"/>
          <w:szCs w:val="24"/>
        </w:rPr>
      </w:pPr>
      <w:r>
        <w:rPr>
          <w:rFonts w:ascii="宋体" w:hAnsi="宋体" w:eastAsia="宋体" w:cs="宋体"/>
          <w:spacing w:val="-4"/>
          <w:position w:val="1"/>
          <w:sz w:val="24"/>
          <w:szCs w:val="24"/>
        </w:rPr>
        <w:t>记录与报告</w:t>
      </w:r>
    </w:p>
    <w:p w14:paraId="3C7E0D2D">
      <w:pPr>
        <w:keepNext w:val="0"/>
        <w:keepLines w:val="0"/>
        <w:pageBreakBefore w:val="0"/>
        <w:widowControl w:val="0"/>
        <w:kinsoku w:val="0"/>
        <w:wordWrap/>
        <w:overflowPunct/>
        <w:topLinePunct w:val="0"/>
        <w:autoSpaceDE w:val="0"/>
        <w:autoSpaceDN w:val="0"/>
        <w:bidi w:val="0"/>
        <w:adjustRightInd w:val="0"/>
        <w:snapToGrid w:val="0"/>
        <w:spacing w:before="184" w:line="360" w:lineRule="auto"/>
        <w:ind w:left="22" w:right="186" w:firstLine="483"/>
        <w:textAlignment w:val="baseline"/>
        <w:rPr>
          <w:rFonts w:ascii="宋体" w:hAnsi="宋体" w:eastAsia="宋体" w:cs="宋体"/>
          <w:sz w:val="24"/>
          <w:szCs w:val="24"/>
        </w:rPr>
      </w:pPr>
      <w:r>
        <w:rPr>
          <w:rFonts w:ascii="宋体" w:hAnsi="宋体" w:eastAsia="宋体" w:cs="宋体"/>
          <w:spacing w:val="-1"/>
          <w:sz w:val="24"/>
          <w:szCs w:val="24"/>
        </w:rPr>
        <w:t>建立监测、预警的记录和报告制度，并按照约定的形式和时间间隔上报现</w:t>
      </w:r>
      <w:r>
        <w:rPr>
          <w:rFonts w:ascii="宋体" w:hAnsi="宋体" w:eastAsia="宋体" w:cs="宋体"/>
          <w:spacing w:val="-2"/>
          <w:sz w:val="24"/>
          <w:szCs w:val="24"/>
        </w:rPr>
        <w:t>场负责人。发现应急事件时，现场负责人提交报告，报告内容</w:t>
      </w:r>
      <w:r>
        <w:rPr>
          <w:rFonts w:ascii="宋体" w:hAnsi="宋体" w:eastAsia="宋体" w:cs="宋体"/>
          <w:spacing w:val="-3"/>
          <w:sz w:val="24"/>
          <w:szCs w:val="24"/>
        </w:rPr>
        <w:t>包括：</w:t>
      </w:r>
    </w:p>
    <w:p w14:paraId="4ED3141A">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应急事件发生及发现的时间、位置；</w:t>
      </w:r>
    </w:p>
    <w:p w14:paraId="4ECA9FE4">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1"/>
          <w:sz w:val="24"/>
          <w:szCs w:val="24"/>
        </w:rPr>
        <w:t>现象描述；</w:t>
      </w:r>
    </w:p>
    <w:p w14:paraId="7F052128">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0"/>
          <w:sz w:val="24"/>
          <w:szCs w:val="24"/>
        </w:rPr>
        <w:t>影响的范围；</w:t>
      </w:r>
    </w:p>
    <w:p w14:paraId="7DCF1882">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8"/>
          <w:sz w:val="24"/>
          <w:szCs w:val="24"/>
        </w:rPr>
        <w:t>初步原因分析；</w:t>
      </w:r>
    </w:p>
    <w:p w14:paraId="40032E67">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82"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8"/>
          <w:sz w:val="24"/>
          <w:szCs w:val="24"/>
        </w:rPr>
        <w:t>报告人。</w:t>
      </w:r>
    </w:p>
    <w:p w14:paraId="57188B46">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before="185"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报告方式包括电话、邮件或书面文件等，并确认对方收到报告。</w:t>
      </w:r>
    </w:p>
    <w:p w14:paraId="2F9AB60F">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z w:val="24"/>
          <w:szCs w:val="24"/>
        </w:rPr>
      </w:pPr>
      <w:r>
        <w:rPr>
          <w:rFonts w:ascii="宋体" w:hAnsi="宋体" w:eastAsia="宋体" w:cs="宋体"/>
          <w:spacing w:val="-2"/>
          <w:sz w:val="24"/>
          <w:szCs w:val="24"/>
        </w:rPr>
        <w:t>运维人员采取必要措施，开展应急事件的先期处置，以提高应急响应效率，</w:t>
      </w:r>
      <w:r>
        <w:rPr>
          <w:rFonts w:ascii="宋体" w:hAnsi="宋体" w:eastAsia="宋体" w:cs="宋体"/>
          <w:spacing w:val="-3"/>
          <w:sz w:val="24"/>
          <w:szCs w:val="24"/>
        </w:rPr>
        <w:t>避免次生、衍生事件的发生。</w:t>
      </w:r>
    </w:p>
    <w:p w14:paraId="16E115A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_Toc5471"/>
      <w:bookmarkStart w:id="98" w:name="_Toc19688"/>
      <w:bookmarkStart w:id="99" w:name="_Toc31624"/>
      <w:r>
        <w:t>事件评估</w:t>
      </w:r>
      <w:bookmarkEnd w:id="97"/>
      <w:bookmarkEnd w:id="98"/>
      <w:bookmarkEnd w:id="99"/>
    </w:p>
    <w:p w14:paraId="408BFCFC">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运维部现场运维部根据事件级别定义，初步确定应急事件所对应的事件级别。将事件级别置于动态调整控制中。</w:t>
      </w:r>
    </w:p>
    <w:p w14:paraId="1CBA3AE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0" w:name="_Toc5719"/>
      <w:bookmarkStart w:id="101" w:name="_Toc13170"/>
      <w:bookmarkStart w:id="102" w:name="_Toc19332"/>
      <w:r>
        <w:t>应急处置</w:t>
      </w:r>
      <w:bookmarkEnd w:id="100"/>
      <w:bookmarkEnd w:id="101"/>
      <w:bookmarkEnd w:id="102"/>
    </w:p>
    <w:p w14:paraId="20397DB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3" w:name="bookmark67"/>
      <w:bookmarkEnd w:id="103"/>
      <w:bookmarkStart w:id="104" w:name="_Toc9612"/>
      <w:bookmarkStart w:id="105" w:name="_Toc26047"/>
      <w:bookmarkStart w:id="106" w:name="_Toc7707"/>
      <w:r>
        <w:t>排查与诊断</w:t>
      </w:r>
      <w:bookmarkEnd w:id="104"/>
      <w:bookmarkEnd w:id="105"/>
      <w:bookmarkEnd w:id="106"/>
    </w:p>
    <w:p w14:paraId="699CFE0C">
      <w:pPr>
        <w:keepNext w:val="0"/>
        <w:keepLines w:val="0"/>
        <w:pageBreakBefore w:val="0"/>
        <w:widowControl w:val="0"/>
        <w:kinsoku w:val="0"/>
        <w:wordWrap/>
        <w:overflowPunct/>
        <w:topLinePunct w:val="0"/>
        <w:autoSpaceDE w:val="0"/>
        <w:autoSpaceDN w:val="0"/>
        <w:bidi w:val="0"/>
        <w:adjustRightInd w:val="0"/>
        <w:snapToGrid w:val="0"/>
        <w:spacing w:before="123" w:line="220" w:lineRule="auto"/>
        <w:ind w:left="507"/>
        <w:textAlignment w:val="baseline"/>
        <w:rPr>
          <w:rFonts w:ascii="宋体" w:hAnsi="宋体" w:eastAsia="宋体" w:cs="宋体"/>
          <w:sz w:val="24"/>
          <w:szCs w:val="24"/>
        </w:rPr>
      </w:pPr>
      <w:r>
        <w:rPr>
          <w:rFonts w:ascii="宋体" w:hAnsi="宋体" w:eastAsia="宋体" w:cs="宋体"/>
          <w:spacing w:val="-4"/>
          <w:sz w:val="24"/>
          <w:szCs w:val="24"/>
        </w:rPr>
        <w:t>故障排查与诊断的流程包含以下内容：</w:t>
      </w:r>
    </w:p>
    <w:p w14:paraId="69368B26">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现场运维部主管调度处置人员进行现场故障排查；</w:t>
      </w:r>
    </w:p>
    <w:p w14:paraId="3EA5444D">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before="182" w:line="360" w:lineRule="auto"/>
        <w:ind w:left="425" w:leftChars="0" w:right="205" w:hanging="425" w:firstLineChars="0"/>
        <w:textAlignment w:val="baseline"/>
        <w:rPr>
          <w:rFonts w:ascii="宋体" w:hAnsi="宋体" w:eastAsia="宋体" w:cs="宋体"/>
          <w:sz w:val="24"/>
          <w:szCs w:val="24"/>
        </w:rPr>
      </w:pPr>
      <w:r>
        <w:rPr>
          <w:rFonts w:ascii="宋体" w:hAnsi="宋体" w:eastAsia="宋体" w:cs="宋体"/>
          <w:sz w:val="24"/>
          <w:szCs w:val="24"/>
        </w:rPr>
        <w:t>现场处置人员随时向维护主管汇报故障排查</w:t>
      </w:r>
      <w:r>
        <w:rPr>
          <w:rFonts w:ascii="宋体" w:hAnsi="宋体" w:eastAsia="宋体" w:cs="宋体"/>
          <w:spacing w:val="-1"/>
          <w:sz w:val="24"/>
          <w:szCs w:val="24"/>
        </w:rPr>
        <w:t>情况、诊断信息、故障定位结</w:t>
      </w:r>
      <w:r>
        <w:rPr>
          <w:rFonts w:ascii="宋体" w:hAnsi="宋体" w:eastAsia="宋体" w:cs="宋体"/>
          <w:spacing w:val="-16"/>
          <w:sz w:val="24"/>
          <w:szCs w:val="24"/>
        </w:rPr>
        <w:t>果等；</w:t>
      </w:r>
    </w:p>
    <w:p w14:paraId="7C1ED565">
      <w:pPr>
        <w:keepNext w:val="0"/>
        <w:keepLines w:val="0"/>
        <w:pageBreakBefore w:val="0"/>
        <w:widowControl w:val="0"/>
        <w:numPr>
          <w:ilvl w:val="0"/>
          <w:numId w:val="12"/>
        </w:numPr>
        <w:kinsoku w:val="0"/>
        <w:wordWrap/>
        <w:overflowPunct/>
        <w:topLinePunct w:val="0"/>
        <w:autoSpaceDE w:val="0"/>
        <w:autoSpaceDN w:val="0"/>
        <w:bidi w:val="0"/>
        <w:adjustRightInd w:val="0"/>
        <w:snapToGrid w:val="0"/>
        <w:spacing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将排查与诊断的过程与结果信息进行整理与归档。</w:t>
      </w:r>
    </w:p>
    <w:p w14:paraId="3F14CF34">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处置过程中，现场运维部主管及时与相关利益方进行沟通，沟通的内容主要包括系统故障点、造成故障的原因、排查诊断状况等。</w:t>
      </w:r>
    </w:p>
    <w:p w14:paraId="3756C4C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7" w:name="_Toc6433"/>
      <w:r>
        <w:t>处理与恢复</w:t>
      </w:r>
      <w:bookmarkEnd w:id="107"/>
    </w:p>
    <w:p w14:paraId="4E9A354D">
      <w:pPr>
        <w:keepNext w:val="0"/>
        <w:keepLines w:val="0"/>
        <w:pageBreakBefore w:val="0"/>
        <w:widowControl w:val="0"/>
        <w:kinsoku w:val="0"/>
        <w:wordWrap/>
        <w:overflowPunct/>
        <w:topLinePunct w:val="0"/>
        <w:autoSpaceDE w:val="0"/>
        <w:autoSpaceDN w:val="0"/>
        <w:bidi w:val="0"/>
        <w:adjustRightInd w:val="0"/>
        <w:snapToGrid w:val="0"/>
        <w:spacing w:before="79" w:line="360" w:lineRule="auto"/>
        <w:ind w:left="28" w:right="18" w:firstLine="475"/>
        <w:textAlignment w:val="baseline"/>
        <w:rPr>
          <w:rFonts w:ascii="宋体" w:hAnsi="宋体" w:eastAsia="宋体" w:cs="宋体"/>
          <w:sz w:val="24"/>
          <w:szCs w:val="24"/>
        </w:rPr>
      </w:pPr>
      <w:r>
        <w:rPr>
          <w:rFonts w:ascii="宋体" w:hAnsi="宋体" w:eastAsia="宋体" w:cs="宋体"/>
          <w:spacing w:val="-2"/>
          <w:sz w:val="24"/>
          <w:szCs w:val="24"/>
        </w:rPr>
        <w:t>基于应急响应预案、配置管理数据库、知识库等进行故障处理和系统恢复，</w:t>
      </w:r>
      <w:r>
        <w:rPr>
          <w:rFonts w:ascii="宋体" w:hAnsi="宋体" w:eastAsia="宋体" w:cs="宋体"/>
          <w:spacing w:val="-6"/>
          <w:sz w:val="24"/>
          <w:szCs w:val="24"/>
        </w:rPr>
        <w:t>处理与恢复的原则包括：</w:t>
      </w:r>
    </w:p>
    <w:p w14:paraId="2FEF9E02">
      <w:pPr>
        <w:keepNext w:val="0"/>
        <w:keepLines w:val="0"/>
        <w:pageBreakBefore w:val="0"/>
        <w:widowControl w:val="0"/>
        <w:kinsoku w:val="0"/>
        <w:wordWrap/>
        <w:overflowPunct/>
        <w:topLinePunct w:val="0"/>
        <w:autoSpaceDE w:val="0"/>
        <w:autoSpaceDN w:val="0"/>
        <w:bidi w:val="0"/>
        <w:adjustRightInd w:val="0"/>
        <w:snapToGrid w:val="0"/>
        <w:spacing w:line="219" w:lineRule="auto"/>
        <w:ind w:left="502"/>
        <w:textAlignment w:val="baseline"/>
        <w:rPr>
          <w:rFonts w:ascii="宋体" w:hAnsi="宋体" w:eastAsia="宋体" w:cs="宋体"/>
          <w:sz w:val="24"/>
          <w:szCs w:val="24"/>
        </w:rPr>
      </w:pPr>
      <w:r>
        <w:rPr>
          <w:rFonts w:ascii="宋体" w:hAnsi="宋体" w:eastAsia="宋体" w:cs="宋体"/>
          <w:spacing w:val="-3"/>
          <w:sz w:val="24"/>
          <w:szCs w:val="24"/>
        </w:rPr>
        <w:t>在满足事件级别处置时间要求的前提下，尽快恢复服务；</w:t>
      </w:r>
    </w:p>
    <w:p w14:paraId="67402801">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502"/>
        <w:textAlignment w:val="baseline"/>
        <w:rPr>
          <w:rFonts w:ascii="宋体" w:hAnsi="宋体" w:eastAsia="宋体" w:cs="宋体"/>
          <w:sz w:val="24"/>
          <w:szCs w:val="24"/>
        </w:rPr>
      </w:pPr>
      <w:r>
        <w:rPr>
          <w:rFonts w:ascii="宋体" w:hAnsi="宋体" w:eastAsia="宋体" w:cs="宋体"/>
          <w:spacing w:val="-2"/>
          <w:sz w:val="24"/>
          <w:szCs w:val="24"/>
        </w:rPr>
        <w:t>采用的方法、手段不造成次生、衍生事件的发生。</w:t>
      </w:r>
    </w:p>
    <w:p w14:paraId="755F1879">
      <w:pPr>
        <w:keepNext w:val="0"/>
        <w:keepLines w:val="0"/>
        <w:pageBreakBefore w:val="0"/>
        <w:widowControl w:val="0"/>
        <w:kinsoku w:val="0"/>
        <w:wordWrap/>
        <w:overflowPunct/>
        <w:topLinePunct w:val="0"/>
        <w:autoSpaceDE w:val="0"/>
        <w:autoSpaceDN w:val="0"/>
        <w:bidi w:val="0"/>
        <w:adjustRightInd w:val="0"/>
        <w:snapToGrid w:val="0"/>
        <w:spacing w:before="183" w:line="218" w:lineRule="auto"/>
        <w:ind w:left="507"/>
        <w:textAlignment w:val="baseline"/>
        <w:rPr>
          <w:rFonts w:ascii="宋体" w:hAnsi="宋体" w:eastAsia="宋体" w:cs="宋体"/>
          <w:sz w:val="24"/>
          <w:szCs w:val="24"/>
        </w:rPr>
      </w:pPr>
      <w:r>
        <w:rPr>
          <w:rFonts w:ascii="宋体" w:hAnsi="宋体" w:eastAsia="宋体" w:cs="宋体"/>
          <w:spacing w:val="-2"/>
          <w:sz w:val="24"/>
          <w:szCs w:val="24"/>
        </w:rPr>
        <w:t>该对过程及结果信息进行记录，并及时告知相关利益方。</w:t>
      </w:r>
    </w:p>
    <w:p w14:paraId="1D3B8E6B">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03"/>
        <w:textAlignment w:val="baseline"/>
        <w:rPr>
          <w:rFonts w:ascii="宋体" w:hAnsi="宋体" w:eastAsia="宋体" w:cs="宋体"/>
          <w:sz w:val="24"/>
          <w:szCs w:val="24"/>
        </w:rPr>
      </w:pPr>
      <w:r>
        <w:rPr>
          <w:rFonts w:ascii="宋体" w:hAnsi="宋体" w:eastAsia="宋体" w:cs="宋体"/>
          <w:spacing w:val="-2"/>
          <w:sz w:val="24"/>
          <w:szCs w:val="24"/>
        </w:rPr>
        <w:t>服务台组组织对处理与恢复的结果进行初步确认。</w:t>
      </w:r>
    </w:p>
    <w:p w14:paraId="2B42ED4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8" w:name="_Toc30786"/>
      <w:bookmarkStart w:id="109" w:name="_Toc2313"/>
      <w:bookmarkStart w:id="110" w:name="_Toc24667"/>
      <w:r>
        <w:t>事件升级</w:t>
      </w:r>
      <w:bookmarkEnd w:id="108"/>
      <w:bookmarkEnd w:id="109"/>
      <w:bookmarkEnd w:id="110"/>
    </w:p>
    <w:p w14:paraId="0E7E46DF">
      <w:pPr>
        <w:keepNext w:val="0"/>
        <w:keepLines w:val="0"/>
        <w:pageBreakBefore w:val="0"/>
        <w:widowControl w:val="0"/>
        <w:kinsoku w:val="0"/>
        <w:wordWrap/>
        <w:overflowPunct/>
        <w:topLinePunct w:val="0"/>
        <w:autoSpaceDE w:val="0"/>
        <w:autoSpaceDN w:val="0"/>
        <w:bidi w:val="0"/>
        <w:adjustRightInd w:val="0"/>
        <w:snapToGrid w:val="0"/>
        <w:spacing w:before="79" w:line="360" w:lineRule="auto"/>
        <w:ind w:left="30" w:firstLine="487"/>
        <w:textAlignment w:val="baseline"/>
        <w:rPr>
          <w:rFonts w:ascii="宋体" w:hAnsi="宋体" w:eastAsia="宋体" w:cs="宋体"/>
          <w:sz w:val="24"/>
          <w:szCs w:val="24"/>
        </w:rPr>
      </w:pPr>
      <w:r>
        <w:rPr>
          <w:rFonts w:ascii="宋体" w:hAnsi="宋体" w:eastAsia="宋体" w:cs="宋体"/>
          <w:spacing w:val="-2"/>
          <w:sz w:val="24"/>
          <w:szCs w:val="24"/>
        </w:rPr>
        <w:t>当实际处置时间超过事件级别处置时间要求时，作为事件升级的参考要素。</w:t>
      </w:r>
      <w:r>
        <w:rPr>
          <w:rFonts w:ascii="宋体" w:hAnsi="宋体" w:eastAsia="宋体" w:cs="宋体"/>
          <w:spacing w:val="-1"/>
          <w:sz w:val="24"/>
          <w:szCs w:val="24"/>
        </w:rPr>
        <w:t>公司对事件升级可能造成的影响进行评估，并在相关利益方之间达成</w:t>
      </w:r>
      <w:r>
        <w:rPr>
          <w:rFonts w:ascii="宋体" w:hAnsi="宋体" w:eastAsia="宋体" w:cs="宋体"/>
          <w:spacing w:val="-2"/>
          <w:sz w:val="24"/>
          <w:szCs w:val="24"/>
        </w:rPr>
        <w:t>一致。</w:t>
      </w:r>
    </w:p>
    <w:p w14:paraId="71D38841">
      <w:pPr>
        <w:keepNext w:val="0"/>
        <w:keepLines w:val="0"/>
        <w:pageBreakBefore w:val="0"/>
        <w:widowControl w:val="0"/>
        <w:kinsoku w:val="0"/>
        <w:wordWrap/>
        <w:overflowPunct/>
        <w:topLinePunct w:val="0"/>
        <w:autoSpaceDE w:val="0"/>
        <w:autoSpaceDN w:val="0"/>
        <w:bidi w:val="0"/>
        <w:adjustRightInd w:val="0"/>
        <w:snapToGrid w:val="0"/>
        <w:spacing w:line="362" w:lineRule="auto"/>
        <w:ind w:left="23" w:right="205" w:firstLine="480"/>
        <w:textAlignment w:val="baseline"/>
        <w:rPr>
          <w:rFonts w:ascii="宋体" w:hAnsi="宋体" w:eastAsia="宋体" w:cs="宋体"/>
          <w:sz w:val="24"/>
          <w:szCs w:val="24"/>
        </w:rPr>
      </w:pPr>
      <w:r>
        <w:rPr>
          <w:rFonts w:ascii="宋体" w:hAnsi="宋体" w:eastAsia="宋体" w:cs="宋体"/>
          <w:sz w:val="24"/>
          <w:szCs w:val="24"/>
        </w:rPr>
        <w:t>事件升级的实施授权由运维部主管启动，并</w:t>
      </w:r>
      <w:r>
        <w:rPr>
          <w:rFonts w:ascii="宋体" w:hAnsi="宋体" w:eastAsia="宋体" w:cs="宋体"/>
          <w:spacing w:val="-1"/>
          <w:sz w:val="24"/>
          <w:szCs w:val="24"/>
        </w:rPr>
        <w:t>对事件升级的过程和结果</w:t>
      </w:r>
      <w:r>
        <w:rPr>
          <w:rFonts w:ascii="宋体" w:hAnsi="宋体" w:eastAsia="宋体" w:cs="宋体"/>
          <w:spacing w:val="-4"/>
          <w:sz w:val="24"/>
          <w:szCs w:val="24"/>
        </w:rPr>
        <w:t>信息进行整理与归档。</w:t>
      </w:r>
    </w:p>
    <w:p w14:paraId="6182077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1" w:name="_Toc6925"/>
      <w:bookmarkStart w:id="112" w:name="_Toc27849"/>
      <w:bookmarkStart w:id="113" w:name="_Toc28606"/>
      <w:r>
        <w:t>信息通报</w:t>
      </w:r>
      <w:bookmarkEnd w:id="111"/>
      <w:bookmarkEnd w:id="112"/>
      <w:bookmarkEnd w:id="113"/>
    </w:p>
    <w:p w14:paraId="4D5368A2">
      <w:pPr>
        <w:keepNext w:val="0"/>
        <w:keepLines w:val="0"/>
        <w:pageBreakBefore w:val="0"/>
        <w:widowControl w:val="0"/>
        <w:kinsoku w:val="0"/>
        <w:wordWrap/>
        <w:overflowPunct/>
        <w:topLinePunct w:val="0"/>
        <w:autoSpaceDE w:val="0"/>
        <w:autoSpaceDN w:val="0"/>
        <w:bidi w:val="0"/>
        <w:adjustRightInd w:val="0"/>
        <w:snapToGrid w:val="0"/>
        <w:spacing w:before="79" w:line="220" w:lineRule="auto"/>
        <w:ind w:left="503"/>
        <w:textAlignment w:val="baseline"/>
        <w:rPr>
          <w:rFonts w:ascii="宋体" w:hAnsi="宋体" w:eastAsia="宋体" w:cs="宋体"/>
          <w:sz w:val="24"/>
          <w:szCs w:val="24"/>
        </w:rPr>
      </w:pPr>
      <w:r>
        <w:rPr>
          <w:rFonts w:ascii="宋体" w:hAnsi="宋体" w:eastAsia="宋体" w:cs="宋体"/>
          <w:spacing w:val="-3"/>
          <w:sz w:val="24"/>
          <w:szCs w:val="24"/>
        </w:rPr>
        <w:t>运维部主管向相关利益方通报事件升级信息，内容包括：</w:t>
      </w:r>
    </w:p>
    <w:p w14:paraId="4F4736ED">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8"/>
          <w:sz w:val="24"/>
          <w:szCs w:val="24"/>
        </w:rPr>
        <w:t>事件升级的原因；</w:t>
      </w:r>
    </w:p>
    <w:p w14:paraId="03DE08FC">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7"/>
          <w:sz w:val="24"/>
          <w:szCs w:val="24"/>
        </w:rPr>
        <w:t>事件升级后的级别；</w:t>
      </w:r>
    </w:p>
    <w:p w14:paraId="4D148787">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事件升级后与之对应的预案；</w:t>
      </w:r>
    </w:p>
    <w:p w14:paraId="2C41BBF7">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before="182" w:line="218" w:lineRule="auto"/>
        <w:ind w:left="425" w:leftChars="0" w:hanging="425" w:firstLineChars="0"/>
        <w:textAlignment w:val="baseline"/>
        <w:rPr>
          <w:rFonts w:ascii="宋体" w:hAnsi="宋体" w:eastAsia="宋体" w:cs="宋体"/>
          <w:sz w:val="24"/>
          <w:szCs w:val="24"/>
        </w:rPr>
      </w:pPr>
      <w:r>
        <w:rPr>
          <w:rFonts w:ascii="宋体" w:hAnsi="宋体" w:eastAsia="宋体" w:cs="宋体"/>
          <w:sz w:val="24"/>
          <w:szCs w:val="24"/>
        </w:rPr>
        <w:t>对升级事件处置过程及结果的报告要求，如：报告</w:t>
      </w:r>
      <w:r>
        <w:rPr>
          <w:rFonts w:ascii="宋体" w:hAnsi="宋体" w:eastAsia="宋体" w:cs="宋体"/>
          <w:spacing w:val="-1"/>
          <w:sz w:val="24"/>
          <w:szCs w:val="24"/>
        </w:rPr>
        <w:t>程序、报告对象、报告</w:t>
      </w:r>
      <w:r>
        <w:rPr>
          <w:rFonts w:ascii="宋体" w:hAnsi="宋体" w:eastAsia="宋体" w:cs="宋体"/>
          <w:spacing w:val="-10"/>
          <w:sz w:val="24"/>
          <w:szCs w:val="24"/>
        </w:rPr>
        <w:t>内容、报告频率等；</w:t>
      </w:r>
    </w:p>
    <w:p w14:paraId="08D551F2">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before="183"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信息通报的范围和涉及的接受者。</w:t>
      </w:r>
    </w:p>
    <w:p w14:paraId="26C94805">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503"/>
        <w:textAlignment w:val="baseline"/>
        <w:rPr>
          <w:rFonts w:ascii="宋体" w:hAnsi="宋体" w:eastAsia="宋体" w:cs="宋体"/>
          <w:sz w:val="24"/>
          <w:szCs w:val="24"/>
        </w:rPr>
      </w:pPr>
      <w:r>
        <w:rPr>
          <w:rFonts w:ascii="宋体" w:hAnsi="宋体" w:eastAsia="宋体" w:cs="宋体"/>
          <w:spacing w:val="-2"/>
          <w:sz w:val="24"/>
          <w:szCs w:val="24"/>
        </w:rPr>
        <w:t>信息通报需选择适当的方式，如电话、邮件、传真、书面文件等形式。</w:t>
      </w:r>
    </w:p>
    <w:p w14:paraId="4685EAA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4" w:name="_Toc10389"/>
      <w:r>
        <w:t>持续服务</w:t>
      </w:r>
      <w:bookmarkEnd w:id="114"/>
    </w:p>
    <w:p w14:paraId="3E3EA8C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完成处理与恢复后，运行维护人员提供持续</w:t>
      </w:r>
      <w:r>
        <w:rPr>
          <w:rFonts w:ascii="宋体" w:hAnsi="宋体" w:eastAsia="宋体" w:cs="宋体"/>
          <w:spacing w:val="-1"/>
          <w:sz w:val="24"/>
          <w:szCs w:val="24"/>
        </w:rPr>
        <w:t>性服务，相关方对持续性服务</w:t>
      </w:r>
      <w:r>
        <w:rPr>
          <w:rFonts w:ascii="宋体" w:hAnsi="宋体" w:eastAsia="宋体" w:cs="宋体"/>
          <w:spacing w:val="-3"/>
          <w:sz w:val="24"/>
          <w:szCs w:val="24"/>
        </w:rPr>
        <w:t>的效果进行评价，评价结果作为应急事件关闭的输入。</w:t>
      </w:r>
    </w:p>
    <w:p w14:paraId="09DDF3F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5" w:name="_Toc18046"/>
      <w:r>
        <w:t>事件关闭</w:t>
      </w:r>
      <w:bookmarkEnd w:id="115"/>
    </w:p>
    <w:p w14:paraId="4CA8380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应急事件完成处理与恢复后，进行事件关闭申请、核实、调查取证、关闭通报过程进行事件关闭处理。并将应急事件发生的原因、处置过程和方法整理写成《XX 系统事故分析报告》，并发送至相关人员。</w:t>
      </w:r>
    </w:p>
    <w:p w14:paraId="63CCDBC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6" w:name="_Toc9251"/>
      <w:bookmarkStart w:id="117" w:name="_Toc19990"/>
      <w:bookmarkStart w:id="118" w:name="_Toc23336"/>
      <w:r>
        <w:t>人员</w:t>
      </w:r>
      <w:bookmarkEnd w:id="116"/>
      <w:bookmarkEnd w:id="117"/>
      <w:bookmarkEnd w:id="118"/>
    </w:p>
    <w:p w14:paraId="612AE4E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9" w:name="bookmark68"/>
      <w:bookmarkEnd w:id="119"/>
      <w:bookmarkStart w:id="120" w:name="_Toc24113"/>
      <w:bookmarkStart w:id="121" w:name="_Toc13299"/>
      <w:bookmarkStart w:id="122" w:name="_Toc15081"/>
      <w:r>
        <w:t>人员管理</w:t>
      </w:r>
      <w:bookmarkEnd w:id="120"/>
      <w:bookmarkEnd w:id="121"/>
      <w:bookmarkEnd w:id="122"/>
    </w:p>
    <w:p w14:paraId="1A90FF82">
      <w:pPr>
        <w:keepNext w:val="0"/>
        <w:keepLines w:val="0"/>
        <w:pageBreakBefore w:val="0"/>
        <w:widowControl w:val="0"/>
        <w:kinsoku w:val="0"/>
        <w:wordWrap/>
        <w:overflowPunct/>
        <w:topLinePunct w:val="0"/>
        <w:autoSpaceDE w:val="0"/>
        <w:autoSpaceDN w:val="0"/>
        <w:bidi w:val="0"/>
        <w:adjustRightInd w:val="0"/>
        <w:snapToGrid w:val="0"/>
        <w:spacing w:before="289" w:line="360" w:lineRule="auto"/>
        <w:ind w:left="32" w:right="298" w:firstLine="472"/>
        <w:jc w:val="both"/>
        <w:textAlignment w:val="baseline"/>
        <w:rPr>
          <w:rFonts w:ascii="宋体" w:hAnsi="宋体" w:eastAsia="宋体" w:cs="宋体"/>
          <w:sz w:val="24"/>
          <w:szCs w:val="24"/>
        </w:rPr>
      </w:pPr>
      <w:r>
        <w:rPr>
          <w:rFonts w:ascii="宋体" w:hAnsi="宋体" w:eastAsia="宋体" w:cs="宋体"/>
          <w:sz w:val="24"/>
          <w:szCs w:val="24"/>
        </w:rPr>
        <w:t>依据信息服务技术相关标准对运维服务人员</w:t>
      </w:r>
      <w:r>
        <w:rPr>
          <w:rFonts w:ascii="宋体" w:hAnsi="宋体" w:eastAsia="宋体" w:cs="宋体"/>
          <w:spacing w:val="-1"/>
          <w:sz w:val="24"/>
          <w:szCs w:val="24"/>
        </w:rPr>
        <w:t>储备、培训和考核的要求，公司人力部负责本运维服务人员的教育、培训、考评和管理，建立并保持人</w:t>
      </w:r>
      <w:r>
        <w:rPr>
          <w:rFonts w:ascii="宋体" w:hAnsi="宋体" w:eastAsia="宋体" w:cs="宋体"/>
          <w:spacing w:val="-7"/>
          <w:sz w:val="24"/>
          <w:szCs w:val="24"/>
        </w:rPr>
        <w:t>员管理相关制度，以便：</w:t>
      </w:r>
    </w:p>
    <w:p w14:paraId="63E78EE4">
      <w:pPr>
        <w:pStyle w:val="12"/>
        <w:keepNext w:val="0"/>
        <w:keepLines w:val="0"/>
        <w:pageBreakBefore w:val="0"/>
        <w:widowControl w:val="0"/>
        <w:numPr>
          <w:ilvl w:val="0"/>
          <w:numId w:val="14"/>
        </w:numPr>
        <w:kinsoku w:val="0"/>
        <w:wordWrap/>
        <w:overflowPunct/>
        <w:topLinePunct w:val="0"/>
        <w:autoSpaceDE w:val="0"/>
        <w:autoSpaceDN w:val="0"/>
        <w:bidi w:val="0"/>
        <w:adjustRightInd w:val="0"/>
        <w:snapToGrid w:val="0"/>
        <w:spacing w:before="2"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依据运维服务战略、规划和与客户签订的</w:t>
      </w:r>
      <w:r>
        <w:rPr>
          <w:rFonts w:ascii="宋体" w:hAnsi="宋体" w:eastAsia="宋体" w:cs="宋体"/>
          <w:spacing w:val="-49"/>
          <w:sz w:val="24"/>
          <w:szCs w:val="24"/>
        </w:rPr>
        <w:t xml:space="preserve"> </w:t>
      </w:r>
      <w:r>
        <w:rPr>
          <w:spacing w:val="-2"/>
          <w:sz w:val="24"/>
          <w:szCs w:val="24"/>
        </w:rPr>
        <w:t>SLA</w:t>
      </w:r>
      <w:r>
        <w:rPr>
          <w:rFonts w:ascii="宋体" w:hAnsi="宋体" w:eastAsia="宋体" w:cs="宋体"/>
          <w:spacing w:val="-2"/>
          <w:sz w:val="24"/>
          <w:szCs w:val="24"/>
        </w:rPr>
        <w:t>，制</w:t>
      </w:r>
      <w:r>
        <w:rPr>
          <w:rFonts w:ascii="宋体" w:hAnsi="宋体" w:eastAsia="宋体" w:cs="宋体"/>
          <w:spacing w:val="-3"/>
          <w:sz w:val="24"/>
          <w:szCs w:val="24"/>
        </w:rPr>
        <w:t>定人力资源储备计划；</w:t>
      </w:r>
    </w:p>
    <w:p w14:paraId="036DF895">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识别从事运维服务人员工作能力和培训的需求；</w:t>
      </w:r>
    </w:p>
    <w:p w14:paraId="4B5E0B69">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before="183"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提供培训，以满足运维服务的需求；</w:t>
      </w:r>
    </w:p>
    <w:p w14:paraId="49E0807E">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before="183" w:line="218" w:lineRule="auto"/>
        <w:ind w:left="425" w:leftChars="0" w:hanging="425" w:firstLineChars="0"/>
        <w:textAlignment w:val="baseline"/>
        <w:rPr>
          <w:rFonts w:ascii="宋体" w:hAnsi="宋体" w:eastAsia="宋体" w:cs="宋体"/>
          <w:sz w:val="24"/>
          <w:szCs w:val="24"/>
        </w:rPr>
      </w:pPr>
      <w:r>
        <w:rPr>
          <w:rFonts w:ascii="宋体" w:hAnsi="宋体" w:eastAsia="宋体" w:cs="宋体"/>
          <w:spacing w:val="-5"/>
          <w:sz w:val="24"/>
          <w:szCs w:val="24"/>
        </w:rPr>
        <w:t>对培训的有效性进行评价；</w:t>
      </w:r>
    </w:p>
    <w:p w14:paraId="055BB837">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before="185" w:line="360" w:lineRule="auto"/>
        <w:ind w:left="425" w:leftChars="0" w:right="298" w:hanging="425" w:firstLineChars="0"/>
        <w:textAlignment w:val="baseline"/>
        <w:rPr>
          <w:rFonts w:ascii="宋体" w:hAnsi="宋体" w:eastAsia="宋体" w:cs="宋体"/>
          <w:sz w:val="24"/>
          <w:szCs w:val="24"/>
        </w:rPr>
      </w:pPr>
      <w:r>
        <w:rPr>
          <w:rFonts w:ascii="宋体" w:hAnsi="宋体" w:eastAsia="宋体" w:cs="宋体"/>
          <w:sz w:val="24"/>
          <w:szCs w:val="24"/>
        </w:rPr>
        <w:t>对运维服务人员进行考核，识别运维服务人员的能</w:t>
      </w:r>
      <w:r>
        <w:rPr>
          <w:rFonts w:ascii="宋体" w:hAnsi="宋体" w:eastAsia="宋体" w:cs="宋体"/>
          <w:spacing w:val="-1"/>
          <w:sz w:val="24"/>
          <w:szCs w:val="24"/>
        </w:rPr>
        <w:t>力与运维服务需求的匹</w:t>
      </w:r>
      <w:r>
        <w:rPr>
          <w:rFonts w:ascii="宋体" w:hAnsi="宋体" w:eastAsia="宋体" w:cs="宋体"/>
          <w:spacing w:val="-15"/>
          <w:sz w:val="24"/>
          <w:szCs w:val="24"/>
        </w:rPr>
        <w:t>配度；</w:t>
      </w:r>
    </w:p>
    <w:p w14:paraId="21307750">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hint="eastAsia" w:ascii="宋体" w:hAnsi="宋体" w:eastAsia="宋体" w:cs="宋体"/>
          <w:sz w:val="24"/>
          <w:szCs w:val="24"/>
          <w:lang w:eastAsia="zh-CN"/>
        </w:rPr>
      </w:pPr>
      <w:r>
        <w:rPr>
          <w:rFonts w:ascii="宋体" w:hAnsi="宋体" w:eastAsia="宋体" w:cs="宋体"/>
          <w:spacing w:val="-2"/>
          <w:sz w:val="24"/>
          <w:szCs w:val="24"/>
        </w:rPr>
        <w:t>每</w:t>
      </w:r>
      <w:r>
        <w:rPr>
          <w:rFonts w:hint="eastAsia" w:ascii="宋体" w:hAnsi="宋体" w:eastAsia="宋体" w:cs="宋体"/>
          <w:spacing w:val="-2"/>
          <w:sz w:val="24"/>
          <w:szCs w:val="24"/>
          <w:lang w:val="en-US" w:eastAsia="zh-CN"/>
        </w:rPr>
        <w:t>季度</w:t>
      </w:r>
      <w:r>
        <w:rPr>
          <w:rFonts w:ascii="宋体" w:hAnsi="宋体" w:eastAsia="宋体" w:cs="宋体"/>
          <w:spacing w:val="-2"/>
          <w:sz w:val="24"/>
          <w:szCs w:val="24"/>
        </w:rPr>
        <w:t>对运维服务人力资源管理计划的执行情况进</w:t>
      </w:r>
      <w:r>
        <w:rPr>
          <w:rFonts w:ascii="宋体" w:hAnsi="宋体" w:eastAsia="宋体" w:cs="宋体"/>
          <w:spacing w:val="-3"/>
          <w:sz w:val="24"/>
          <w:szCs w:val="24"/>
        </w:rPr>
        <w:t>行评估与总结</w:t>
      </w:r>
      <w:r>
        <w:rPr>
          <w:rFonts w:hint="eastAsia" w:ascii="宋体" w:hAnsi="宋体" w:eastAsia="宋体" w:cs="宋体"/>
          <w:spacing w:val="-3"/>
          <w:sz w:val="24"/>
          <w:szCs w:val="24"/>
          <w:lang w:eastAsia="zh-CN"/>
        </w:rPr>
        <w:t>。</w:t>
      </w:r>
    </w:p>
    <w:p w14:paraId="3FE1CC1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3" w:name="_Toc32746"/>
      <w:bookmarkStart w:id="124" w:name="_Toc2523"/>
      <w:bookmarkStart w:id="125" w:name="_Toc18329"/>
      <w:r>
        <w:t>岗位结构</w:t>
      </w:r>
      <w:bookmarkEnd w:id="123"/>
      <w:bookmarkEnd w:id="124"/>
      <w:bookmarkEnd w:id="125"/>
    </w:p>
    <w:p w14:paraId="4513A5C3">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根据运维服务要求和SLA的需求，人力部制定与其相适应的管理岗位、技术支持岗位和岗位备份制度，并在服务过程中严格执行。每半年对制度的合理性和有效性进行总结和评估，依据公司规划、管理制度和记录文件在年度计划中提出对岗位结构体系与备份制度的优化建议，保存所有过程文件和记录。</w:t>
      </w:r>
    </w:p>
    <w:p w14:paraId="2997AFD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6" w:name="_Toc20003"/>
      <w:r>
        <w:t>知识</w:t>
      </w:r>
      <w:bookmarkEnd w:id="126"/>
    </w:p>
    <w:p w14:paraId="11816A17">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z w:val="24"/>
          <w:szCs w:val="24"/>
        </w:rPr>
      </w:pPr>
      <w:r>
        <w:rPr>
          <w:rFonts w:ascii="宋体" w:hAnsi="宋体" w:eastAsia="宋体" w:cs="宋体"/>
          <w:spacing w:val="-2"/>
          <w:sz w:val="24"/>
          <w:szCs w:val="24"/>
        </w:rPr>
        <w:t>公司人力部负责对运维服务人员的知识进行识别管理，包括学历教育知识、信息技术相关基础知识、专业知识以及与服务相关的组织和行业知识等，依据与客户签署的 SLA 规划运维服务人员的知识需求、人员数量和比例，制定并执行考核管理办法，</w:t>
      </w:r>
      <w:r>
        <w:rPr>
          <w:rFonts w:hint="eastAsia" w:ascii="宋体" w:hAnsi="宋体" w:eastAsia="宋体" w:cs="宋体"/>
          <w:spacing w:val="-2"/>
          <w:sz w:val="24"/>
          <w:szCs w:val="24"/>
          <w:lang w:val="en-US" w:eastAsia="zh-CN"/>
        </w:rPr>
        <w:t>每月</w:t>
      </w:r>
      <w:r>
        <w:rPr>
          <w:rFonts w:ascii="宋体" w:hAnsi="宋体" w:eastAsia="宋体" w:cs="宋体"/>
          <w:spacing w:val="-2"/>
          <w:sz w:val="24"/>
          <w:szCs w:val="24"/>
        </w:rPr>
        <w:t>对运维服务人员知识与运维服务项目的匹配度进行评估和总结，</w:t>
      </w:r>
      <w:r>
        <w:rPr>
          <w:rFonts w:hint="eastAsia" w:ascii="宋体" w:hAnsi="宋体" w:eastAsia="宋体" w:cs="宋体"/>
          <w:spacing w:val="-2"/>
          <w:sz w:val="24"/>
          <w:szCs w:val="24"/>
          <w:lang w:val="en-US" w:eastAsia="zh-CN"/>
        </w:rPr>
        <w:t>每年度对全部员工进行考核，并且在</w:t>
      </w:r>
      <w:r>
        <w:rPr>
          <w:rFonts w:ascii="宋体" w:hAnsi="宋体" w:eastAsia="宋体" w:cs="宋体"/>
          <w:spacing w:val="-2"/>
          <w:sz w:val="24"/>
          <w:szCs w:val="24"/>
        </w:rPr>
        <w:t>在年度计划中提出对运维服务人员知识管理的优化建议。</w:t>
      </w:r>
    </w:p>
    <w:p w14:paraId="5B20259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7" w:name="_Toc17225"/>
      <w:bookmarkStart w:id="128" w:name="_Toc31635"/>
      <w:bookmarkStart w:id="129" w:name="_Toc25442"/>
      <w:r>
        <w:t>技能</w:t>
      </w:r>
      <w:bookmarkEnd w:id="127"/>
      <w:bookmarkEnd w:id="128"/>
      <w:bookmarkEnd w:id="129"/>
    </w:p>
    <w:p w14:paraId="36D068D5">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公司人力部负责对运维服务人员的技能进行识别管理，包括运维服务基本能力、专项技术能力等，依据与客户签署的SLA确认对运维服务人员的技能的需求，规划运维服务人员需具备的技能资格，及人员数量，制定并执行考核管理办法，每年度对运维服务人员技能与运维服务项目的匹配度进行评估和总结，在年度计划中提出对运维服务人员技能管理的优化建议。</w:t>
      </w:r>
    </w:p>
    <w:p w14:paraId="061D8D1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0" w:name="_Toc29831"/>
      <w:bookmarkStart w:id="131" w:name="_Toc24458"/>
      <w:bookmarkStart w:id="132" w:name="_Toc23808"/>
      <w:r>
        <w:t>资源</w:t>
      </w:r>
      <w:bookmarkEnd w:id="130"/>
      <w:bookmarkEnd w:id="131"/>
      <w:bookmarkEnd w:id="132"/>
    </w:p>
    <w:p w14:paraId="58821B7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3" w:name="bookmark69"/>
      <w:bookmarkEnd w:id="133"/>
      <w:bookmarkStart w:id="134" w:name="_Toc1494"/>
      <w:bookmarkStart w:id="135" w:name="_Toc16994"/>
      <w:bookmarkStart w:id="136" w:name="_Toc26693"/>
      <w:r>
        <w:t>运行维护工具</w:t>
      </w:r>
      <w:bookmarkEnd w:id="134"/>
      <w:bookmarkEnd w:id="135"/>
      <w:bookmarkEnd w:id="136"/>
    </w:p>
    <w:p w14:paraId="0660D488">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运维部负责运行维护工具的管理，建立与工具功能匹配的使用手册，监督工具使用日常记录的登记，协助完成工具使用效果的评估报告和监督持续改进工作。</w:t>
      </w:r>
    </w:p>
    <w:p w14:paraId="2EA6ED43">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监控工具：数据采集和监控，评估可能导致运维服务对象故障的因素；</w:t>
      </w:r>
    </w:p>
    <w:p w14:paraId="773A67C3">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过程管理工具：按照公司与客户签订的 SLA 管理运行维护服务的交付过程，包括日常运维管理、记录、测量、监督和评估功能；</w:t>
      </w:r>
    </w:p>
    <w:p w14:paraId="5C3126A6">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其它工具：根据业务要求配备的其它用于特殊要求的工具。</w:t>
      </w:r>
    </w:p>
    <w:p w14:paraId="1DF6B29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7" w:name="_Toc29275"/>
      <w:bookmarkStart w:id="138" w:name="_Toc1020"/>
      <w:bookmarkStart w:id="139" w:name="_Toc12684"/>
      <w:r>
        <w:t>服务台</w:t>
      </w:r>
      <w:bookmarkEnd w:id="137"/>
      <w:bookmarkEnd w:id="138"/>
      <w:bookmarkEnd w:id="139"/>
    </w:p>
    <w:p w14:paraId="6C0D53BB">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z w:val="24"/>
          <w:szCs w:val="24"/>
        </w:rPr>
      </w:pPr>
      <w:r>
        <w:rPr>
          <w:rFonts w:ascii="宋体" w:hAnsi="宋体" w:eastAsia="宋体" w:cs="宋体"/>
          <w:spacing w:val="-2"/>
          <w:sz w:val="24"/>
          <w:szCs w:val="24"/>
        </w:rPr>
        <w:t>在公司内部设置统一的服务台，作为与客户有效沟通渠道，制定服务台管理制度，配置专职人员负责服务台客户请求的处理，包括服务请求的接收、记录、跟踪和反馈。人力部负责服务台专职人员的绩效考核，运维部负责对服务台工作进行监管和持续改进工作。</w:t>
      </w:r>
    </w:p>
    <w:p w14:paraId="79AAE92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0" w:name="_Toc28671"/>
      <w:bookmarkStart w:id="141" w:name="_Toc30691"/>
      <w:bookmarkStart w:id="142" w:name="_Toc23076"/>
      <w:r>
        <w:rPr>
          <w:rFonts w:hint="eastAsia"/>
          <w:lang w:val="en-US" w:eastAsia="zh-CN"/>
        </w:rPr>
        <w:t>服务知识</w:t>
      </w:r>
      <w:bookmarkEnd w:id="140"/>
      <w:bookmarkEnd w:id="141"/>
      <w:bookmarkEnd w:id="142"/>
    </w:p>
    <w:p w14:paraId="524C6C8E">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为提高为客户解决运维服务问题的效率，实现知识共享，提升运维服务人员业务能力，根据业务需求构建知识库，同时建立符合信息服务技术相关标准要求的知识库管理制度及策略，覆盖运维服务全过程。</w:t>
      </w:r>
    </w:p>
    <w:p w14:paraId="16BABB16">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根据公司在运维服务过程中常见问题，总结分析，提出解决办法纳入知识库，明确知识库知识的添加、更新和查询流程，对知识生命周期进行管理，人力部定期对知识库的管理进行评估，对发现的问题及时进行改进，确保知识库的可用性与有效性。</w:t>
      </w:r>
    </w:p>
    <w:p w14:paraId="3FB2386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3" w:name="_Toc18729"/>
      <w:bookmarkStart w:id="144" w:name="_Toc892"/>
      <w:bookmarkStart w:id="145" w:name="_Toc16897"/>
      <w:r>
        <w:t>备件库</w:t>
      </w:r>
      <w:bookmarkEnd w:id="143"/>
      <w:bookmarkEnd w:id="144"/>
      <w:bookmarkEnd w:id="145"/>
    </w:p>
    <w:p w14:paraId="3C3CB814">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为了合理利用运行维护项目中的基础设施、网络设备、服务器存储等设备，确保系统稳定可靠地运行，保障运维服务人员有良好的工作条件和充足的设备资源，做到技术先进、经济合理、安全适用、确保质量，特制定本制度。</w:t>
      </w:r>
    </w:p>
    <w:p w14:paraId="0BC9448F">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ascii="宋体" w:hAnsi="宋体" w:eastAsia="宋体" w:cs="宋体"/>
          <w:spacing w:val="-2"/>
          <w:sz w:val="24"/>
          <w:szCs w:val="24"/>
        </w:rPr>
      </w:pPr>
      <w:r>
        <w:rPr>
          <w:rFonts w:ascii="宋体" w:hAnsi="宋体" w:eastAsia="宋体" w:cs="宋体"/>
          <w:spacing w:val="-2"/>
          <w:sz w:val="24"/>
          <w:szCs w:val="24"/>
        </w:rPr>
        <w:t>通过建立完整的运行维护管理制度，形成规范的运维管理体系，加强对运维服务全过程的控制，同时对备品备件、耗材的采购成本进行有效控制从而降低运维成本。</w:t>
      </w:r>
    </w:p>
    <w:p w14:paraId="139CDB3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6" w:name="_Toc13939"/>
      <w:bookmarkStart w:id="147" w:name="_Toc13400"/>
      <w:bookmarkStart w:id="148" w:name="_Toc22703"/>
      <w:r>
        <w:rPr>
          <w:rFonts w:hint="eastAsia"/>
          <w:lang w:val="en-US" w:eastAsia="zh-CN"/>
        </w:rPr>
        <w:t>最终软件库</w:t>
      </w:r>
      <w:bookmarkEnd w:id="146"/>
      <w:bookmarkEnd w:id="147"/>
      <w:bookmarkEnd w:id="148"/>
    </w:p>
    <w:p w14:paraId="5C76EEF5">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hint="default" w:ascii="宋体" w:hAnsi="宋体" w:eastAsia="宋体" w:cs="宋体"/>
          <w:spacing w:val="-2"/>
          <w:sz w:val="24"/>
          <w:szCs w:val="24"/>
          <w:lang w:val="en-US" w:eastAsia="zh-CN"/>
        </w:rPr>
      </w:pPr>
      <w:r>
        <w:rPr>
          <w:rFonts w:ascii="宋体" w:hAnsi="宋体" w:eastAsia="宋体" w:cs="宋体"/>
          <w:spacing w:val="-2"/>
          <w:sz w:val="24"/>
          <w:szCs w:val="24"/>
        </w:rPr>
        <w:t>为了</w:t>
      </w:r>
      <w:r>
        <w:rPr>
          <w:rFonts w:hint="eastAsia" w:ascii="宋体" w:hAnsi="宋体" w:eastAsia="宋体" w:cs="宋体"/>
          <w:spacing w:val="-2"/>
          <w:sz w:val="24"/>
          <w:szCs w:val="24"/>
          <w:lang w:val="en-US" w:eastAsia="zh-CN"/>
        </w:rPr>
        <w:t>保障软件部署的一致性和可靠性控制配置风险，提升系统稳定性；支持高效变更与发布管理；实现软件资产的全生命周期管理；降低运维成本与人为错误，减少运维服务人员的工作量，提高工作效率，</w:t>
      </w:r>
      <w:r>
        <w:rPr>
          <w:rFonts w:ascii="宋体" w:hAnsi="宋体" w:eastAsia="宋体" w:cs="宋体"/>
          <w:spacing w:val="-2"/>
          <w:sz w:val="24"/>
          <w:szCs w:val="24"/>
        </w:rPr>
        <w:t>特制定</w:t>
      </w:r>
      <w:r>
        <w:rPr>
          <w:rFonts w:hint="eastAsia" w:ascii="宋体" w:hAnsi="宋体" w:eastAsia="宋体" w:cs="宋体"/>
          <w:spacing w:val="-2"/>
          <w:sz w:val="24"/>
          <w:szCs w:val="24"/>
          <w:lang w:val="en-US" w:eastAsia="zh-CN"/>
        </w:rPr>
        <w:t>最终软件库管理</w:t>
      </w:r>
      <w:r>
        <w:rPr>
          <w:rFonts w:ascii="宋体" w:hAnsi="宋体" w:eastAsia="宋体" w:cs="宋体"/>
          <w:spacing w:val="-2"/>
          <w:sz w:val="24"/>
          <w:szCs w:val="24"/>
        </w:rPr>
        <w:t>制度。</w:t>
      </w:r>
    </w:p>
    <w:p w14:paraId="572ABA6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9" w:name="_Toc14647"/>
      <w:bookmarkStart w:id="150" w:name="_Toc2037"/>
      <w:bookmarkStart w:id="151" w:name="_Toc4162"/>
      <w:r>
        <w:rPr>
          <w:rFonts w:hint="eastAsia"/>
          <w:lang w:val="en-US" w:eastAsia="zh-CN"/>
        </w:rPr>
        <w:t>服务数据</w:t>
      </w:r>
      <w:bookmarkEnd w:id="149"/>
      <w:bookmarkEnd w:id="150"/>
      <w:bookmarkEnd w:id="151"/>
    </w:p>
    <w:p w14:paraId="0142EA89">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为了构建规范化、全生命周期的数据管理体系，确保运维活动产生的数据具备可信性，从而驱动服务化、风险防控与价值创造。达到将无序数据转化为受治理的数据资产的目的，应当合理、有效的分析利用服务数据。</w:t>
      </w:r>
    </w:p>
    <w:p w14:paraId="46AB8F4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2" w:name="_Toc18209"/>
      <w:bookmarkStart w:id="153" w:name="_Toc8719"/>
      <w:bookmarkStart w:id="154" w:name="_Toc871"/>
      <w:r>
        <w:t>技术</w:t>
      </w:r>
      <w:bookmarkEnd w:id="152"/>
      <w:bookmarkEnd w:id="153"/>
      <w:bookmarkEnd w:id="154"/>
    </w:p>
    <w:p w14:paraId="54BF7EF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5" w:name="bookmark70"/>
      <w:bookmarkEnd w:id="155"/>
      <w:bookmarkStart w:id="156" w:name="_Toc24367"/>
      <w:bookmarkStart w:id="157" w:name="_Toc22429"/>
      <w:bookmarkStart w:id="158" w:name="_Toc30287"/>
      <w:r>
        <w:t>技术研发</w:t>
      </w:r>
      <w:bookmarkEnd w:id="156"/>
      <w:bookmarkEnd w:id="157"/>
      <w:bookmarkEnd w:id="158"/>
    </w:p>
    <w:p w14:paraId="4621618C">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依据运维服务业务定位，研发部按运维服务规划要求，制定年度技术研发计划和技术研发管理制度，年度技术研发计划包括研发环境、人员、资金、研发进度和质量管理等计划，同时关注新技术和前沿技术的开发及应用、技术储备等。</w:t>
      </w:r>
    </w:p>
    <w:p w14:paraId="28A50C77">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年度技术研发计划编制后提交领导审批，通过后按计划实施，人力部、财务部、研发部、运维部负责配合实施工作，过程记录予以保持。研发部按季度对研发计划和研发管理制度的执行情况进行评估，中心总经理负责监管技术研发相关工作的持续改进。</w:t>
      </w:r>
    </w:p>
    <w:p w14:paraId="3611068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9" w:name="_Toc1103"/>
      <w:bookmarkStart w:id="160" w:name="_Toc9036"/>
      <w:bookmarkStart w:id="161" w:name="_Toc10945"/>
      <w:r>
        <w:t>与发现问题、解决问题相关的技术</w:t>
      </w:r>
      <w:bookmarkEnd w:id="159"/>
      <w:bookmarkEnd w:id="160"/>
      <w:bookmarkEnd w:id="161"/>
    </w:p>
    <w:p w14:paraId="6FBC3B97">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研发部根据运维服务的特点，结合客户方的实际需求，针对运维服务实施过程中，可能面临的技术问题采取技术手段进行识别。</w:t>
      </w:r>
    </w:p>
    <w:p w14:paraId="67980A42">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研发部负责技术的提供，同时针对 IT 运维平台的技术说明书、诊断手册，并保持该平台运行的有效性，保留相关记录，每年对该平台的应用情况进行评 估，优化改进保持其可用性。</w:t>
      </w:r>
    </w:p>
    <w:p w14:paraId="010E1BE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2" w:name="_Toc21350"/>
      <w:bookmarkStart w:id="163" w:name="_Toc29957"/>
      <w:bookmarkStart w:id="164" w:name="_Toc20314"/>
      <w:r>
        <w:t>过程</w:t>
      </w:r>
      <w:bookmarkEnd w:id="162"/>
      <w:bookmarkEnd w:id="163"/>
      <w:bookmarkEnd w:id="164"/>
    </w:p>
    <w:p w14:paraId="6D609CC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5" w:name="bookmark71"/>
      <w:bookmarkEnd w:id="165"/>
      <w:bookmarkStart w:id="166" w:name="_Toc22773"/>
      <w:bookmarkStart w:id="167" w:name="_Toc17170"/>
      <w:bookmarkStart w:id="168" w:name="_Toc8055"/>
      <w:bookmarkStart w:id="169" w:name="_Toc19158"/>
      <w:bookmarkStart w:id="170" w:name="_Toc16659"/>
      <w:r>
        <w:rPr>
          <w:rFonts w:hint="eastAsia"/>
          <w:lang w:val="en-US" w:eastAsia="zh-CN"/>
        </w:rPr>
        <w:t>过程框架设计</w:t>
      </w:r>
      <w:bookmarkEnd w:id="166"/>
      <w:bookmarkEnd w:id="167"/>
      <w:bookmarkEnd w:id="168"/>
    </w:p>
    <w:p w14:paraId="7A8A6F81">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过程框架设计的核心目的是构建标准化、可量化、可持续改进的运维管理体系，</w:t>
      </w:r>
    </w:p>
    <w:p w14:paraId="23F5EE6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通过流程化协同解决服务碎片化问题，确保IT服务与业务目标对齐。其本质是从“人治”到“法治”的转型升级。</w:t>
      </w:r>
    </w:p>
    <w:p w14:paraId="512B5C33">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根本目的是实现运维服务的可控性与可度量性。</w:t>
      </w:r>
    </w:p>
    <w:p w14:paraId="3559B8B3">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通过定义统一流程，消除个人经验差异导致的处理延迟；建立KPI体系，通过数据驱动服务改进；明确流程接口，避免跨部门协作低效性。</w:t>
      </w:r>
    </w:p>
    <w:p w14:paraId="55416155">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每年最少对过程框架进行一次评价。</w:t>
      </w:r>
    </w:p>
    <w:p w14:paraId="5021017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1" w:name="_Toc10837"/>
      <w:r>
        <w:t>服务级别管理</w:t>
      </w:r>
      <w:bookmarkEnd w:id="169"/>
      <w:bookmarkEnd w:id="170"/>
      <w:bookmarkEnd w:id="171"/>
    </w:p>
    <w:p w14:paraId="748D5AD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服务级别管理的目的是通过明确服务范围、服务目录和服务级别，定义工作量特征，与相关方达成协议，是有效管理客户需求的主要手段。服务级别管理中的服务范围基于与客户签订的 SLA，结合客户维护要求、业务应用系统支持要求、运维管理咨询要求等分别进行定义和制定。</w:t>
      </w:r>
    </w:p>
    <w:p w14:paraId="00DF8029">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服务目录为基于 SLA 以及客户期望得到的需求，基于服务范围的各类应用系统进行制定和提交，内容包含公司所提供的各类运维服务。</w:t>
      </w:r>
    </w:p>
    <w:p w14:paraId="6BAF95B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在明确服务范围、制定服务目录和 SLA 的基础上与客户签订运维服务合同，制定服务执行计划，根据需方的考核评估要求，建立 SLA 考核自评估机制，包括 SLA 完成情况、达成率等，服务级别管理负责人负责在执行过程中对发现的问题进行改进，过程记录予以保持。</w:t>
      </w:r>
    </w:p>
    <w:p w14:paraId="3F7A5AA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2" w:name="_Toc14584"/>
      <w:bookmarkStart w:id="173" w:name="_Toc6093"/>
      <w:bookmarkStart w:id="174" w:name="_Toc14663"/>
      <w:r>
        <w:t>服务报告</w:t>
      </w:r>
      <w:bookmarkEnd w:id="172"/>
      <w:bookmarkEnd w:id="173"/>
      <w:bookmarkEnd w:id="174"/>
    </w:p>
    <w:p w14:paraId="319481E1">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服务报告管理的目的是为客户提供及时、可靠、准确的服务信息，同时对在运维服务过程中的行为有效的管理。</w:t>
      </w:r>
    </w:p>
    <w:p w14:paraId="5FC1C6A0">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报告分为主动服务报告和被动服务报告，服务报告对建立、审批、分发和归档进行控制，确保报告产出及时、条理清晰、信息可靠和准确，报告应得到相关各方的认可。服务报告内容涵盖以下方面：服务级别目标的绩效达成情况；提供服务过程中产生的不符合项和问题；工作量特征和数量特性；重要事件的绩效报告；定期趋势信息；满意度分析等。在服务报告中，对发现的问题，应明确处理意见、制定纠正措施，并与问题的相关方沟通。</w:t>
      </w:r>
    </w:p>
    <w:p w14:paraId="153ABBF6">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ascii="宋体" w:hAnsi="宋体" w:eastAsia="宋体" w:cs="宋体"/>
          <w:sz w:val="24"/>
          <w:szCs w:val="24"/>
        </w:rPr>
      </w:pPr>
      <w:r>
        <w:rPr>
          <w:rFonts w:hint="eastAsia" w:ascii="宋体" w:hAnsi="宋体" w:eastAsia="宋体" w:cs="宋体"/>
          <w:sz w:val="24"/>
          <w:szCs w:val="24"/>
          <w:lang w:val="en-US" w:eastAsia="zh-CN"/>
        </w:rPr>
        <w:t>运维部负责服务报告的管理工作，包括服务报告的提交方式、提交时间、接受对象、服务报告的模版、服务报告的审阅和提交、服务报告的呈阅以及服务报告的文档管理，服务报告负责人按计划对服务报告管理情况进行总结，对发现的问题进行改进，所有过程记录予以保持。</w:t>
      </w:r>
    </w:p>
    <w:p w14:paraId="5756D0D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5" w:name="_Toc10623"/>
      <w:bookmarkStart w:id="176" w:name="_Toc10063"/>
      <w:bookmarkStart w:id="177" w:name="_Toc23102"/>
      <w:r>
        <w:t>事件管理</w:t>
      </w:r>
      <w:bookmarkEnd w:id="175"/>
      <w:bookmarkEnd w:id="176"/>
      <w:bookmarkEnd w:id="177"/>
    </w:p>
    <w:p w14:paraId="70541488">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件管理的目的是尽快恢复客户业务，确保客户得到及时、有效的服务，是客户业务效率的重要保证。事件管理范围包括运维服务合同范围内的客户在生产和运行环境中发生的各类突发事件、安全事件、服务请求以及用户要求。如：用户报告的故障事件、运维服务人员监测检测的故障事件、其他人员转告的用户故障事件等，信息咨询、业务支持请求、辅助配合等服务请求，以及客户对信息系统基础环境中配置项提出的修改请求等变更请求。</w:t>
      </w:r>
    </w:p>
    <w:p w14:paraId="38AF9AFF">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在事件处理过程中，通过有效方式（电话、邮件、短信、微信等）及时通知用户，使其了解事件或服务请求的进展。如果不能达到承诺的服务级别，提前告警并采取相应的措施。</w:t>
      </w:r>
    </w:p>
    <w:p w14:paraId="07B0F908">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ascii="宋体" w:hAnsi="宋体" w:eastAsia="宋体" w:cs="宋体"/>
          <w:sz w:val="24"/>
          <w:szCs w:val="24"/>
        </w:rPr>
      </w:pPr>
      <w:r>
        <w:rPr>
          <w:rFonts w:hint="eastAsia" w:ascii="宋体" w:hAnsi="宋体" w:eastAsia="宋体" w:cs="宋体"/>
          <w:sz w:val="24"/>
          <w:szCs w:val="24"/>
          <w:lang w:val="en-US" w:eastAsia="zh-CN"/>
        </w:rPr>
        <w:t>与事件管理有关的所有员工根据拥有权限划分访问相关信息，如知识库和配置库等；定义重大紧急事件，并制定绿色通道，使其快速和有效得以解决。事件经理在执行过程中对发现的问题进行改进，过程记录予以保持</w:t>
      </w:r>
      <w:r>
        <w:rPr>
          <w:rFonts w:ascii="宋体" w:hAnsi="宋体" w:eastAsia="宋体" w:cs="宋体"/>
          <w:spacing w:val="-2"/>
          <w:sz w:val="24"/>
          <w:szCs w:val="24"/>
        </w:rPr>
        <w:t>。</w:t>
      </w:r>
    </w:p>
    <w:p w14:paraId="1995BEB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8" w:name="_Toc18965"/>
      <w:bookmarkStart w:id="179" w:name="_Toc9450"/>
      <w:bookmarkStart w:id="180" w:name="_Toc14504"/>
      <w:r>
        <w:t>问题管理</w:t>
      </w:r>
      <w:bookmarkEnd w:id="178"/>
      <w:bookmarkEnd w:id="179"/>
      <w:bookmarkEnd w:id="180"/>
    </w:p>
    <w:p w14:paraId="3A8E079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管理的目的是对发生在客户生产环境中的问题进行管理，找出产生这些问题的根本原因，然后根据需要通过变更请求、变通方法或建议的预防性措施来消除引起事件的深层次根源以防止事件再次发生，从而为客户建立一个稳定的运行环境，提高服务的可用性。问题管理范围是运维合同范围内的客户的生产和运行环境中发生的服务事件提起的问题，包括系统、网络、安全、业务、应用等各类运维服务相关问题。</w:t>
      </w:r>
    </w:p>
    <w:p w14:paraId="7E9C0E51">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管理使用有效管理工具，以确保所有问题被识别并记录、审核与分派、分析与诊断、解决并关闭，并定期提交问题分析报告。在问题处理过程中，通过有效方式（电话、邮件、短信、微信等）及时通知用户，使其了解问题处理的进展，问题经理需要安排和协调公司各方面资源处理并解决问题。</w:t>
      </w:r>
    </w:p>
    <w:p w14:paraId="46AD6A2D">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ascii="宋体" w:hAnsi="宋体" w:eastAsia="宋体" w:cs="宋体"/>
          <w:sz w:val="24"/>
          <w:szCs w:val="24"/>
        </w:rPr>
      </w:pPr>
      <w:r>
        <w:rPr>
          <w:rFonts w:hint="eastAsia" w:ascii="宋体" w:hAnsi="宋体" w:eastAsia="宋体" w:cs="宋体"/>
          <w:sz w:val="24"/>
          <w:szCs w:val="24"/>
          <w:lang w:val="en-US" w:eastAsia="zh-CN"/>
        </w:rPr>
        <w:t>与问题管理有关的所有员工根据拥有权限划分访问相关信息，如知识库和配置库等。问题经理在执行过程中对发现的问题进行改进，过程予以保持</w:t>
      </w:r>
      <w:r>
        <w:rPr>
          <w:rFonts w:ascii="宋体" w:hAnsi="宋体" w:eastAsia="宋体" w:cs="宋体"/>
          <w:spacing w:val="-2"/>
          <w:sz w:val="24"/>
          <w:szCs w:val="24"/>
        </w:rPr>
        <w:t>。</w:t>
      </w:r>
    </w:p>
    <w:p w14:paraId="6B8446F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1" w:name="_Toc6381"/>
      <w:bookmarkStart w:id="182" w:name="_Toc17576"/>
      <w:bookmarkStart w:id="183" w:name="_Toc6509"/>
      <w:r>
        <w:t>变更管理</w:t>
      </w:r>
      <w:bookmarkEnd w:id="181"/>
      <w:bookmarkEnd w:id="182"/>
      <w:bookmarkEnd w:id="183"/>
    </w:p>
    <w:p w14:paraId="79CCF83B">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管理的目的是有效控制在运维服务过程中的各类风险，提高客户信息系统的安全性、有效性，确保客户业务系统的持续性。变更管理范围是运维合同范围内的客户的生产和运行环境中发生的变更请求以及用户提出变更需求。</w:t>
      </w:r>
    </w:p>
    <w:p w14:paraId="79A2C58B">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管理流程始于变更的接收，结束于变更的总结回顾，使用运维系统记录相关流程，以确保所有变更被记录并得到有效管控，具体过程涵盖接收与分类、评估与审批、构建与实施、总结与关闭等环节，并定期提交变更统计报告</w:t>
      </w:r>
    </w:p>
    <w:p w14:paraId="77D91E70">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针对不同的变更情况，识别出紧急变更，并制定绿色通道，使其快速和有效得以解决。变更经理在执行过程中对发现的问题进行改进，过程记录予以保持。</w:t>
      </w:r>
    </w:p>
    <w:p w14:paraId="54AEF47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4" w:name="_Toc6430"/>
      <w:bookmarkStart w:id="185" w:name="_Toc5904"/>
      <w:bookmarkStart w:id="186" w:name="_Toc838"/>
      <w:r>
        <w:t>发布管理</w:t>
      </w:r>
      <w:bookmarkEnd w:id="184"/>
      <w:bookmarkEnd w:id="185"/>
      <w:bookmarkEnd w:id="186"/>
    </w:p>
    <w:p w14:paraId="72E30511">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发布管理的目的是确保发布的信息系统软件和硬件的有效性，规避客户信息系统升级、变更导致的风险，确保客户业务持续性。发布管理范围包括教育云服务平台系统软、硬件问题的所有发布。</w:t>
      </w:r>
    </w:p>
    <w:p w14:paraId="3916D0FF">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发布管理使用运维系统进行流程记录，以确保所有版本的发布被记录、测试、规划、实施，并定期提交报告。</w:t>
      </w:r>
    </w:p>
    <w:p w14:paraId="46EB2636">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在发布过程中，通过有效方式（电话、邮件、短信、微信等）通知客户，使其了解发布的进展。如果不能达到承诺的服务级别，提前告警并采取相应的措施。</w:t>
      </w:r>
    </w:p>
    <w:p w14:paraId="10B0C47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ascii="宋体" w:hAnsi="宋体" w:eastAsia="宋体" w:cs="宋体"/>
          <w:spacing w:val="-2"/>
          <w:sz w:val="24"/>
          <w:szCs w:val="24"/>
        </w:rPr>
      </w:pPr>
      <w:r>
        <w:rPr>
          <w:rFonts w:hint="eastAsia" w:ascii="宋体" w:hAnsi="宋体" w:eastAsia="宋体" w:cs="宋体"/>
          <w:sz w:val="24"/>
          <w:szCs w:val="24"/>
          <w:lang w:val="en-US" w:eastAsia="zh-CN"/>
        </w:rPr>
        <w:t>发布经理在执行过程中对发现的问题进行改进，过程记录予以保持。</w:t>
      </w:r>
    </w:p>
    <w:p w14:paraId="4E338F2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7" w:name="_Toc26881"/>
      <w:bookmarkStart w:id="188" w:name="_Toc12840"/>
      <w:bookmarkStart w:id="189" w:name="_Toc24752"/>
      <w:r>
        <w:t>配置管理</w:t>
      </w:r>
      <w:bookmarkEnd w:id="187"/>
      <w:bookmarkEnd w:id="188"/>
      <w:bookmarkEnd w:id="189"/>
    </w:p>
    <w:p w14:paraId="09B3F331">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管理的目的是通过将客户组织、信息、关系进行集中、统一管理，为服务过程提供基础的数据支持，以优化服务流程、提高服务效率、确保服务质量。配置管理范围是运维合同范围内的客户的生产和运行环境中的硬件、软件、应用系统、信息资源等。</w:t>
      </w:r>
    </w:p>
    <w:p w14:paraId="4A605EC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0" w:name="_Toc11333"/>
      <w:bookmarkStart w:id="191" w:name="_Toc22013"/>
      <w:bookmarkStart w:id="192" w:name="_Toc31044"/>
      <w:r>
        <w:rPr>
          <w:rFonts w:hint="eastAsia"/>
          <w:lang w:val="en-US" w:eastAsia="zh-CN"/>
        </w:rPr>
        <w:t>服务可用性和连续性</w:t>
      </w:r>
      <w:bookmarkEnd w:id="190"/>
      <w:bookmarkEnd w:id="191"/>
      <w:bookmarkEnd w:id="192"/>
    </w:p>
    <w:p w14:paraId="5227754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可用性管理与连续性管理是保障业务稳健运行的核心能力模块，二者协同实现 “预防故障发生” 和 “灾难快速恢复” 的双重目标。</w:t>
      </w:r>
    </w:p>
    <w:p w14:paraId="512A2E28">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可用性管理的核心目标是最大化IT服务有效运行时间，确保服务在约定时间内可被正常访问和使用；连续性管理的核心目标是确保灾难事件后关键业务能在可接受的时间内恢复。</w:t>
      </w:r>
      <w:bookmarkStart w:id="193" w:name="_Toc29601"/>
      <w:bookmarkStart w:id="194" w:name="_Toc3884"/>
      <w:bookmarkStart w:id="195" w:name="_Toc22528"/>
    </w:p>
    <w:p w14:paraId="2E4E3BC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容量管理</w:t>
      </w:r>
      <w:bookmarkEnd w:id="193"/>
      <w:bookmarkEnd w:id="194"/>
      <w:bookmarkEnd w:id="195"/>
      <w:bookmarkStart w:id="199" w:name="_GoBack"/>
      <w:bookmarkEnd w:id="199"/>
    </w:p>
    <w:p w14:paraId="689610B5">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容量管理的核心目的是通过科学预测与动态调控资源，确保IT基础设施与服务能力匹配的要求，实现“成本可控，风险预控，效能最优”的平衡。</w:t>
      </w:r>
    </w:p>
    <w:p w14:paraId="6EF76D2C">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容量管理的三大核心目的是：</w:t>
      </w:r>
    </w:p>
    <w:p w14:paraId="6E17878E">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保障服务连续性</w:t>
      </w:r>
    </w:p>
    <w:p w14:paraId="5A4FB9B3">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firstLine="500"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实时监控CPU内存、带宽等关键资源，避免因资源耗尽导致服务中断</w:t>
      </w:r>
    </w:p>
    <w:p w14:paraId="3CA422D2">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优化资源效能</w:t>
      </w:r>
    </w:p>
    <w:p w14:paraId="2697C72B">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420" w:left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消除资源浪费：识别闲置资源，通过资源回收或缩容降低运营成本，避免过度配置。</w:t>
      </w:r>
    </w:p>
    <w:p w14:paraId="59C97568">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驱动服务规划</w:t>
      </w:r>
    </w:p>
    <w:p w14:paraId="0354D06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420" w:left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为系统改造提供容量可行性分析</w:t>
      </w:r>
    </w:p>
    <w:p w14:paraId="7D327C7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ascii="黑体" w:hAnsi="黑体" w:eastAsia="黑体" w:cs="黑体"/>
          <w:sz w:val="36"/>
          <w:szCs w:val="36"/>
        </w:rPr>
      </w:pPr>
      <w:bookmarkStart w:id="196" w:name="_Toc11132"/>
      <w:bookmarkStart w:id="197" w:name="_Toc29548"/>
      <w:r>
        <w:rPr>
          <w:rFonts w:ascii="Trebuchet MS" w:hAnsi="Trebuchet MS" w:eastAsia="Trebuchet MS" w:cs="Trebuchet MS"/>
          <w:b/>
          <w:bCs/>
          <w:spacing w:val="-8"/>
          <w:position w:val="2"/>
          <w:sz w:val="36"/>
          <w:szCs w:val="36"/>
        </w:rPr>
        <w:t xml:space="preserve"> </w:t>
      </w:r>
      <w:bookmarkStart w:id="198" w:name="_Toc20879"/>
      <w:r>
        <w:rPr>
          <w:rFonts w:ascii="黑体" w:hAnsi="黑体" w:eastAsia="黑体" w:cs="黑体"/>
          <w:b/>
          <w:bCs/>
          <w:spacing w:val="-8"/>
          <w:position w:val="2"/>
          <w:sz w:val="36"/>
          <w:szCs w:val="36"/>
        </w:rPr>
        <w:t>信息安全管理</w:t>
      </w:r>
      <w:bookmarkEnd w:id="196"/>
      <w:bookmarkEnd w:id="197"/>
      <w:bookmarkEnd w:id="198"/>
    </w:p>
    <w:p w14:paraId="360786C7">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息安全管理的目的是确保公司提供给客户的运行维护服务是安全的，实现客户利益。需要定期进行安全自查和隐患分析，在人员、物理、网络、系统、数据、应用、管理等方面进行安全检查，查找安全漏洞，采取有效的措施予以解决。</w:t>
      </w:r>
    </w:p>
    <w:p w14:paraId="6314272D">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自查和隐患分析分为局部自查和全面自查两种方式，局部自查指的是根据信息系统目前的安全状态进行重点自查，全面自查指的是针对整个信息系统进行全面自查。局部自查随时进行，全面自查一年至少要进行一次，相关过程记录予以保持。</w:t>
      </w:r>
    </w:p>
    <w:p w14:paraId="596CB99C">
      <w:pPr>
        <w:keepNext w:val="0"/>
        <w:keepLines w:val="0"/>
        <w:pageBreakBefore w:val="0"/>
        <w:widowControl w:val="0"/>
        <w:kinsoku w:val="0"/>
        <w:wordWrap/>
        <w:overflowPunct/>
        <w:topLinePunct w:val="0"/>
        <w:autoSpaceDE w:val="0"/>
        <w:autoSpaceDN w:val="0"/>
        <w:bidi w:val="0"/>
        <w:adjustRightInd w:val="0"/>
        <w:snapToGrid w:val="0"/>
        <w:spacing w:line="360" w:lineRule="auto"/>
        <w:ind w:left="22" w:right="205" w:firstLine="485"/>
        <w:jc w:val="both"/>
        <w:textAlignment w:val="baseline"/>
        <w:rPr>
          <w:rFonts w:hint="default" w:ascii="宋体" w:hAnsi="宋体" w:eastAsia="宋体" w:cs="宋体"/>
          <w:spacing w:val="-5"/>
          <w:sz w:val="24"/>
          <w:szCs w:val="24"/>
          <w:lang w:val="en-US" w:eastAsia="zh-CN"/>
        </w:rPr>
      </w:pPr>
    </w:p>
    <w:sectPr>
      <w:footerReference r:id="rId5" w:type="default"/>
      <w:pgSz w:w="11906" w:h="16839"/>
      <w:pgMar w:top="1431" w:right="1740"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Trebuchet MS">
    <w:panose1 w:val="020B0603020202020204"/>
    <w:charset w:val="00"/>
    <w:family w:val="auto"/>
    <w:pitch w:val="default"/>
    <w:sig w:usb0="00000687" w:usb1="00000000" w:usb2="00000000" w:usb3="00000000" w:csb0="2000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2E12">
    <w:pPr>
      <w:spacing w:line="167" w:lineRule="auto"/>
      <w:ind w:left="4091"/>
      <w:rPr>
        <w:rFonts w:ascii="Calibri" w:hAnsi="Calibri" w:eastAsia="Calibri" w:cs="Calibri"/>
        <w:sz w:val="18"/>
        <w:szCs w:val="18"/>
      </w:rPr>
    </w:pPr>
    <w:r>
      <w:rPr>
        <w:rFonts w:ascii="Calibri" w:hAnsi="Calibri" w:eastAsia="Calibri" w:cs="Calibri"/>
        <w:spacing w:val="-4"/>
        <w:sz w:val="18"/>
        <w:szCs w:val="18"/>
      </w:rPr>
      <w:t>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F593D"/>
    <w:multiLevelType w:val="singleLevel"/>
    <w:tmpl w:val="853F593D"/>
    <w:lvl w:ilvl="0" w:tentative="0">
      <w:start w:val="1"/>
      <w:numFmt w:val="decimal"/>
      <w:lvlText w:val="(%1)"/>
      <w:lvlJc w:val="left"/>
      <w:pPr>
        <w:ind w:left="425" w:hanging="425"/>
      </w:pPr>
      <w:rPr>
        <w:rFonts w:hint="default"/>
      </w:rPr>
    </w:lvl>
  </w:abstractNum>
  <w:abstractNum w:abstractNumId="1">
    <w:nsid w:val="8602C3E7"/>
    <w:multiLevelType w:val="singleLevel"/>
    <w:tmpl w:val="8602C3E7"/>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3E7B40C"/>
    <w:multiLevelType w:val="singleLevel"/>
    <w:tmpl w:val="93E7B40C"/>
    <w:lvl w:ilvl="0" w:tentative="0">
      <w:start w:val="1"/>
      <w:numFmt w:val="decimal"/>
      <w:lvlText w:val="(%1)"/>
      <w:lvlJc w:val="left"/>
      <w:pPr>
        <w:ind w:left="425" w:hanging="425"/>
      </w:pPr>
      <w:rPr>
        <w:rFonts w:hint="default"/>
      </w:rPr>
    </w:lvl>
  </w:abstractNum>
  <w:abstractNum w:abstractNumId="4">
    <w:nsid w:val="97E7A393"/>
    <w:multiLevelType w:val="singleLevel"/>
    <w:tmpl w:val="97E7A393"/>
    <w:lvl w:ilvl="0" w:tentative="0">
      <w:start w:val="1"/>
      <w:numFmt w:val="decimal"/>
      <w:lvlText w:val="%1."/>
      <w:lvlJc w:val="left"/>
      <w:pPr>
        <w:ind w:left="425" w:hanging="425"/>
      </w:pPr>
      <w:rPr>
        <w:rFonts w:hint="default"/>
      </w:rPr>
    </w:lvl>
  </w:abstractNum>
  <w:abstractNum w:abstractNumId="5">
    <w:nsid w:val="ADF65F28"/>
    <w:multiLevelType w:val="singleLevel"/>
    <w:tmpl w:val="ADF65F28"/>
    <w:lvl w:ilvl="0" w:tentative="0">
      <w:start w:val="1"/>
      <w:numFmt w:val="decimal"/>
      <w:lvlText w:val="%1."/>
      <w:lvlJc w:val="left"/>
      <w:pPr>
        <w:ind w:left="425" w:hanging="425"/>
      </w:pPr>
      <w:rPr>
        <w:rFonts w:hint="default"/>
      </w:rPr>
    </w:lvl>
  </w:abstractNum>
  <w:abstractNum w:abstractNumId="6">
    <w:nsid w:val="C7B2EE11"/>
    <w:multiLevelType w:val="singleLevel"/>
    <w:tmpl w:val="C7B2EE11"/>
    <w:lvl w:ilvl="0" w:tentative="0">
      <w:start w:val="1"/>
      <w:numFmt w:val="decimal"/>
      <w:lvlText w:val="(%1)"/>
      <w:lvlJc w:val="left"/>
      <w:pPr>
        <w:ind w:left="425" w:hanging="425"/>
      </w:pPr>
      <w:rPr>
        <w:rFonts w:hint="default"/>
      </w:rPr>
    </w:lvl>
  </w:abstractNum>
  <w:abstractNum w:abstractNumId="7">
    <w:nsid w:val="CCEDFA8C"/>
    <w:multiLevelType w:val="singleLevel"/>
    <w:tmpl w:val="CCEDFA8C"/>
    <w:lvl w:ilvl="0" w:tentative="0">
      <w:start w:val="1"/>
      <w:numFmt w:val="decimal"/>
      <w:lvlText w:val="%1."/>
      <w:lvlJc w:val="left"/>
      <w:pPr>
        <w:ind w:left="425" w:hanging="425"/>
      </w:pPr>
      <w:rPr>
        <w:rFonts w:hint="default"/>
      </w:rPr>
    </w:lvl>
  </w:abstractNum>
  <w:abstractNum w:abstractNumId="8">
    <w:nsid w:val="0015CDFF"/>
    <w:multiLevelType w:val="singleLevel"/>
    <w:tmpl w:val="0015CDFF"/>
    <w:lvl w:ilvl="0" w:tentative="0">
      <w:start w:val="1"/>
      <w:numFmt w:val="decimal"/>
      <w:lvlText w:val="(%1)"/>
      <w:lvlJc w:val="left"/>
      <w:pPr>
        <w:ind w:left="425" w:hanging="425"/>
      </w:pPr>
      <w:rPr>
        <w:rFonts w:hint="default"/>
      </w:rPr>
    </w:lvl>
  </w:abstractNum>
  <w:abstractNum w:abstractNumId="9">
    <w:nsid w:val="03DE4E8D"/>
    <w:multiLevelType w:val="singleLevel"/>
    <w:tmpl w:val="03DE4E8D"/>
    <w:lvl w:ilvl="0" w:tentative="0">
      <w:start w:val="1"/>
      <w:numFmt w:val="decimal"/>
      <w:lvlText w:val="%1."/>
      <w:lvlJc w:val="left"/>
      <w:pPr>
        <w:ind w:left="425" w:hanging="425"/>
      </w:pPr>
      <w:rPr>
        <w:rFonts w:hint="default"/>
      </w:rPr>
    </w:lvl>
  </w:abstractNum>
  <w:abstractNum w:abstractNumId="10">
    <w:nsid w:val="0C936166"/>
    <w:multiLevelType w:val="singleLevel"/>
    <w:tmpl w:val="0C936166"/>
    <w:lvl w:ilvl="0" w:tentative="0">
      <w:start w:val="1"/>
      <w:numFmt w:val="decimal"/>
      <w:lvlText w:val="(%1)"/>
      <w:lvlJc w:val="left"/>
      <w:pPr>
        <w:ind w:left="425" w:hanging="425"/>
      </w:pPr>
      <w:rPr>
        <w:rFonts w:hint="default"/>
      </w:rPr>
    </w:lvl>
  </w:abstractNum>
  <w:abstractNum w:abstractNumId="11">
    <w:nsid w:val="16B906AE"/>
    <w:multiLevelType w:val="singleLevel"/>
    <w:tmpl w:val="16B906AE"/>
    <w:lvl w:ilvl="0" w:tentative="0">
      <w:start w:val="1"/>
      <w:numFmt w:val="decimal"/>
      <w:lvlText w:val="(%1)"/>
      <w:lvlJc w:val="left"/>
      <w:pPr>
        <w:ind w:left="425" w:hanging="425"/>
      </w:pPr>
      <w:rPr>
        <w:rFonts w:hint="default"/>
      </w:rPr>
    </w:lvl>
  </w:abstractNum>
  <w:abstractNum w:abstractNumId="12">
    <w:nsid w:val="37583E12"/>
    <w:multiLevelType w:val="singleLevel"/>
    <w:tmpl w:val="37583E12"/>
    <w:lvl w:ilvl="0" w:tentative="0">
      <w:start w:val="1"/>
      <w:numFmt w:val="decimal"/>
      <w:lvlText w:val="%1."/>
      <w:lvlJc w:val="left"/>
      <w:pPr>
        <w:ind w:left="425" w:hanging="425"/>
      </w:pPr>
      <w:rPr>
        <w:rFonts w:hint="default"/>
      </w:rPr>
    </w:lvl>
  </w:abstractNum>
  <w:abstractNum w:abstractNumId="13">
    <w:nsid w:val="4F082375"/>
    <w:multiLevelType w:val="singleLevel"/>
    <w:tmpl w:val="4F082375"/>
    <w:lvl w:ilvl="0" w:tentative="0">
      <w:start w:val="1"/>
      <w:numFmt w:val="decimal"/>
      <w:lvlText w:val="%1."/>
      <w:lvlJc w:val="left"/>
      <w:pPr>
        <w:ind w:left="425" w:hanging="425"/>
      </w:pPr>
      <w:rPr>
        <w:rFonts w:hint="default"/>
      </w:rPr>
    </w:lvl>
  </w:abstractNum>
  <w:abstractNum w:abstractNumId="14">
    <w:nsid w:val="6E35F9B5"/>
    <w:multiLevelType w:val="singleLevel"/>
    <w:tmpl w:val="6E35F9B5"/>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6"/>
  </w:num>
  <w:num w:numId="5">
    <w:abstractNumId w:val="11"/>
  </w:num>
  <w:num w:numId="6">
    <w:abstractNumId w:val="12"/>
  </w:num>
  <w:num w:numId="7">
    <w:abstractNumId w:val="13"/>
  </w:num>
  <w:num w:numId="8">
    <w:abstractNumId w:val="10"/>
  </w:num>
  <w:num w:numId="9">
    <w:abstractNumId w:val="4"/>
  </w:num>
  <w:num w:numId="10">
    <w:abstractNumId w:val="1"/>
  </w:num>
  <w:num w:numId="11">
    <w:abstractNumId w:val="8"/>
  </w:num>
  <w:num w:numId="12">
    <w:abstractNumId w:val="9"/>
  </w:num>
  <w:num w:numId="13">
    <w:abstractNumId w:val="7"/>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5F6B9B"/>
    <w:rsid w:val="06736704"/>
    <w:rsid w:val="0C8A2C23"/>
    <w:rsid w:val="18D771F0"/>
    <w:rsid w:val="1DA90A2F"/>
    <w:rsid w:val="30D81900"/>
    <w:rsid w:val="359330B7"/>
    <w:rsid w:val="3C6E4EC6"/>
    <w:rsid w:val="3E38578C"/>
    <w:rsid w:val="452847AC"/>
    <w:rsid w:val="5A715E56"/>
    <w:rsid w:val="5CB36BF9"/>
    <w:rsid w:val="61BC36BB"/>
    <w:rsid w:val="6A050368"/>
    <w:rsid w:val="6F05095A"/>
    <w:rsid w:val="761E48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8006</Words>
  <Characters>8405</Characters>
  <Lines>0</Lines>
  <Paragraphs>0</Paragraphs>
  <TotalTime>3</TotalTime>
  <ScaleCrop>false</ScaleCrop>
  <LinksUpToDate>false</LinksUpToDate>
  <CharactersWithSpaces>8716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2025-08-18T16:17:00Z</dcterms:created>
  <dc:creator>谢永刚</dc:creator>
  <cp:lastModifiedBy>郝宇</cp:lastModifiedBy>
  <dcterms:modified xsi:type="dcterms:W3CDTF">2026-01-03T07:23:51Z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2025-08-18T16:20:33Z</vt:filetime>
  </property>
  <property fmtid="{D5CDD505-2E9C-101B-9397-08002B2CF9AE}" pid="3" name="CRO">
    <vt:lpwstr>wqlLaW5nc29mdCBQREYgdG8gV1BTIDExNQ</vt:lpwstr>
  </property>
  <property fmtid="{D5CDD505-2E9C-101B-9397-08002B2CF9AE}" pid="4" name="ICV">
    <vt:lpwstr>98BBBA0FA0594341AEF42EACDE08FE03_12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