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7082"/>
      <w:r>
        <w:t>内部审核管理制度</w:t>
      </w:r>
      <w:bookmarkEnd w:id="0"/>
    </w:p>
    <w:p>
      <w:pPr>
        <w:pStyle w:val="a2"/>
        <w:bidi w:val="0"/>
      </w:pPr>
      <w:r>
        <w:t>甘肃国邦信息科技有限公司</w:t>
      </w:r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2025年1月4日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spacing w:before="55" w:line="220" w:lineRule="auto"/>
        <w:ind w:left="3828"/>
        <w:outlineLvl w:val="0"/>
        <w:rPr>
          <w:rFonts w:ascii="宋体" w:eastAsia="宋体" w:hAnsi="宋体" w:cs="宋体"/>
          <w:sz w:val="28"/>
          <w:szCs w:val="28"/>
        </w:rPr>
      </w:pPr>
      <w:bookmarkStart w:id="1" w:name="_Toc17074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1"/>
    </w:p>
    <w:p>
      <w:pPr>
        <w:spacing w:line="117" w:lineRule="exact"/>
      </w:pPr>
    </w:p>
    <w:tbl>
      <w:tblPr>
        <w:tblStyle w:val="TableNormal0"/>
        <w:tblW w:w="914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41"/>
        <w:gridCol w:w="1982"/>
        <w:gridCol w:w="1563"/>
      </w:tblGrid>
      <w:tr>
        <w:tblPrEx>
          <w:tblW w:w="9145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563" w:type="dxa"/>
          </w:tcPr>
          <w:p>
            <w:pPr>
              <w:spacing w:before="199" w:line="220" w:lineRule="auto"/>
              <w:ind w:left="11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582" w:type="dxa"/>
            <w:gridSpan w:val="4"/>
          </w:tcPr>
          <w:p>
            <w:pPr>
              <w:spacing w:before="199" w:line="220" w:lineRule="auto"/>
              <w:ind w:left="13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内部审核管理制度（GSGB-ITSS-NBSHGL）</w:t>
            </w: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563" w:type="dxa"/>
          </w:tcPr>
          <w:p>
            <w:pPr>
              <w:spacing w:before="196" w:line="220" w:lineRule="auto"/>
              <w:ind w:left="11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582" w:type="dxa"/>
            <w:gridSpan w:val="4"/>
          </w:tcPr>
          <w:p>
            <w:pPr>
              <w:spacing w:before="197" w:line="219" w:lineRule="auto"/>
              <w:ind w:left="10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563" w:type="dxa"/>
          </w:tcPr>
          <w:p>
            <w:pPr>
              <w:spacing w:before="197" w:line="220" w:lineRule="auto"/>
              <w:ind w:left="11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文档密级</w:t>
            </w:r>
          </w:p>
        </w:tc>
        <w:tc>
          <w:tcPr>
            <w:tcW w:w="7582" w:type="dxa"/>
            <w:gridSpan w:val="4"/>
          </w:tcPr>
          <w:p>
            <w:pPr>
              <w:spacing w:before="197" w:line="220" w:lineRule="auto"/>
              <w:ind w:left="10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秘密</w:t>
            </w: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563" w:type="dxa"/>
          </w:tcPr>
          <w:p>
            <w:pPr>
              <w:spacing w:before="199" w:line="219" w:lineRule="auto"/>
              <w:ind w:left="36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696" w:type="dxa"/>
          </w:tcPr>
          <w:p>
            <w:pPr>
              <w:spacing w:before="199" w:line="219" w:lineRule="auto"/>
              <w:ind w:left="43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41" w:type="dxa"/>
          </w:tcPr>
          <w:p>
            <w:pPr>
              <w:spacing w:before="199" w:line="219" w:lineRule="auto"/>
              <w:ind w:left="75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982" w:type="dxa"/>
          </w:tcPr>
          <w:p>
            <w:pPr>
              <w:spacing w:before="199" w:line="220" w:lineRule="auto"/>
              <w:ind w:left="78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563" w:type="dxa"/>
          </w:tcPr>
          <w:p>
            <w:pPr>
              <w:spacing w:before="199" w:line="220" w:lineRule="auto"/>
              <w:ind w:left="586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审核</w:t>
            </w: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563" w:type="dxa"/>
          </w:tcPr>
          <w:p>
            <w:pPr>
              <w:spacing w:before="163" w:line="239" w:lineRule="auto"/>
              <w:ind w:left="56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696" w:type="dxa"/>
          </w:tcPr>
          <w:p>
            <w:pPr>
              <w:spacing w:before="163"/>
              <w:ind w:left="43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41" w:type="dxa"/>
          </w:tcPr>
          <w:p>
            <w:pPr>
              <w:spacing w:before="133" w:line="219" w:lineRule="auto"/>
              <w:ind w:left="757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982" w:type="dxa"/>
          </w:tcPr>
          <w:p>
            <w:pPr>
              <w:spacing w:before="133" w:line="220" w:lineRule="auto"/>
              <w:ind w:left="682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金文莉</w:t>
            </w:r>
          </w:p>
        </w:tc>
        <w:tc>
          <w:tcPr>
            <w:tcW w:w="1563" w:type="dxa"/>
          </w:tcPr>
          <w:p>
            <w:pPr>
              <w:spacing w:before="134" w:line="220" w:lineRule="auto"/>
              <w:ind w:left="481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黄益溪</w:t>
            </w: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563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1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3" w:type="dxa"/>
          </w:tcPr>
          <w:p>
            <w:pPr>
              <w:pStyle w:val="TableText"/>
            </w:pP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563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1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3" w:type="dxa"/>
          </w:tcPr>
          <w:p>
            <w:pPr>
              <w:pStyle w:val="TableText"/>
            </w:pP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563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1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3" w:type="dxa"/>
          </w:tcPr>
          <w:p>
            <w:pPr>
              <w:pStyle w:val="TableText"/>
            </w:pP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563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1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3" w:type="dxa"/>
          </w:tcPr>
          <w:p>
            <w:pPr>
              <w:pStyle w:val="TableText"/>
            </w:pPr>
          </w:p>
        </w:tc>
      </w:tr>
      <w:tr>
        <w:tblPrEx>
          <w:tblW w:w="9145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563" w:type="dxa"/>
          </w:tcPr>
          <w:p>
            <w:pPr>
              <w:pStyle w:val="TableText"/>
            </w:pPr>
          </w:p>
        </w:tc>
        <w:tc>
          <w:tcPr>
            <w:tcW w:w="1696" w:type="dxa"/>
          </w:tcPr>
          <w:p>
            <w:pPr>
              <w:pStyle w:val="TableText"/>
            </w:pPr>
          </w:p>
        </w:tc>
        <w:tc>
          <w:tcPr>
            <w:tcW w:w="2341" w:type="dxa"/>
          </w:tcPr>
          <w:p>
            <w:pPr>
              <w:pStyle w:val="TableText"/>
            </w:pPr>
          </w:p>
        </w:tc>
        <w:tc>
          <w:tcPr>
            <w:tcW w:w="1982" w:type="dxa"/>
          </w:tcPr>
          <w:p>
            <w:pPr>
              <w:pStyle w:val="TableText"/>
            </w:pPr>
          </w:p>
        </w:tc>
        <w:tc>
          <w:tcPr>
            <w:tcW w:w="156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7" w:h="16840"/>
          <w:pgMar w:top="1253" w:right="1173" w:bottom="0" w:left="1578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917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_Toc7082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bCs/>
              <w:spacing w:val="-7"/>
              <w:sz w:val="24"/>
              <w:szCs w:val="24"/>
            </w:rPr>
            <w:t>内部审核管理制度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_Toc7082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_Toc17074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3"/>
              <w:sz w:val="24"/>
              <w:szCs w:val="24"/>
            </w:rPr>
            <w:t>文档信息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_Toc17074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_Toc31895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1. 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_Toc31895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_Toc20832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2. 适用范围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_Toc20832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_Toc23882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 职责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_Toc23882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_Toc9643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3.1. 质量部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_Toc9643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_Toc10076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3.2. 其他相关部门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_Toc10076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_Toc29752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3.3. 工作程序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_Toc29752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_Toc12426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3.3.1. 审核的频次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_Toc12426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_Toc2262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3.3.2. 审核的策划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_Toc2262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_Toc13916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3.3.3. 审核组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_Toc13916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_Toc12281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3.4. 审核依据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_Toc12281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_Toc3139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3.5. 审核的计划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_Toc3139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_Toc27894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 审核的准备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_Toc27894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_Toc14169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 审核的实施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_Toc14169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_Toc27438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 不符合项报告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_Toc27438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_Toc19813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7. 审核报告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_Toc19813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_Toc18829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 总结会议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_Toc18829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_Toc22747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9. 服务改进措施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_Toc22747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_Toc6921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10. 跟踪验证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_Toc6921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_Toc20969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  <w:lang w:val="en-US" w:eastAsia="zh-CN"/>
            </w:rPr>
            <w:t>11. 流程衡量指标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_Toc20969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71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_Toc3072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12. 内审记录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_Toc3072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7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spacing w:line="220" w:lineRule="auto"/>
            <w:rPr>
              <w:rFonts w:ascii="Microsoft JhengHei" w:eastAsia="Microsoft JhengHei" w:hAnsi="Microsoft JhengHei" w:cs="Microsoft JhengHei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spacing w:line="220" w:lineRule="auto"/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5"/>
          <w:footerReference w:type="default" r:id="rId6"/>
          <w:pgSz w:w="11907" w:h="16840"/>
          <w:pgMar w:top="1162" w:right="1768" w:bottom="1359" w:left="1768" w:header="830" w:footer="1198" w:gutter="0"/>
          <w:cols w:num="1" w:space="720"/>
        </w:sectPr>
      </w:pPr>
    </w:p>
    <w:p>
      <w:pPr>
        <w:pStyle w:val="1"/>
        <w:bidi w:val="0"/>
      </w:pPr>
      <w:bookmarkStart w:id="2" w:name="_Toc31895"/>
      <w:r>
        <w:t>目的</w:t>
      </w:r>
      <w:bookmarkEnd w:id="2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确定甘肃国邦信息科技有限公司的 ITSS 运维服务质量管理体系是否满足规定要求，以及是否得到有效实施和保持。</w:t>
      </w:r>
    </w:p>
    <w:p>
      <w:pPr>
        <w:pStyle w:val="1"/>
        <w:bidi w:val="0"/>
      </w:pPr>
      <w:bookmarkStart w:id="3" w:name="_Toc20832"/>
      <w:r>
        <w:t>适用范围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适用于甘肃国邦信息科技有限公司的运维服务管理体系的内审。</w:t>
      </w:r>
    </w:p>
    <w:p>
      <w:pPr>
        <w:pStyle w:val="1"/>
        <w:bidi w:val="0"/>
      </w:pPr>
      <w:bookmarkStart w:id="4" w:name="_Toc23882"/>
      <w:r>
        <w:t>职责</w:t>
      </w:r>
      <w:bookmarkEnd w:id="4"/>
    </w:p>
    <w:p>
      <w:pPr>
        <w:pStyle w:val="2"/>
        <w:bidi w:val="0"/>
      </w:pPr>
      <w:bookmarkStart w:id="5" w:name="bookmark21"/>
      <w:bookmarkEnd w:id="5"/>
      <w:bookmarkStart w:id="6" w:name="_Toc9643"/>
      <w:bookmarkStart w:id="7" w:name="_GoBack"/>
      <w:bookmarkEnd w:id="7"/>
      <w:r>
        <w:t>质量部</w:t>
      </w:r>
      <w:bookmarkEnd w:id="6"/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质量部负责制订《内审计划》，由主管审批，质量部负责组织内审活动，组建审核组。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质量部经理或其他指定人员担任审核组长，负责组织编制内部质量体系审核检查表，并组织内审的实施，负责不符合项的跟踪验证。</w:t>
      </w:r>
    </w:p>
    <w:p>
      <w:pPr>
        <w:pStyle w:val="2"/>
        <w:bidi w:val="0"/>
      </w:pPr>
      <w:bookmarkStart w:id="8" w:name="_Toc10076"/>
      <w:r>
        <w:t>其他相关部门</w:t>
      </w:r>
      <w:bookmarkEnd w:id="8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1)</w:t>
      </w:r>
      <w:r>
        <w:rPr>
          <w:rFonts w:ascii="宋体" w:eastAsia="宋体" w:hAnsi="宋体" w:cs="宋体"/>
          <w:spacing w:val="-1"/>
          <w:sz w:val="24"/>
          <w:szCs w:val="24"/>
        </w:rPr>
        <w:t>各受审核的部门配合审核工作的实施。</w:t>
      </w:r>
    </w:p>
    <w:p>
      <w:pPr>
        <w:pStyle w:val="2"/>
        <w:bidi w:val="0"/>
      </w:pPr>
      <w:bookmarkStart w:id="9" w:name="_Toc29752"/>
      <w:r>
        <w:t>工作程序</w:t>
      </w:r>
      <w:bookmarkEnd w:id="9"/>
    </w:p>
    <w:p>
      <w:pPr>
        <w:pStyle w:val="3"/>
        <w:bidi w:val="0"/>
        <w:rPr>
          <w:rFonts w:hint="eastAsia"/>
        </w:rPr>
      </w:pPr>
      <w:bookmarkStart w:id="10" w:name="bookmark22"/>
      <w:bookmarkEnd w:id="10"/>
      <w:bookmarkStart w:id="11" w:name="_Toc12426"/>
      <w:r>
        <w:rPr>
          <w:rFonts w:hint="eastAsia"/>
        </w:rPr>
        <w:t>审核的频次</w:t>
      </w:r>
      <w:bookmarkEnd w:id="11"/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完整的内审时间间隔不超过1年。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需要时经副总批准后，可增加部分或完整质量体系的审核。</w:t>
      </w:r>
    </w:p>
    <w:p>
      <w:pPr>
        <w:pStyle w:val="3"/>
        <w:bidi w:val="0"/>
        <w:rPr>
          <w:rFonts w:hint="eastAsia"/>
        </w:rPr>
      </w:pPr>
      <w:bookmarkStart w:id="12" w:name="bookmark23"/>
      <w:bookmarkEnd w:id="12"/>
      <w:bookmarkStart w:id="13" w:name="_Toc2262"/>
      <w:r>
        <w:rPr>
          <w:rFonts w:hint="eastAsia"/>
        </w:rPr>
        <w:t>审核的策划</w:t>
      </w:r>
      <w:bookmarkEnd w:id="13"/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质量部经理负责将下一次内审的《内审计划》 并发至各部门，在内审前进行策划。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策划时应考虑审核过程和区域的状况和重要性以及以往的审核结果。</w:t>
      </w:r>
    </w:p>
    <w:p>
      <w:pPr>
        <w:pStyle w:val="3"/>
        <w:bidi w:val="0"/>
        <w:rPr>
          <w:rFonts w:hint="eastAsia"/>
        </w:rPr>
      </w:pPr>
      <w:bookmarkStart w:id="14" w:name="_Toc13916"/>
      <w:r>
        <w:rPr>
          <w:rFonts w:hint="eastAsia"/>
        </w:rPr>
        <w:t>审核组</w:t>
      </w:r>
      <w:bookmarkEnd w:id="14"/>
    </w:p>
    <w:p>
      <w:pPr>
        <w:spacing w:line="220" w:lineRule="auto"/>
        <w:ind w:left="32"/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b/>
          <w:bCs/>
          <w:spacing w:val="-4"/>
          <w:sz w:val="24"/>
          <w:szCs w:val="24"/>
          <w:lang w:val="en-US" w:eastAsia="zh-CN"/>
        </w:rPr>
        <w:t>3.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3.1 审核组成员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审核组长由质量部经理或指定人员担任，根据审核特点从本公司的内审员中选定若干名组成审核组。审核组长对最终的审核结论和审核报告负责。</w:t>
      </w:r>
    </w:p>
    <w:p>
      <w:pPr>
        <w:spacing w:line="220" w:lineRule="auto"/>
        <w:ind w:left="32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b/>
          <w:bCs/>
          <w:spacing w:val="-4"/>
          <w:sz w:val="24"/>
          <w:szCs w:val="24"/>
          <w:lang w:val="en-US" w:eastAsia="zh-CN"/>
        </w:rPr>
        <w:t>3.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b/>
          <w:bCs/>
          <w:spacing w:val="27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审核人员要求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在选择内审员时应考虑下列条件：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审核员应是经培训合格的公司内审员。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应了解受审核部门运维体系运行情况和业务特点。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当本公司的内审能力不足时，可聘请外部专家协助审核。</w:t>
      </w:r>
    </w:p>
    <w:p>
      <w:pPr>
        <w:pStyle w:val="2"/>
        <w:bidi w:val="0"/>
      </w:pPr>
      <w:bookmarkStart w:id="15" w:name="_Toc12281"/>
      <w:r>
        <w:rPr>
          <w:rFonts w:hint="eastAsia"/>
        </w:rPr>
        <w:t>审核依据</w:t>
      </w:r>
      <w:bookmarkEnd w:id="15"/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GB/T28827.1-20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2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2《信息技术服务  运行维护  第 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 部分：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通用要求</w:t>
      </w:r>
      <w:r>
        <w:rPr>
          <w:rFonts w:ascii="宋体" w:eastAsia="宋体" w:hAnsi="宋体" w:cs="宋体"/>
          <w:spacing w:val="-1"/>
          <w:sz w:val="24"/>
          <w:szCs w:val="24"/>
        </w:rPr>
        <w:t>》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GB/T28827.1-20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2《信息技术服务  运行维护  第 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2</w:t>
      </w:r>
      <w:r>
        <w:rPr>
          <w:rFonts w:ascii="宋体" w:eastAsia="宋体" w:hAnsi="宋体" w:cs="宋体"/>
          <w:spacing w:val="-1"/>
          <w:sz w:val="24"/>
          <w:szCs w:val="24"/>
        </w:rPr>
        <w:t xml:space="preserve"> 部分：交付规范》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GB/T28827.3-2012《信息技术服务  运行维护  第 3 部分：应急响应规范》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 w:hint="eastAsia"/>
          <w:spacing w:val="-1"/>
          <w:sz w:val="24"/>
          <w:szCs w:val="24"/>
        </w:rPr>
        <w:t>T/CESA 1299—2023</w:t>
      </w:r>
      <w:r>
        <w:rPr>
          <w:rFonts w:ascii="宋体" w:eastAsia="宋体" w:hAnsi="宋体" w:cs="宋体"/>
          <w:spacing w:val="-1"/>
          <w:sz w:val="24"/>
          <w:szCs w:val="24"/>
        </w:rPr>
        <w:t>《信息技术服务 运行维护服务能力成熟度模型》。</w:t>
      </w:r>
    </w:p>
    <w:p>
      <w:pPr>
        <w:pStyle w:val="2"/>
        <w:bidi w:val="0"/>
      </w:pPr>
      <w:bookmarkStart w:id="16" w:name="_Toc3139"/>
      <w:r>
        <w:t>审核的计划</w:t>
      </w:r>
      <w:bookmarkEnd w:id="1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审核组长与审核组其它成员一起制定《内审计划》和编写《内审检查表》，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《内审计划》应确保审核员不能审核其所在的部门，《内审检查表》应充分考虑</w:t>
      </w:r>
      <w:r>
        <w:rPr>
          <w:rFonts w:ascii="宋体" w:eastAsia="宋体" w:hAnsi="宋体" w:cs="宋体"/>
          <w:sz w:val="24"/>
          <w:szCs w:val="24"/>
        </w:rPr>
        <w:t>抽样的代表性、审核深度和上次审核纠正措施实施情况</w:t>
      </w:r>
      <w:r>
        <w:rPr>
          <w:rFonts w:ascii="宋体" w:eastAsia="宋体" w:hAnsi="宋体" w:cs="宋体"/>
          <w:spacing w:val="-1"/>
          <w:sz w:val="24"/>
          <w:szCs w:val="24"/>
        </w:rPr>
        <w:t>，并且审核前通知被审</w:t>
      </w:r>
      <w:r>
        <w:rPr>
          <w:rFonts w:ascii="宋体" w:eastAsia="宋体" w:hAnsi="宋体" w:cs="宋体"/>
          <w:spacing w:val="-9"/>
          <w:sz w:val="24"/>
          <w:szCs w:val="24"/>
        </w:rPr>
        <w:t>核部门。</w:t>
      </w:r>
    </w:p>
    <w:p>
      <w:pPr>
        <w:pStyle w:val="1"/>
        <w:bidi w:val="0"/>
      </w:pPr>
      <w:bookmarkStart w:id="17" w:name="bookmark1"/>
      <w:bookmarkEnd w:id="17"/>
      <w:bookmarkStart w:id="18" w:name="_Toc27894"/>
      <w:r>
        <w:t>审核的准备</w:t>
      </w:r>
      <w:bookmarkEnd w:id="18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审核组长将相关记录，如《不符合项报告》，《审核检查表》等发放给审核组成员，各审核员根据自己被分配的任务、范围、日程等来计划具体审核细节和时间分配等。</w:t>
      </w:r>
    </w:p>
    <w:p>
      <w:pPr>
        <w:pStyle w:val="1"/>
        <w:bidi w:val="0"/>
      </w:pPr>
      <w:bookmarkStart w:id="19" w:name="_Toc14169"/>
      <w:r>
        <w:t>审核的实施</w:t>
      </w:r>
      <w:bookmarkEnd w:id="19"/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由审核组长主持，被审核部门负责人、审核组</w:t>
      </w:r>
      <w:r>
        <w:rPr>
          <w:rFonts w:ascii="宋体" w:eastAsia="宋体" w:hAnsi="宋体" w:cs="宋体"/>
          <w:spacing w:val="-2"/>
          <w:sz w:val="24"/>
          <w:szCs w:val="24"/>
        </w:rPr>
        <w:t>成员、主管副总裁参加的首</w:t>
      </w:r>
      <w:r>
        <w:rPr>
          <w:rFonts w:ascii="宋体" w:eastAsia="宋体" w:hAnsi="宋体" w:cs="宋体"/>
          <w:spacing w:val="-1"/>
          <w:sz w:val="24"/>
          <w:szCs w:val="24"/>
        </w:rPr>
        <w:t>次会议。审核组长介绍审核计划，审核的依据、目的、范围及方法，审核</w:t>
      </w:r>
      <w:r>
        <w:rPr>
          <w:rFonts w:ascii="宋体" w:eastAsia="宋体" w:hAnsi="宋体" w:cs="宋体"/>
          <w:spacing w:val="-5"/>
          <w:sz w:val="24"/>
          <w:szCs w:val="24"/>
        </w:rPr>
        <w:t>组成员及审核日程等。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审核组按审核计划实施审核，充分利用检查表，采取与有关人员面谈、观</w:t>
      </w:r>
      <w:r>
        <w:rPr>
          <w:rFonts w:ascii="宋体" w:eastAsia="宋体" w:hAnsi="宋体" w:cs="宋体"/>
          <w:sz w:val="24"/>
          <w:szCs w:val="24"/>
        </w:rPr>
        <w:t>察现场及岗位工作人员操作、查阅各种记录的方式</w:t>
      </w:r>
      <w:r>
        <w:rPr>
          <w:rFonts w:ascii="宋体" w:eastAsia="宋体" w:hAnsi="宋体" w:cs="宋体"/>
          <w:spacing w:val="-1"/>
          <w:sz w:val="24"/>
          <w:szCs w:val="24"/>
        </w:rPr>
        <w:t>进行审核，收集客观证</w:t>
      </w:r>
      <w:r>
        <w:rPr>
          <w:rFonts w:ascii="宋体" w:eastAsia="宋体" w:hAnsi="宋体" w:cs="宋体"/>
          <w:spacing w:val="-11"/>
          <w:sz w:val="24"/>
          <w:szCs w:val="24"/>
        </w:rPr>
        <w:t>据。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面谈：审核人员根据检查表与被审核部门的负</w:t>
      </w:r>
      <w:r>
        <w:rPr>
          <w:rFonts w:ascii="宋体" w:eastAsia="宋体" w:hAnsi="宋体" w:cs="宋体"/>
          <w:spacing w:val="-1"/>
          <w:sz w:val="24"/>
          <w:szCs w:val="24"/>
        </w:rPr>
        <w:t>责人或当事人进行面谈、提</w:t>
      </w:r>
      <w:r>
        <w:rPr>
          <w:rFonts w:ascii="宋体" w:eastAsia="宋体" w:hAnsi="宋体" w:cs="宋体"/>
          <w:sz w:val="24"/>
          <w:szCs w:val="24"/>
        </w:rPr>
        <w:t>问。部门负责人或当事人的讲话可作为证据，陪同</w:t>
      </w:r>
      <w:r>
        <w:rPr>
          <w:rFonts w:ascii="宋体" w:eastAsia="宋体" w:hAnsi="宋体" w:cs="宋体"/>
          <w:spacing w:val="-1"/>
          <w:sz w:val="24"/>
          <w:szCs w:val="24"/>
        </w:rPr>
        <w:t>人员的讲话不能作为证</w:t>
      </w:r>
      <w:r>
        <w:rPr>
          <w:rFonts w:ascii="宋体" w:eastAsia="宋体" w:hAnsi="宋体" w:cs="宋体"/>
          <w:spacing w:val="-11"/>
          <w:sz w:val="24"/>
          <w:szCs w:val="24"/>
        </w:rPr>
        <w:t>据。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观察现场：察看作业现场的环境、操作等是否符合要求。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1"/>
          <w:sz w:val="24"/>
          <w:szCs w:val="24"/>
        </w:rPr>
        <w:t>查文件和记录：向被审核部门负责人或当事人索取相关文件和记录，检查</w:t>
      </w:r>
      <w:r>
        <w:rPr>
          <w:rFonts w:ascii="宋体" w:eastAsia="宋体" w:hAnsi="宋体" w:cs="宋体"/>
          <w:spacing w:val="-3"/>
          <w:sz w:val="24"/>
          <w:szCs w:val="24"/>
        </w:rPr>
        <w:t>记录的完整性、真实性和一致性。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各审核员对发现的不合格项填写在《内审检查表》中，同时让现场操作者</w:t>
      </w:r>
      <w:r>
        <w:rPr>
          <w:rFonts w:ascii="宋体" w:eastAsia="宋体" w:hAnsi="宋体" w:cs="宋体"/>
          <w:sz w:val="24"/>
          <w:szCs w:val="24"/>
        </w:rPr>
        <w:t>和负责人确认，以保证不符合项能完全被理解</w:t>
      </w:r>
      <w:r>
        <w:rPr>
          <w:rFonts w:ascii="宋体" w:eastAsia="宋体" w:hAnsi="宋体" w:cs="宋体"/>
          <w:spacing w:val="-1"/>
          <w:sz w:val="24"/>
          <w:szCs w:val="24"/>
        </w:rPr>
        <w:t>，记录应尽可能详细，以确</w:t>
      </w:r>
      <w:r>
        <w:rPr>
          <w:rFonts w:ascii="宋体" w:eastAsia="宋体" w:hAnsi="宋体" w:cs="宋体"/>
          <w:spacing w:val="-4"/>
          <w:sz w:val="24"/>
          <w:szCs w:val="24"/>
        </w:rPr>
        <w:t>保审核结果的可追溯性。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不符合项分为严重不符合和一般不符合两类。对于未构成不符合项的问题</w:t>
      </w:r>
      <w:r>
        <w:rPr>
          <w:rFonts w:ascii="宋体" w:eastAsia="宋体" w:hAnsi="宋体" w:cs="宋体"/>
          <w:spacing w:val="-4"/>
          <w:sz w:val="24"/>
          <w:szCs w:val="24"/>
        </w:rPr>
        <w:t>可以作为观察项书面提出。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严重不符合项：凡是审核中发现明显不符合</w:t>
      </w:r>
      <w:r>
        <w:rPr>
          <w:rFonts w:ascii="宋体" w:eastAsia="宋体" w:hAnsi="宋体" w:cs="宋体"/>
          <w:spacing w:val="-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ITSS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能力成熟度三级要</w:t>
      </w:r>
      <w:r>
        <w:rPr>
          <w:rFonts w:ascii="宋体" w:eastAsia="宋体" w:hAnsi="宋体" w:cs="宋体"/>
          <w:spacing w:val="-2"/>
          <w:sz w:val="24"/>
          <w:szCs w:val="24"/>
        </w:rPr>
        <w:t>求标准</w:t>
      </w:r>
      <w:r>
        <w:rPr>
          <w:rFonts w:ascii="宋体" w:eastAsia="宋体" w:hAnsi="宋体" w:cs="宋体"/>
          <w:spacing w:val="-1"/>
          <w:sz w:val="24"/>
          <w:szCs w:val="24"/>
        </w:rPr>
        <w:t>规定的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1"/>
          <w:sz w:val="24"/>
          <w:szCs w:val="24"/>
        </w:rPr>
        <w:t>违反法律法规而造成严重质量事故的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;   </w:t>
      </w:r>
      <w:r>
        <w:rPr>
          <w:rFonts w:ascii="宋体" w:eastAsia="宋体" w:hAnsi="宋体" w:cs="宋体"/>
          <w:spacing w:val="-1"/>
          <w:sz w:val="24"/>
          <w:szCs w:val="24"/>
        </w:rPr>
        <w:t>多次出现同一</w:t>
      </w:r>
      <w:r>
        <w:rPr>
          <w:rFonts w:ascii="宋体" w:eastAsia="宋体" w:hAnsi="宋体" w:cs="宋体"/>
          <w:spacing w:val="-2"/>
          <w:sz w:val="24"/>
          <w:szCs w:val="24"/>
        </w:rPr>
        <w:t>类一般不符合</w:t>
      </w:r>
      <w:r>
        <w:rPr>
          <w:rFonts w:ascii="宋体" w:eastAsia="宋体" w:hAnsi="宋体" w:cs="宋体"/>
          <w:spacing w:val="-1"/>
          <w:sz w:val="24"/>
          <w:szCs w:val="24"/>
        </w:rPr>
        <w:t>项而造成运维服务管理体系失效的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1"/>
          <w:sz w:val="24"/>
          <w:szCs w:val="24"/>
        </w:rPr>
        <w:t>对以前提出的不符合项采取纠正措施无</w:t>
      </w:r>
      <w:r>
        <w:rPr>
          <w:rFonts w:ascii="宋体" w:eastAsia="宋体" w:hAnsi="宋体" w:cs="宋体"/>
          <w:spacing w:val="-4"/>
          <w:sz w:val="24"/>
          <w:szCs w:val="24"/>
        </w:rPr>
        <w:t>效的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 </w:t>
      </w:r>
      <w:r>
        <w:rPr>
          <w:rFonts w:ascii="宋体" w:eastAsia="宋体" w:hAnsi="宋体" w:cs="宋体"/>
          <w:spacing w:val="-4"/>
          <w:sz w:val="24"/>
          <w:szCs w:val="24"/>
        </w:rPr>
        <w:t>以上违反任一条均判定为严重不符合项。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一般不符合项：</w:t>
      </w:r>
      <w:r>
        <w:rPr>
          <w:rFonts w:ascii="宋体" w:eastAsia="宋体" w:hAnsi="宋体" w:cs="宋体"/>
          <w:spacing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对偶尔人为造成的不符合项且易于纠正，不造成严重后果</w:t>
      </w:r>
      <w:r>
        <w:rPr>
          <w:rFonts w:ascii="宋体" w:eastAsia="宋体" w:hAnsi="宋体" w:cs="宋体"/>
          <w:spacing w:val="-2"/>
          <w:sz w:val="24"/>
          <w:szCs w:val="24"/>
        </w:rPr>
        <w:t>的，不造成质量管理体系失效的不符合项，判定为一般不符合</w:t>
      </w:r>
      <w:r>
        <w:rPr>
          <w:rFonts w:ascii="宋体" w:eastAsia="宋体" w:hAnsi="宋体" w:cs="宋体"/>
          <w:spacing w:val="-3"/>
          <w:sz w:val="24"/>
          <w:szCs w:val="24"/>
        </w:rPr>
        <w:t>项。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6" w:right="0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position w:val="-5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19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观察项：对个别轻微不符合文件的规定要求，并</w:t>
      </w:r>
      <w:r>
        <w:rPr>
          <w:rFonts w:ascii="宋体" w:eastAsia="宋体" w:hAnsi="宋体" w:cs="宋体"/>
          <w:spacing w:val="-1"/>
          <w:sz w:val="24"/>
          <w:szCs w:val="24"/>
        </w:rPr>
        <w:t>可在当时完成纠正的，尚</w:t>
      </w:r>
      <w:r>
        <w:rPr>
          <w:rFonts w:ascii="宋体" w:eastAsia="宋体" w:hAnsi="宋体" w:cs="宋体"/>
          <w:sz w:val="24"/>
          <w:szCs w:val="24"/>
        </w:rPr>
        <w:t>无确切证据说明其有不良发展趋势的问题，</w:t>
      </w:r>
      <w:r>
        <w:rPr>
          <w:rFonts w:ascii="宋体" w:eastAsia="宋体" w:hAnsi="宋体" w:cs="宋体"/>
          <w:spacing w:val="-1"/>
          <w:sz w:val="24"/>
          <w:szCs w:val="24"/>
        </w:rPr>
        <w:t>可视为观察项。观察项不视为</w:t>
      </w:r>
      <w:r>
        <w:rPr>
          <w:rFonts w:ascii="宋体" w:eastAsia="宋体" w:hAnsi="宋体" w:cs="宋体"/>
          <w:spacing w:val="-3"/>
          <w:sz w:val="24"/>
          <w:szCs w:val="24"/>
        </w:rPr>
        <w:t>不符合项，但应引起受审核部门的注意。</w:t>
      </w:r>
    </w:p>
    <w:p>
      <w:pPr>
        <w:pStyle w:val="1"/>
        <w:bidi w:val="0"/>
      </w:pPr>
      <w:bookmarkStart w:id="20" w:name="_Toc27438"/>
      <w:r>
        <w:t>不符合项报告</w:t>
      </w:r>
      <w:bookmarkEnd w:id="20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4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审核完毕，审核组整理审核记录，并将审核结果在组织内沟通，取得一致意见，最后由审核组长决定是否作为不符合项提出并判定严重程度，由审核组成员填写《不符合项报告》。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4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填写的不符合项报告有以下项要求：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填写的不符合事实陈述要全面、清楚、正确、精练地用文字表达出来。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写明判为不合格的理由，为什么判为不合格。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不符合标准或相关文件的哪一条要判断正确。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不符合的类型和程度要在报告中表达清楚。</w:t>
      </w:r>
    </w:p>
    <w:p>
      <w:pPr>
        <w:pStyle w:val="1"/>
        <w:bidi w:val="0"/>
      </w:pPr>
      <w:r>
        <w:t xml:space="preserve"> </w:t>
      </w:r>
      <w:bookmarkStart w:id="21" w:name="_Toc19813"/>
      <w:r>
        <w:t>审核报告</w:t>
      </w:r>
      <w:bookmarkEnd w:id="21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审核组长在审核结束后编写《内审报告》，审</w:t>
      </w:r>
      <w:r>
        <w:rPr>
          <w:rFonts w:ascii="宋体" w:eastAsia="宋体" w:hAnsi="宋体" w:cs="宋体"/>
          <w:spacing w:val="-6"/>
          <w:sz w:val="24"/>
          <w:szCs w:val="24"/>
        </w:rPr>
        <w:t>核组长对审核报告的准确性、</w:t>
      </w:r>
      <w:r>
        <w:rPr>
          <w:rFonts w:ascii="宋体" w:eastAsia="宋体" w:hAnsi="宋体" w:cs="宋体"/>
          <w:sz w:val="24"/>
          <w:szCs w:val="24"/>
        </w:rPr>
        <w:t>客观性和完整性负责。审核报告应附有《不符合项报</w:t>
      </w:r>
      <w:r>
        <w:rPr>
          <w:rFonts w:ascii="宋体" w:eastAsia="宋体" w:hAnsi="宋体" w:cs="宋体"/>
          <w:spacing w:val="-1"/>
          <w:sz w:val="24"/>
          <w:szCs w:val="24"/>
        </w:rPr>
        <w:t>告》等必要的客观证据材</w:t>
      </w:r>
      <w:r>
        <w:rPr>
          <w:rFonts w:ascii="宋体" w:eastAsia="宋体" w:hAnsi="宋体" w:cs="宋体"/>
          <w:spacing w:val="-12"/>
          <w:sz w:val="24"/>
          <w:szCs w:val="24"/>
        </w:rPr>
        <w:t>料。</w:t>
      </w:r>
    </w:p>
    <w:p>
      <w:pPr>
        <w:pStyle w:val="1"/>
        <w:bidi w:val="0"/>
      </w:pPr>
      <w:bookmarkStart w:id="22" w:name="_Toc18829"/>
      <w:r>
        <w:t>总结会议</w:t>
      </w:r>
      <w:bookmarkEnd w:id="22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审核结束，内审管理者代表、质量部和被审核部门负责人参加由审核组长组织召开的总结会议，审核组长宣读《内审报告》和《不符合项报告》，由副总经理及质量部经理提出要求。会议结束后，将《不符合项报告》发至相关部门。</w:t>
      </w:r>
    </w:p>
    <w:p>
      <w:pPr>
        <w:pStyle w:val="1"/>
        <w:bidi w:val="0"/>
      </w:pPr>
      <w:bookmarkStart w:id="23" w:name="_Toc22747"/>
      <w:r>
        <w:t>服务改进措施</w:t>
      </w:r>
      <w:bookmarkEnd w:id="2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《不符合项报告》分别传递给被审核部门负责人，经签字确认后，要分析产生原因，提出改进措施计划，以及完成改进措施的时间，即开始按计划采取相应的改进措施。</w:t>
      </w:r>
    </w:p>
    <w:p>
      <w:pPr>
        <w:pStyle w:val="1"/>
        <w:bidi w:val="0"/>
      </w:pPr>
      <w:bookmarkStart w:id="24" w:name="_Toc6921"/>
      <w:r>
        <w:t>跟踪验证</w:t>
      </w:r>
      <w:bookmarkEnd w:id="2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审核组对被审核部门采取的改进措施进行跟踪、验证其实施结果，直到措施完全被落实。对验证无效的措施审核组有权责令其重新制定改进措施，审核组再次验证。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20969"/>
      <w:r>
        <w:rPr>
          <w:rFonts w:hint="eastAsia"/>
          <w:lang w:val="en-US" w:eastAsia="zh-CN"/>
        </w:rPr>
        <w:t>流程衡量指标</w:t>
      </w:r>
      <w:bookmarkEnd w:id="25"/>
    </w:p>
    <w:tbl>
      <w:tblPr>
        <w:tblStyle w:val="TableNormal0"/>
        <w:tblW w:w="8504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337"/>
        <w:gridCol w:w="3545"/>
        <w:gridCol w:w="2895"/>
      </w:tblGrid>
      <w:tr>
        <w:tblPrEx>
          <w:tblW w:w="8504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33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5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28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</w:tr>
      <w:tr>
        <w:tblPrEx>
          <w:tblW w:w="8504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37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次数</w:t>
            </w:r>
          </w:p>
        </w:tc>
        <w:tc>
          <w:tcPr>
            <w:tcW w:w="354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数量：内部评审的次数</w:t>
            </w:r>
          </w:p>
        </w:tc>
        <w:tc>
          <w:tcPr>
            <w:tcW w:w="2895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1"/>
        <w:bidi w:val="0"/>
      </w:pPr>
      <w:bookmarkStart w:id="26" w:name="_Toc3072"/>
      <w:r>
        <w:t>内审记录</w:t>
      </w:r>
      <w:bookmarkEnd w:id="2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64" w:hanging="420" w:hangingChars="200"/>
        <w:textAlignment w:val="baseline"/>
        <w:rPr>
          <w:rFonts w:ascii="宋体" w:eastAsia="宋体" w:hAnsi="宋体" w:cs="宋体"/>
          <w:spacing w:val="-4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质量部负责保存内审的档案，包括：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《内审计划》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《内审检查表》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《内审报告》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《不符合项报告》</w:t>
      </w:r>
    </w:p>
    <w:sectPr>
      <w:headerReference w:type="default" r:id="rId9"/>
      <w:footerReference w:type="default" r:id="rId10"/>
      <w:pgSz w:w="11907" w:h="16840"/>
      <w:pgMar w:top="1162" w:right="1768" w:bottom="1359" w:left="1768" w:header="830" w:footer="1199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4" w:lineRule="auto"/>
      <w:ind w:left="416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4" w:lineRule="auto"/>
      <w:ind w:left="414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7" w:line="220" w:lineRule="auto"/>
      <w:ind w:right="25"/>
      <w:jc w:val="right"/>
      <w:rPr>
        <w:rFonts w:ascii="宋体" w:eastAsia="宋体" w:hAnsi="宋体" w:cs="宋体"/>
        <w:sz w:val="18"/>
        <w:szCs w:val="18"/>
      </w:rPr>
    </w:pPr>
    <w:r>
      <w:pict>
        <v:shape id="_x0000_s4097" o:spid="_x0000_s2049" style="height:0.5pt;margin-left:88.4pt;margin-top:55.2pt;mso-height-relative:page;mso-position-horizontal-relative:page;mso-position-vertical-relative:page;mso-width-relative:page;position:absolute;width:418.55pt;z-index:251658240" coordsize="8370,10" o:allowincell="f" path="m,5l8370,5e" filled="f" stroked="t">
          <v:stroke joinstyle="miter"/>
        </v:shape>
      </w:pict>
    </w:r>
    <w:r>
      <w:rPr>
        <w:rFonts w:ascii="宋体" w:eastAsia="宋体" w:hAnsi="宋体" w:cs="宋体"/>
        <w:spacing w:val="-4"/>
        <w:sz w:val="18"/>
        <w:szCs w:val="18"/>
      </w:rPr>
      <w:t>内部审核管理制度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7" w:line="220" w:lineRule="auto"/>
      <w:ind w:right="25"/>
      <w:jc w:val="right"/>
      <w:rPr>
        <w:rFonts w:ascii="宋体" w:eastAsia="宋体" w:hAnsi="宋体" w:cs="宋体"/>
        <w:sz w:val="18"/>
        <w:szCs w:val="18"/>
      </w:rPr>
    </w:pPr>
    <w:r>
      <w:pict>
        <v:shape id="_x0000_s4100" o:spid="_x0000_s2050" style="height:0.5pt;margin-left:88.4pt;margin-top:55.2pt;mso-height-relative:page;mso-position-horizontal-relative:page;mso-position-vertical-relative:page;mso-width-relative:page;position:absolute;width:418.55pt;z-index:251659264" coordsize="8370,10" o:allowincell="f" path="m,5l8370,5e" filled="f" stroked="t">
          <v:stroke joinstyle="miter"/>
        </v:shape>
      </w:pict>
    </w:r>
    <w:r>
      <w:rPr>
        <w:rFonts w:ascii="宋体" w:eastAsia="宋体" w:hAnsi="宋体" w:cs="宋体"/>
        <w:spacing w:val="-4"/>
        <w:sz w:val="18"/>
        <w:szCs w:val="18"/>
      </w:rPr>
      <w:t>内部审核管理制度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5BF07BA"/>
    <w:multiLevelType w:val="singleLevel"/>
    <w:tmpl w:val="95BF07B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4B2FB4D"/>
    <w:multiLevelType w:val="singleLevel"/>
    <w:tmpl w:val="A4B2FB4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7A29DCC"/>
    <w:multiLevelType w:val="singleLevel"/>
    <w:tmpl w:val="F7A29DC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050859CC"/>
    <w:multiLevelType w:val="singleLevel"/>
    <w:tmpl w:val="050859C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AB65762"/>
    <w:multiLevelType w:val="singleLevel"/>
    <w:tmpl w:val="0AB657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1ABEF1C"/>
    <w:multiLevelType w:val="singleLevel"/>
    <w:tmpl w:val="21ABEF1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45064F26"/>
    <w:multiLevelType w:val="singleLevel"/>
    <w:tmpl w:val="45064F2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4C918777"/>
    <w:multiLevelType w:val="singleLevel"/>
    <w:tmpl w:val="4C91877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4097"/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27</TotalTime>
  <Pages>9</Pages>
  <Words>244</Words>
  <Characters>317</Characters>
  <Application>Microsoft Office Word</Application>
  <DocSecurity>0</DocSecurity>
  <Lines>0</Lines>
  <Paragraphs>0</Paragraphs>
  <ScaleCrop>false</ScaleCrop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0</cp:revision>
  <dcterms:created xsi:type="dcterms:W3CDTF">2025-08-18T17:51:00Z</dcterms:created>
  <dcterms:modified xsi:type="dcterms:W3CDTF">2025-12-21T05:30:52Z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2025-08-20T23:31:54Z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008734E4083E4562837FA60E5DA0888E_12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