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</w:pPr>
      <w:bookmarkStart w:id="0" w:name="_Toc21807"/>
      <w:r>
        <w:t>运维服务质量管理制度</w:t>
      </w:r>
      <w:bookmarkEnd w:id="0"/>
    </w:p>
    <w:p>
      <w:pPr>
        <w:pStyle w:val="a2"/>
        <w:bidi w:val="0"/>
      </w:pPr>
      <w:r>
        <w:t>甘肃国邦信息科技有限公司</w:t>
      </w:r>
    </w:p>
    <w:p>
      <w:pPr>
        <w:spacing w:before="224" w:line="220" w:lineRule="auto"/>
        <w:ind w:left="2925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11"/>
          <w:sz w:val="36"/>
          <w:szCs w:val="36"/>
        </w:rPr>
        <w:t>2025年</w:t>
      </w:r>
      <w:bookmarkStart w:id="1" w:name="_GoBack"/>
      <w:bookmarkEnd w:id="1"/>
      <w:r>
        <w:rPr>
          <w:rFonts w:ascii="宋体" w:eastAsia="宋体" w:hAnsi="宋体" w:cs="宋体"/>
          <w:spacing w:val="-11"/>
          <w:sz w:val="36"/>
          <w:szCs w:val="36"/>
        </w:rPr>
        <w:t>1月4日</w:t>
      </w:r>
    </w:p>
    <w:p>
      <w:pPr>
        <w:spacing w:line="220" w:lineRule="auto"/>
        <w:rPr>
          <w:rFonts w:ascii="宋体" w:eastAsia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pStyle w:val="BodyText"/>
        <w:spacing w:line="363" w:lineRule="auto"/>
      </w:pPr>
    </w:p>
    <w:p>
      <w:pPr>
        <w:spacing w:before="91" w:line="220" w:lineRule="auto"/>
        <w:ind w:left="3620"/>
        <w:outlineLvl w:val="0"/>
        <w:rPr>
          <w:rFonts w:ascii="宋体" w:eastAsia="宋体" w:hAnsi="宋体" w:cs="宋体"/>
          <w:sz w:val="28"/>
          <w:szCs w:val="28"/>
        </w:rPr>
      </w:pPr>
      <w:bookmarkStart w:id="2" w:name="_Toc25761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2"/>
    </w:p>
    <w:p>
      <w:pPr>
        <w:spacing w:line="131" w:lineRule="exact"/>
      </w:pPr>
    </w:p>
    <w:tbl>
      <w:tblPr>
        <w:tblStyle w:val="TableNormal0"/>
        <w:tblW w:w="8646" w:type="dxa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>
        <w:tblPrEx>
          <w:tblW w:w="8646" w:type="dxa"/>
          <w:tblInd w:w="2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spacing w:before="125" w:line="220" w:lineRule="auto"/>
              <w:ind w:left="1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6942" w:type="dxa"/>
            <w:gridSpan w:val="4"/>
          </w:tcPr>
          <w:p>
            <w:pPr>
              <w:spacing w:before="125" w:line="218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运维服务质量管理制度（FWFWZLGL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-ITSS-ZJBG）</w:t>
            </w: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spacing w:before="122" w:line="220" w:lineRule="auto"/>
              <w:ind w:left="3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6942" w:type="dxa"/>
            <w:gridSpan w:val="4"/>
          </w:tcPr>
          <w:p>
            <w:pPr>
              <w:spacing w:before="122" w:line="219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甘肃国邦信息科技有限公司</w:t>
            </w: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spacing w:before="124" w:line="220" w:lineRule="auto"/>
              <w:ind w:left="3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文档密级</w:t>
            </w:r>
          </w:p>
        </w:tc>
        <w:tc>
          <w:tcPr>
            <w:tcW w:w="6942" w:type="dxa"/>
            <w:gridSpan w:val="4"/>
          </w:tcPr>
          <w:p>
            <w:pPr>
              <w:spacing w:before="124" w:line="220" w:lineRule="auto"/>
              <w:ind w:left="10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秘密</w:t>
            </w: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spacing w:before="125" w:line="219" w:lineRule="auto"/>
              <w:ind w:left="3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558" w:type="dxa"/>
          </w:tcPr>
          <w:p>
            <w:pPr>
              <w:spacing w:before="125" w:line="219" w:lineRule="auto"/>
              <w:ind w:left="3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123" w:type="dxa"/>
          </w:tcPr>
          <w:p>
            <w:pPr>
              <w:spacing w:before="125" w:line="219" w:lineRule="auto"/>
              <w:ind w:left="5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699" w:type="dxa"/>
          </w:tcPr>
          <w:p>
            <w:pPr>
              <w:spacing w:before="126" w:line="220" w:lineRule="auto"/>
              <w:ind w:left="5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作</w:t>
            </w:r>
            <w:r>
              <w:rPr>
                <w:rFonts w:ascii="宋体" w:eastAsia="宋体" w:hAnsi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者</w:t>
            </w:r>
          </w:p>
        </w:tc>
        <w:tc>
          <w:tcPr>
            <w:tcW w:w="1562" w:type="dxa"/>
          </w:tcPr>
          <w:p>
            <w:pPr>
              <w:spacing w:before="126" w:line="220" w:lineRule="auto"/>
              <w:ind w:left="5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审核</w:t>
            </w: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spacing w:before="104" w:line="239" w:lineRule="auto"/>
              <w:ind w:left="63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558" w:type="dxa"/>
          </w:tcPr>
          <w:p>
            <w:pPr>
              <w:spacing w:before="104"/>
              <w:ind w:left="36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123" w:type="dxa"/>
          </w:tcPr>
          <w:p>
            <w:pPr>
              <w:spacing w:before="74" w:line="219" w:lineRule="auto"/>
              <w:ind w:left="64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699" w:type="dxa"/>
          </w:tcPr>
          <w:p>
            <w:pPr>
              <w:spacing w:before="74" w:line="220" w:lineRule="auto"/>
              <w:ind w:left="542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金文莉</w:t>
            </w:r>
          </w:p>
        </w:tc>
        <w:tc>
          <w:tcPr>
            <w:tcW w:w="1562" w:type="dxa"/>
          </w:tcPr>
          <w:p>
            <w:pPr>
              <w:spacing w:before="75" w:line="220" w:lineRule="auto"/>
              <w:ind w:left="482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黄益溪</w:t>
            </w: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</w:pPr>
          </w:p>
        </w:tc>
        <w:tc>
          <w:tcPr>
            <w:tcW w:w="1558" w:type="dxa"/>
          </w:tcPr>
          <w:p>
            <w:pPr>
              <w:pStyle w:val="TableText"/>
            </w:pPr>
          </w:p>
        </w:tc>
        <w:tc>
          <w:tcPr>
            <w:tcW w:w="2123" w:type="dxa"/>
          </w:tcPr>
          <w:p>
            <w:pPr>
              <w:pStyle w:val="TableText"/>
            </w:pPr>
          </w:p>
        </w:tc>
        <w:tc>
          <w:tcPr>
            <w:tcW w:w="1699" w:type="dxa"/>
          </w:tcPr>
          <w:p>
            <w:pPr>
              <w:pStyle w:val="TableText"/>
            </w:pPr>
          </w:p>
        </w:tc>
        <w:tc>
          <w:tcPr>
            <w:tcW w:w="1562" w:type="dxa"/>
          </w:tcPr>
          <w:p>
            <w:pPr>
              <w:pStyle w:val="TableText"/>
            </w:pP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</w:pPr>
          </w:p>
        </w:tc>
        <w:tc>
          <w:tcPr>
            <w:tcW w:w="1558" w:type="dxa"/>
          </w:tcPr>
          <w:p>
            <w:pPr>
              <w:pStyle w:val="TableText"/>
            </w:pPr>
          </w:p>
        </w:tc>
        <w:tc>
          <w:tcPr>
            <w:tcW w:w="2123" w:type="dxa"/>
          </w:tcPr>
          <w:p>
            <w:pPr>
              <w:pStyle w:val="TableText"/>
            </w:pPr>
          </w:p>
        </w:tc>
        <w:tc>
          <w:tcPr>
            <w:tcW w:w="1699" w:type="dxa"/>
          </w:tcPr>
          <w:p>
            <w:pPr>
              <w:pStyle w:val="TableText"/>
            </w:pPr>
          </w:p>
        </w:tc>
        <w:tc>
          <w:tcPr>
            <w:tcW w:w="1562" w:type="dxa"/>
          </w:tcPr>
          <w:p>
            <w:pPr>
              <w:pStyle w:val="TableText"/>
            </w:pP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704" w:type="dxa"/>
          </w:tcPr>
          <w:p>
            <w:pPr>
              <w:pStyle w:val="TableText"/>
            </w:pPr>
          </w:p>
        </w:tc>
        <w:tc>
          <w:tcPr>
            <w:tcW w:w="1558" w:type="dxa"/>
          </w:tcPr>
          <w:p>
            <w:pPr>
              <w:pStyle w:val="TableText"/>
            </w:pPr>
          </w:p>
        </w:tc>
        <w:tc>
          <w:tcPr>
            <w:tcW w:w="2123" w:type="dxa"/>
          </w:tcPr>
          <w:p>
            <w:pPr>
              <w:pStyle w:val="TableText"/>
            </w:pPr>
          </w:p>
        </w:tc>
        <w:tc>
          <w:tcPr>
            <w:tcW w:w="1699" w:type="dxa"/>
          </w:tcPr>
          <w:p>
            <w:pPr>
              <w:pStyle w:val="TableText"/>
            </w:pPr>
          </w:p>
        </w:tc>
        <w:tc>
          <w:tcPr>
            <w:tcW w:w="1562" w:type="dxa"/>
          </w:tcPr>
          <w:p>
            <w:pPr>
              <w:pStyle w:val="TableText"/>
            </w:pPr>
          </w:p>
        </w:tc>
      </w:tr>
      <w:tr>
        <w:tblPrEx>
          <w:tblW w:w="8646" w:type="dxa"/>
          <w:tblInd w:w="2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pStyle w:val="TableText"/>
            </w:pPr>
          </w:p>
        </w:tc>
        <w:tc>
          <w:tcPr>
            <w:tcW w:w="1558" w:type="dxa"/>
          </w:tcPr>
          <w:p>
            <w:pPr>
              <w:pStyle w:val="TableText"/>
            </w:pPr>
          </w:p>
        </w:tc>
        <w:tc>
          <w:tcPr>
            <w:tcW w:w="2123" w:type="dxa"/>
          </w:tcPr>
          <w:p>
            <w:pPr>
              <w:pStyle w:val="TableText"/>
            </w:pPr>
          </w:p>
        </w:tc>
        <w:tc>
          <w:tcPr>
            <w:tcW w:w="1699" w:type="dxa"/>
          </w:tcPr>
          <w:p>
            <w:pPr>
              <w:pStyle w:val="TableText"/>
            </w:pPr>
          </w:p>
        </w:tc>
        <w:tc>
          <w:tcPr>
            <w:tcW w:w="1562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1906" w:h="16839"/>
          <w:pgMar w:top="1431" w:right="1440" w:bottom="0" w:left="1785" w:header="0" w:footer="0" w:gutter="0"/>
          <w:cols w:num="1" w:space="720"/>
        </w:sectPr>
      </w:pPr>
    </w:p>
    <w:p>
      <w:pPr>
        <w:pStyle w:val="BodyText"/>
        <w:spacing w:line="364" w:lineRule="auto"/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726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Calibri" w:eastAsia="Calibri" w:hAnsi="Calibri" w:cs="Calibri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sz w:val="24"/>
              <w:szCs w:val="24"/>
            </w:rPr>
            <w:instrText xml:space="preserve">TOC \o "1-3" \h \u </w:instrText>
          </w:r>
          <w:r>
            <w:rPr>
              <w:rFonts w:ascii="Calibri" w:eastAsia="Calibri" w:hAnsi="Calibri" w:cs="Calibri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_Toc21807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bCs/>
              <w:spacing w:val="-7"/>
              <w:sz w:val="24"/>
              <w:szCs w:val="24"/>
            </w:rPr>
            <w:t>运维服务质量管理制度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_Toc21807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_Toc25761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pacing w:val="-3"/>
              <w:sz w:val="24"/>
              <w:szCs w:val="24"/>
            </w:rPr>
            <w:t>文档信息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_Toc25761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2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_Toc18441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1. 目的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_Toc18441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_Toc1290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2. 适用范围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_Toc1290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_Toc776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 引用文件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_Toc776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_Toc27136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4. 术语与定义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_Toc27136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_Toc21105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5. 角色与职责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_Toc21105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_Toc16514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pacing w:val="-2"/>
              <w:sz w:val="24"/>
              <w:szCs w:val="24"/>
            </w:rPr>
            <w:t>质量部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_Toc16514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_Toc16850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 部门岗位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_Toc16850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_Toc22092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6.1. 公司高层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_Toc22092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_Toc7888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6.2. 质量部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_Toc7888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_Toc1501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6.3. 运维部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_Toc1501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_Toc22424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6.4. 服务台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_Toc22424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_Toc13236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6.5. 运维服务人员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_Toc13236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_Toc14760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7. 质量管理内容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_Toc14760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_Toc28262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7.1. 高层的质量管理活动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_Toc28262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_Toc31752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7.2. 质量部的质量管理活动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_Toc31752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_Toc4224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7.3. 运维部的质量管理活动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_Toc4224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_Toc6191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 运维服务质量管理要求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_Toc6191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_Toc31309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8.1. 客户满意度调查要求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_Toc31309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_Toc20260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8.2. 项目的质量管理要求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_Toc20260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_Toc27384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8.3. 体系的质量管理要求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_Toc27384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9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2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_Toc25762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8.3.1. 内审要求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_Toc25762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9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_Toc31655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8.3.2. 管理评审要求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_Toc31655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9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spacing w:line="327" w:lineRule="exact"/>
            <w:rPr>
              <w:rFonts w:ascii="Calibri" w:eastAsia="Calibri" w:hAnsi="Calibri" w:cs="Calibri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libri" w:eastAsia="Calibri" w:hAnsi="Calibri" w:cs="Calibri"/>
              <w:szCs w:val="24"/>
            </w:rPr>
            <w:fldChar w:fldCharType="end"/>
          </w:r>
        </w:p>
      </w:sdtContent>
    </w:sdt>
    <w:p>
      <w:pPr>
        <w:spacing w:line="327" w:lineRule="exact"/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10" w:bottom="0" w:left="1704" w:header="0" w:footer="0" w:gutter="0"/>
          <w:cols w:num="1" w:space="720"/>
        </w:sectPr>
      </w:pPr>
    </w:p>
    <w:p>
      <w:pPr>
        <w:pStyle w:val="1"/>
        <w:bidi w:val="0"/>
      </w:pPr>
      <w:bookmarkStart w:id="3" w:name="_Toc18441"/>
      <w:r>
        <w:t>目的</w:t>
      </w:r>
      <w:bookmarkEnd w:id="3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为确保公司提供的运维服务满足客户所需的服务质量，寻找公司服务实施</w:t>
      </w:r>
      <w:r>
        <w:rPr>
          <w:rFonts w:ascii="宋体" w:eastAsia="宋体" w:hAnsi="宋体" w:cs="宋体"/>
          <w:sz w:val="24"/>
          <w:szCs w:val="24"/>
        </w:rPr>
        <w:t>过程中存在的问题和缺陷，为服务改进活动的有效</w:t>
      </w:r>
      <w:r>
        <w:rPr>
          <w:rFonts w:ascii="宋体" w:eastAsia="宋体" w:hAnsi="宋体" w:cs="宋体"/>
          <w:spacing w:val="-1"/>
          <w:sz w:val="24"/>
          <w:szCs w:val="24"/>
        </w:rPr>
        <w:t>实施提供目标和方向，保证</w:t>
      </w:r>
      <w:r>
        <w:rPr>
          <w:rFonts w:ascii="宋体" w:eastAsia="宋体" w:hAnsi="宋体" w:cs="宋体"/>
          <w:spacing w:val="-2"/>
          <w:sz w:val="24"/>
          <w:szCs w:val="24"/>
        </w:rPr>
        <w:t>组织的服务质量稳定可控并持续提升，特制订本制度。</w:t>
      </w:r>
    </w:p>
    <w:p>
      <w:pPr>
        <w:pStyle w:val="1"/>
        <w:bidi w:val="0"/>
      </w:pPr>
      <w:bookmarkStart w:id="4" w:name="_Toc1290"/>
      <w:r>
        <w:t>适用范围</w:t>
      </w:r>
      <w:bookmarkEnd w:id="4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本程序适用于甘肃国邦信息科技有限公司运维服务业务，用于服务实施全过程的检查与审计。</w:t>
      </w:r>
    </w:p>
    <w:p>
      <w:pPr>
        <w:pStyle w:val="1"/>
        <w:bidi w:val="0"/>
      </w:pPr>
      <w:bookmarkStart w:id="5" w:name="_Toc776"/>
      <w:r>
        <w:t>引用文件</w:t>
      </w:r>
      <w:bookmarkEnd w:id="5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hint="eastAsia"/>
          <w:spacing w:val="-1"/>
          <w:position w:val="1"/>
          <w:sz w:val="24"/>
          <w:szCs w:val="24"/>
        </w:rPr>
        <w:t>T/CESA 1299—2023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 xml:space="preserve">《信息技术服务 </w:t>
      </w:r>
      <w:r>
        <w:rPr>
          <w:rFonts w:ascii="宋体" w:eastAsia="宋体" w:hAnsi="宋体" w:cs="宋体"/>
          <w:spacing w:val="-2"/>
          <w:position w:val="1"/>
          <w:sz w:val="24"/>
          <w:szCs w:val="24"/>
        </w:rPr>
        <w:t>运行维护服务能力成熟度模型》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spacing w:val="-1"/>
          <w:position w:val="1"/>
          <w:sz w:val="24"/>
          <w:szCs w:val="24"/>
        </w:rPr>
        <w:t xml:space="preserve">GB/T 28827.1-2022 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《信息技术服务</w:t>
      </w:r>
      <w:r>
        <w:rPr>
          <w:rFonts w:ascii="宋体" w:eastAsia="宋体" w:hAnsi="宋体" w:cs="宋体"/>
          <w:spacing w:val="-2"/>
          <w:position w:val="1"/>
          <w:sz w:val="24"/>
          <w:szCs w:val="24"/>
        </w:rPr>
        <w:t xml:space="preserve"> 运行维护 第</w:t>
      </w:r>
      <w:r>
        <w:rPr>
          <w:rFonts w:ascii="宋体" w:eastAsia="宋体" w:hAnsi="宋体" w:cs="宋体"/>
          <w:spacing w:val="-34"/>
          <w:position w:val="1"/>
          <w:sz w:val="24"/>
          <w:szCs w:val="24"/>
        </w:rPr>
        <w:t xml:space="preserve"> </w:t>
      </w:r>
      <w:r>
        <w:rPr>
          <w:spacing w:val="-2"/>
          <w:position w:val="1"/>
          <w:sz w:val="24"/>
          <w:szCs w:val="24"/>
        </w:rPr>
        <w:t xml:space="preserve">1 </w:t>
      </w:r>
      <w:r>
        <w:rPr>
          <w:rFonts w:ascii="宋体" w:eastAsia="宋体" w:hAnsi="宋体" w:cs="宋体"/>
          <w:spacing w:val="-2"/>
          <w:position w:val="1"/>
          <w:sz w:val="24"/>
          <w:szCs w:val="24"/>
        </w:rPr>
        <w:t>部分：通用要求》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spacing w:val="-1"/>
          <w:position w:val="1"/>
          <w:sz w:val="24"/>
          <w:szCs w:val="24"/>
        </w:rPr>
        <w:t xml:space="preserve">GB/T 29264-2012 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《信息技术服务 分类与代码》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spacing w:val="-1"/>
          <w:position w:val="1"/>
          <w:sz w:val="24"/>
          <w:szCs w:val="24"/>
        </w:rPr>
        <w:t xml:space="preserve">GB/T 28827.2-2012 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《信息技术服务 运行维护 第</w:t>
      </w:r>
      <w:r>
        <w:rPr>
          <w:rFonts w:ascii="宋体" w:eastAsia="宋体" w:hAnsi="宋体" w:cs="宋体"/>
          <w:spacing w:val="-53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 xml:space="preserve">2 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部分</w:t>
      </w:r>
      <w:r>
        <w:rPr>
          <w:spacing w:val="-1"/>
          <w:position w:val="1"/>
          <w:sz w:val="24"/>
          <w:szCs w:val="24"/>
        </w:rPr>
        <w:t>:</w:t>
      </w:r>
      <w:r>
        <w:rPr>
          <w:rFonts w:ascii="宋体" w:eastAsia="宋体" w:hAnsi="宋体" w:cs="宋体"/>
          <w:spacing w:val="-1"/>
          <w:position w:val="1"/>
          <w:sz w:val="24"/>
          <w:szCs w:val="24"/>
        </w:rPr>
        <w:t>交付规范》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spacing w:val="-2"/>
          <w:sz w:val="24"/>
          <w:szCs w:val="24"/>
        </w:rPr>
        <w:t>GB/T</w:t>
      </w:r>
      <w:r>
        <w:rPr>
          <w:spacing w:val="5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28827.3-2012</w:t>
      </w:r>
      <w:r>
        <w:rPr>
          <w:spacing w:val="43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《信息技术服务</w:t>
      </w:r>
      <w:r>
        <w:rPr>
          <w:rFonts w:ascii="宋体" w:eastAsia="宋体" w:hAnsi="宋体" w:cs="宋体"/>
          <w:spacing w:val="6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运行维护</w:t>
      </w:r>
      <w:r>
        <w:rPr>
          <w:rFonts w:ascii="宋体" w:eastAsia="宋体" w:hAnsi="宋体" w:cs="宋体"/>
          <w:spacing w:val="5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第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3 </w:t>
      </w:r>
      <w:r>
        <w:rPr>
          <w:rFonts w:ascii="宋体" w:eastAsia="宋体" w:hAnsi="宋体" w:cs="宋体"/>
          <w:spacing w:val="-2"/>
          <w:sz w:val="24"/>
          <w:szCs w:val="24"/>
        </w:rPr>
        <w:t>部分</w:t>
      </w:r>
      <w:r>
        <w:rPr>
          <w:spacing w:val="-2"/>
          <w:sz w:val="24"/>
          <w:szCs w:val="24"/>
        </w:rPr>
        <w:t>:</w:t>
      </w:r>
      <w:r>
        <w:rPr>
          <w:rFonts w:ascii="宋体" w:eastAsia="宋体" w:hAnsi="宋体" w:cs="宋体"/>
          <w:spacing w:val="-2"/>
          <w:sz w:val="24"/>
          <w:szCs w:val="24"/>
        </w:rPr>
        <w:t>应急响应规</w:t>
      </w:r>
      <w:r>
        <w:rPr>
          <w:rFonts w:ascii="宋体" w:eastAsia="宋体" w:hAnsi="宋体" w:cs="宋体"/>
          <w:spacing w:val="-7"/>
          <w:sz w:val="24"/>
          <w:szCs w:val="24"/>
        </w:rPr>
        <w:t>范》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国家有关法律、法规及行业标准</w:t>
      </w:r>
    </w:p>
    <w:p>
      <w:pPr>
        <w:pStyle w:val="1"/>
        <w:bidi w:val="0"/>
      </w:pPr>
      <w:bookmarkStart w:id="6" w:name="_Toc27136"/>
      <w:r>
        <w:t>术语与定义</w:t>
      </w:r>
      <w:bookmarkEnd w:id="6"/>
    </w:p>
    <w:p>
      <w:pPr>
        <w:spacing w:before="172" w:line="220" w:lineRule="auto"/>
        <w:ind w:left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无</w:t>
      </w:r>
    </w:p>
    <w:p>
      <w:pPr>
        <w:pStyle w:val="1"/>
        <w:bidi w:val="0"/>
      </w:pPr>
      <w:bookmarkStart w:id="7" w:name="_Toc21105"/>
      <w:r>
        <w:t>角色与职责</w:t>
      </w:r>
      <w:bookmarkEnd w:id="7"/>
    </w:p>
    <w:p>
      <w:pPr>
        <w:spacing w:before="128"/>
      </w:pPr>
    </w:p>
    <w:tbl>
      <w:tblPr>
        <w:tblStyle w:val="TableNormal0"/>
        <w:tblW w:w="7655" w:type="dxa"/>
        <w:tblInd w:w="5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4"/>
        <w:gridCol w:w="6301"/>
      </w:tblGrid>
      <w:tr>
        <w:tblPrEx>
          <w:tblW w:w="7655" w:type="dxa"/>
          <w:tblInd w:w="55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/>
        </w:trPr>
        <w:tc>
          <w:tcPr>
            <w:tcW w:w="1354" w:type="dxa"/>
            <w:shd w:val="clear" w:color="auto" w:fill="F2F2F2"/>
          </w:tcPr>
          <w:p>
            <w:pPr>
              <w:spacing w:before="60" w:line="219" w:lineRule="auto"/>
              <w:ind w:left="4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角色</w:t>
            </w:r>
          </w:p>
        </w:tc>
        <w:tc>
          <w:tcPr>
            <w:tcW w:w="6301" w:type="dxa"/>
            <w:shd w:val="clear" w:color="auto" w:fill="F2F2F2"/>
          </w:tcPr>
          <w:p>
            <w:pPr>
              <w:spacing w:before="61" w:line="221" w:lineRule="auto"/>
              <w:ind w:left="29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职责</w:t>
            </w:r>
          </w:p>
        </w:tc>
      </w:tr>
      <w:tr>
        <w:tblPrEx>
          <w:tblW w:w="7655" w:type="dxa"/>
          <w:tblInd w:w="55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/>
        </w:trPr>
        <w:tc>
          <w:tcPr>
            <w:tcW w:w="1354" w:type="dxa"/>
          </w:tcPr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spacing w:before="78" w:line="220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管理层</w:t>
            </w:r>
          </w:p>
        </w:tc>
        <w:tc>
          <w:tcPr>
            <w:tcW w:w="6301" w:type="dxa"/>
          </w:tcPr>
          <w:p>
            <w:pPr>
              <w:spacing w:before="64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2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负责审批年度服务能力管理计划。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5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定期对服务实施过程和服务实施过程的改进进行监控管理。</w:t>
            </w:r>
          </w:p>
          <w:p>
            <w:pPr>
              <w:spacing w:before="105" w:line="271" w:lineRule="auto"/>
              <w:ind w:left="567" w:right="270" w:hanging="415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6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负责公司运维服务体系的管理评审，以确保运维服务能力的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适应性和有效性。</w:t>
            </w:r>
          </w:p>
        </w:tc>
      </w:tr>
      <w:tr>
        <w:tblPrEx>
          <w:tblW w:w="7655" w:type="dxa"/>
          <w:tblInd w:w="55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/>
        </w:trPr>
        <w:tc>
          <w:tcPr>
            <w:tcW w:w="1354" w:type="dxa"/>
            <w:shd w:val="clear" w:color="auto" w:fill="auto"/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spacing w:before="78" w:line="220" w:lineRule="auto"/>
              <w:ind w:left="113" w:leftChars="0"/>
              <w:outlineLvl w:val="1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bookmarkStart w:id="8" w:name="_Toc16514"/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质量部</w:t>
            </w:r>
            <w:bookmarkEnd w:id="8"/>
          </w:p>
        </w:tc>
        <w:tc>
          <w:tcPr>
            <w:tcW w:w="6301" w:type="dxa"/>
            <w:shd w:val="clear" w:color="auto" w:fill="auto"/>
          </w:tcPr>
          <w:p>
            <w:pPr>
              <w:spacing w:before="67" w:line="272" w:lineRule="auto"/>
              <w:ind w:left="567" w:right="270" w:hanging="415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41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 10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6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负责运维服务的公司级质量保证，制定总体的服务质量管理</w:t>
            </w:r>
            <w:r>
              <w:rPr>
                <w:rFonts w:ascii="宋体" w:eastAsia="宋体" w:hAnsi="宋体" w:cs="宋体"/>
                <w:spacing w:val="-9"/>
                <w:sz w:val="21"/>
                <w:szCs w:val="21"/>
              </w:rPr>
              <w:t>计划。</w:t>
            </w:r>
          </w:p>
          <w:p>
            <w:pPr>
              <w:spacing w:before="100" w:line="270" w:lineRule="auto"/>
              <w:ind w:left="569" w:right="101" w:hanging="417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43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 12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0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监控运维服务质量,</w:t>
            </w:r>
            <w:r>
              <w:rPr>
                <w:rFonts w:ascii="宋体" w:eastAsia="宋体" w:hAnsi="宋体" w:cs="宋体"/>
                <w:spacing w:val="38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定期组织质量分析会议，对运维业务开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展情况进行评估。</w:t>
            </w:r>
          </w:p>
          <w:p>
            <w:pPr>
              <w:spacing w:before="102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45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 14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5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对公司运维服务业务的质量进行监控。</w:t>
            </w:r>
          </w:p>
          <w:p>
            <w:pPr>
              <w:spacing w:before="105" w:line="271" w:lineRule="auto"/>
              <w:ind w:left="584" w:right="270" w:hanging="43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47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 16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6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负责公司运维服务体系的定期内部评审，对内审中不符合项</w:t>
            </w:r>
            <w:r>
              <w:rPr>
                <w:rFonts w:ascii="宋体" w:eastAsia="宋体" w:hAnsi="宋体" w:cs="宋体"/>
                <w:spacing w:val="-6"/>
                <w:sz w:val="21"/>
                <w:szCs w:val="21"/>
              </w:rPr>
              <w:t>的处理进行跟踪记录。</w:t>
            </w:r>
          </w:p>
          <w:p>
            <w:pPr>
              <w:spacing w:before="100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49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 18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6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负责改进措施的监督及检查。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20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27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对重大投诉进行原因分析、处理和回访。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3810"/>
                  <wp:docPr id="51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 22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0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对每年运维服务报告进行审查。</w:t>
            </w:r>
          </w:p>
          <w:p>
            <w:pPr>
              <w:spacing w:before="105" w:line="223" w:lineRule="auto"/>
              <w:ind w:left="15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2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24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5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负责客户满意度调查。</w:t>
            </w:r>
          </w:p>
        </w:tc>
      </w:tr>
      <w:tr>
        <w:tblPrEx>
          <w:tblW w:w="7655" w:type="dxa"/>
          <w:tblInd w:w="55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spacing w:before="78" w:line="278" w:lineRule="auto"/>
              <w:ind w:left="114" w:right="280" w:hanging="2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运维部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66" w:line="271" w:lineRule="auto"/>
              <w:ind w:left="569" w:right="165" w:hanging="417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3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 26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7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负责对所运维业务进行质量控制,对质量部和服务台提供的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客户服务质量调查结果进行分析和处理。</w:t>
            </w:r>
          </w:p>
          <w:p>
            <w:pPr>
              <w:spacing w:before="101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4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28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4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定期组织召开质量分析会。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5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 30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27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跟踪客户投诉的处理过程。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6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32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4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定期编写总结报告，持续改进完善维护服务能力和质量。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7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 34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4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负责监控服务的处理过程。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3810"/>
                  <wp:docPr id="58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36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0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对每个处理事件进行客户回访。</w:t>
            </w:r>
          </w:p>
          <w:p>
            <w:pPr>
              <w:spacing w:before="105" w:line="271" w:lineRule="auto"/>
              <w:ind w:left="570" w:right="270" w:hanging="41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59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 38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6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接收和处理客户投诉，重要的客户投诉信息及时反馈给相关</w:t>
            </w:r>
            <w:r>
              <w:rPr>
                <w:rFonts w:ascii="宋体" w:eastAsia="宋体" w:hAnsi="宋体" w:cs="宋体"/>
                <w:spacing w:val="-7"/>
                <w:sz w:val="21"/>
                <w:szCs w:val="21"/>
              </w:rPr>
              <w:t>部门处理。</w:t>
            </w:r>
          </w:p>
          <w:p>
            <w:pPr>
              <w:spacing w:before="100" w:line="286" w:lineRule="auto"/>
              <w:ind w:left="571" w:right="270" w:hanging="419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6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40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6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包括运维项目经理、技术支持工程师、网络工程师等相关人员，按照运维岗位职责的要求、工作流程及质量要求，实施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具体运维服务任务，并将过程形成记录。</w:t>
            </w:r>
          </w:p>
        </w:tc>
      </w:tr>
      <w:tr>
        <w:tblPrEx>
          <w:tblW w:w="7655" w:type="dxa"/>
          <w:tblInd w:w="55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78" w:line="220" w:lineRule="auto"/>
              <w:ind w:left="11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其他部门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71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61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 42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1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参与能力管理计划的制定；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62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44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29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按照能力管理计划实施；</w:t>
            </w:r>
          </w:p>
          <w:p>
            <w:pPr>
              <w:spacing w:before="105" w:line="223" w:lineRule="auto"/>
              <w:ind w:left="1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3810"/>
                  <wp:docPr id="63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 46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28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接受质量部的监督和检查，并定期汇报计划的实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施情况；</w:t>
            </w:r>
          </w:p>
          <w:p>
            <w:pPr>
              <w:spacing w:before="105" w:line="223" w:lineRule="auto"/>
              <w:ind w:left="15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eastAsia="宋体" w:hAnsi="宋体" w:cs="宋体"/>
                <w:position w:val="-4"/>
                <w:sz w:val="21"/>
                <w:szCs w:val="21"/>
              </w:rPr>
              <w:drawing>
                <wp:inline distT="0" distB="0" distL="0" distR="0">
                  <wp:extent cx="94615" cy="147320"/>
                  <wp:effectExtent l="0" t="0" r="12065" b="4445"/>
                  <wp:docPr id="64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48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78" cy="1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31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针对实施过程中发现的问题采取有效的改进措施。</w:t>
            </w:r>
          </w:p>
        </w:tc>
      </w:tr>
    </w:tbl>
    <w:p>
      <w:pPr>
        <w:spacing w:line="91" w:lineRule="auto"/>
        <w:rPr>
          <w:rFonts w:ascii="Arial"/>
          <w:sz w:val="2"/>
        </w:rPr>
      </w:pPr>
    </w:p>
    <w:p>
      <w:pPr>
        <w:pStyle w:val="BodyText"/>
        <w:spacing w:line="328" w:lineRule="auto"/>
      </w:pPr>
    </w:p>
    <w:p>
      <w:pPr>
        <w:pStyle w:val="1"/>
        <w:bidi w:val="0"/>
      </w:pPr>
      <w:bookmarkStart w:id="9" w:name="_Toc16850"/>
      <w:r>
        <w:t>部门岗位</w:t>
      </w:r>
      <w:bookmarkEnd w:id="9"/>
    </w:p>
    <w:p>
      <w:pPr>
        <w:pStyle w:val="2"/>
        <w:bidi w:val="0"/>
      </w:pPr>
      <w:bookmarkStart w:id="10" w:name="bookmark23"/>
      <w:bookmarkEnd w:id="10"/>
      <w:bookmarkStart w:id="11" w:name="_Toc22092"/>
      <w:r>
        <w:t>公司高层</w:t>
      </w:r>
      <w:bookmarkEnd w:id="11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负责审批年度服务管理计划。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定期对服务实施过程进行监控和管理，对服务实施过程的改进进行审批。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负责公司运维服务体系的管理评审，以确保运维服务能力的适应性和有效性</w:t>
      </w:r>
    </w:p>
    <w:p>
      <w:pPr>
        <w:pStyle w:val="2"/>
        <w:bidi w:val="0"/>
      </w:pPr>
      <w:bookmarkStart w:id="12" w:name="_Toc7888"/>
      <w:r>
        <w:t>质量部</w:t>
      </w:r>
      <w:bookmarkEnd w:id="12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负责公司运维服务体系的定期内部评审，对内审中不达标项的处理进行跟踪记录。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负责运维服务的组织级质量保证。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对公司运维服务业务的质量进行监控。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负责组织级客户满意度的调查。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负责改进措施的监督及检查。</w:t>
      </w:r>
    </w:p>
    <w:p>
      <w:pPr>
        <w:pStyle w:val="2"/>
        <w:bidi w:val="0"/>
      </w:pPr>
      <w:bookmarkStart w:id="13" w:name="_Toc1501"/>
      <w:r>
        <w:t>运维部</w:t>
      </w:r>
      <w:bookmarkEnd w:id="13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负责对所管辖的业务质量计划的制定。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负责对所管辖的业务进行质量控制,对质量部和服务台提供的客户服务质量调查结果进行分析和处理。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定期组织召开质量分析会。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跟踪客户投诉的处理过程。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定期编写总结报告，持续改进完善维护服务能力和质量。</w:t>
      </w:r>
    </w:p>
    <w:p>
      <w:pPr>
        <w:pStyle w:val="2"/>
        <w:bidi w:val="0"/>
      </w:pPr>
      <w:bookmarkStart w:id="14" w:name="_Toc22424"/>
      <w:r>
        <w:t>服务台</w:t>
      </w:r>
      <w:bookmarkEnd w:id="14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负责监控服务的处理过程。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接收和处理客户投诉，重要的客户投诉信息及时反馈给相关部门处理。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负责服务数据的统计，并报送给相关部门。</w:t>
      </w:r>
    </w:p>
    <w:p>
      <w:pPr>
        <w:pStyle w:val="2"/>
        <w:bidi w:val="0"/>
      </w:pPr>
      <w:bookmarkStart w:id="15" w:name="_Toc13236"/>
      <w:r>
        <w:t>运维服务人员</w:t>
      </w:r>
      <w:bookmarkEnd w:id="15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包括技术支持工程师、网络工程师等人员，按照运维岗位职责的要求、工作流程及质量要求，实施具体运维服务任务，并将过程形成记录。</w:t>
      </w:r>
    </w:p>
    <w:p>
      <w:pPr>
        <w:pStyle w:val="1"/>
        <w:bidi w:val="0"/>
      </w:pPr>
      <w:bookmarkStart w:id="16" w:name="_Toc14760"/>
      <w:r>
        <w:t>质量管理内容</w:t>
      </w:r>
      <w:bookmarkEnd w:id="16"/>
    </w:p>
    <w:p>
      <w:pPr>
        <w:pStyle w:val="2"/>
        <w:bidi w:val="0"/>
      </w:pPr>
      <w:bookmarkStart w:id="17" w:name="bookmark24"/>
      <w:bookmarkEnd w:id="17"/>
      <w:bookmarkStart w:id="18" w:name="_Toc28262"/>
      <w:r>
        <w:t>高层的质量管理活动</w:t>
      </w:r>
      <w:bookmarkEnd w:id="18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制定管控指标:根据市场情况、技术发展和公司自身变化，制定并周期性的评审公司运维业务的方针策略和目标，评审服务目录、管控目标，评审组织结构和管理制度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管理评审:管理评审的目的是通过对公司服务体系运行的适宜性、充分性和有效性进行评价，确定公司服务体系的改进方向。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服务改进规划：根据市场情况、技术发展和公司自身变化，周期性的评审服务工作中存在的问题，并评估批准整改措施；评审现有流程执行的差距和改进措施，更好地适应服务需求；通过服务改进管理，提高运维服务工作的适应性和管理水平。</w:t>
      </w:r>
    </w:p>
    <w:p>
      <w:pPr>
        <w:pStyle w:val="2"/>
        <w:bidi w:val="0"/>
      </w:pPr>
      <w:bookmarkStart w:id="19" w:name="_Toc31752"/>
      <w:r>
        <w:t>质量部的质量管理活动</w:t>
      </w:r>
      <w:bookmarkEnd w:id="19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内审和管理评审：公司质量部负责组织每年一次的内审和每年一次的管理评审，来评价公司的运维服务能力的适应性和有效性。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客户满意度调查：公司质量部负责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每年至少进行一次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，并对调查结果进行分析和总结，对相关的调查结果进行分析，及时反馈给相关部门和责任人，对重大质量问题进行跟踪和督促。</w:t>
      </w:r>
    </w:p>
    <w:p>
      <w:pPr>
        <w:pStyle w:val="2"/>
        <w:bidi w:val="0"/>
      </w:pPr>
      <w:bookmarkStart w:id="20" w:name="_Toc4224"/>
      <w:r>
        <w:t>运维部的质量管理活动</w:t>
      </w:r>
      <w:bookmarkEnd w:id="20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签订服务协议：运维部门经理协助销售部门与客户签订服务级别协议SLA（SLA服务合同）。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质量计划：运维部经理或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项目经理制定服务项目的质量保证计划，以确保服务目标的实现，服务风险的降低。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服务执行：从项目开始实施至结束，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项目经理监督、控制服务过程中的每一个环节，包括事件、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问题、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配置、变更、发布、信息安全、容量、过程框架、可用性、业务连续性，按合同要求形成服务报告，在报告中详细列明 SLA 达成情况。服务台管理员及时回访客户，调查服务满意度。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质量分析：运维部门经理对本部门的各项目质量进行管理，包括数据统计、分析、预警、跟踪。检查各项运维服务指标达成情况，并与 SLA 的要求进行对比，对未达标项提出改进措施，形成项目质量分析报告。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质量改进：由质量部经理组织相关人员，通过阶段性（季度）</w:t>
      </w:r>
      <w:r>
        <w:rPr>
          <w:rFonts w:ascii="宋体" w:eastAsia="宋体" w:hAnsi="宋体" w:cs="宋体"/>
          <w:spacing w:val="-2"/>
          <w:sz w:val="24"/>
          <w:szCs w:val="24"/>
        </w:rPr>
        <w:t>的运维服务工作总结，对公司服务业务发展过</w:t>
      </w:r>
      <w:r>
        <w:rPr>
          <w:rFonts w:ascii="宋体" w:eastAsia="宋体" w:hAnsi="宋体" w:cs="宋体"/>
          <w:spacing w:val="-3"/>
          <w:sz w:val="24"/>
          <w:szCs w:val="24"/>
        </w:rPr>
        <w:t>程的问题和偏差做出有效评估，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并进行调整和优化，及时了解客户的需求，并根据客户的意见或建议进行改进，保证年度运维服务目标的实现。</w:t>
      </w:r>
    </w:p>
    <w:p>
      <w:pPr>
        <w:pStyle w:val="1"/>
        <w:bidi w:val="0"/>
      </w:pPr>
      <w:bookmarkStart w:id="21" w:name="_Toc6191"/>
      <w:r>
        <w:t>运维服务质量管理要求</w:t>
      </w:r>
      <w:bookmarkEnd w:id="21"/>
    </w:p>
    <w:p>
      <w:pPr>
        <w:pStyle w:val="2"/>
        <w:bidi w:val="0"/>
      </w:pPr>
      <w:bookmarkStart w:id="22" w:name="bookmark25"/>
      <w:bookmarkEnd w:id="22"/>
      <w:bookmarkStart w:id="23" w:name="_Toc31309"/>
      <w:r>
        <w:t>客户满意度调查要求</w:t>
      </w:r>
      <w:bookmarkEnd w:id="23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客户满意度调查工作由公司质量部负责，服务台配合完成，分为事件回访和公司级客户满意度调查。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事件回访是对已解决的事件在解决后的 24 小时内进行一次电话回访，了解客户对处理结果的满意度。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公司级客户满意度调查应每年最少进行一次，采用问卷填写，客户满意度调查内容应注意调查样本的比例及覆盖范围，以降低抽样的风险。</w:t>
      </w:r>
    </w:p>
    <w:p>
      <w:pPr>
        <w:pStyle w:val="2"/>
        <w:bidi w:val="0"/>
      </w:pPr>
      <w:bookmarkStart w:id="24" w:name="_Toc20260"/>
      <w:r>
        <w:t>项目的质量管理要求</w:t>
      </w:r>
      <w:bookmarkEnd w:id="24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项目经理必须严格按照 SLA（或服务合同）的要求，为客户提供运维服务。同时及时监控服务过程，以确保达到 SLA 的要求。并定期向客户和部门经理提交服务报告。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服务台管理人员及时对已完成的项目进行客户回访，以获取客户的满意度评价。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服务台管理人员根据 SLA（或服务合同）制定指标体系，按月进行指标统计，形成质量报告，报送给相关部门及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项目经理。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运维部门经理每季度须召开一次质量分析会，回顾和总结月度质量计划完成情况，提出下阶段的改进措施，并对相关人员进行指标考</w:t>
      </w:r>
      <w:r>
        <w:rPr>
          <w:rFonts w:ascii="宋体" w:eastAsia="宋体" w:hAnsi="宋体" w:cs="宋体"/>
          <w:spacing w:val="-2"/>
          <w:sz w:val="24"/>
          <w:szCs w:val="24"/>
        </w:rPr>
        <w:t>核。</w:t>
      </w:r>
    </w:p>
    <w:p>
      <w:pPr>
        <w:pStyle w:val="2"/>
        <w:bidi w:val="0"/>
      </w:pPr>
      <w:bookmarkStart w:id="25" w:name="_Toc27384"/>
      <w:r>
        <w:t>体系的质量管理要求</w:t>
      </w:r>
      <w:bookmarkEnd w:id="25"/>
    </w:p>
    <w:p>
      <w:pPr>
        <w:pStyle w:val="3"/>
        <w:bidi w:val="0"/>
      </w:pPr>
      <w:bookmarkStart w:id="26" w:name="bookmark26"/>
      <w:bookmarkEnd w:id="26"/>
      <w:bookmarkStart w:id="27" w:name="_Toc25762"/>
      <w:r>
        <w:t>内审要求</w:t>
      </w:r>
      <w:bookmarkEnd w:id="27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内审要求每年度执行一次，可根据公司实际情况策划审核频次。由质量部来负责组织内审计划、实施和报告，但必须得到质量部经理的批准。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内审的范围是运维服务涉及的所有部门，包括运维服务的主要实施部门和支持部门。内审要对 GB/T 28827.1-2022 《信息技术服务 运行维护 第 1 部分：通用要求》、GB/T 28827.2-2012 《信息技术服务 运行维护 第 2 部分:交付规范》、GB/T 28827.3-2012 《信息技术服务 运行维护 第 3 部分:应急响应规范》中人员、资源、技术、过程、交付、应急响应都进行审核。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内审需要制订内审计划、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  <w:t>内审</w:t>
      </w: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检查表，内审员在审核过程中要详细记录审核内容；审核完成后需要对不合格项进行整改；编写内审报告。</w:t>
      </w:r>
    </w:p>
    <w:p>
      <w:pPr>
        <w:pStyle w:val="3"/>
        <w:bidi w:val="0"/>
      </w:pPr>
      <w:bookmarkStart w:id="28" w:name="_Toc31655"/>
      <w:r>
        <w:t>管理评审要求</w:t>
      </w:r>
      <w:bookmarkEnd w:id="28"/>
    </w:p>
    <w:p>
      <w:pPr>
        <w:pStyle w:val="BodyText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管理评审要求每年必须执行一次，由管理者代表组织实施。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管理评审的参加人员要包括：公司领导、管理者代表、运维部负责人、质量部负责人、综合管理部负责人、研发部负责人等。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5"/>
          <w:position w:val="1"/>
          <w:sz w:val="24"/>
          <w:szCs w:val="24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管理评审的主要内容为：年度能力管理计划的实施情况汇报、各项KPI的完成情况、客户满意度调查汇报、各运维部门的工作汇报、运维服务管理体系内审报告、客户投诉报告、持续改进情况等。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 w:hint="eastAsia"/>
          <w:spacing w:val="-5"/>
          <w:position w:val="1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</w:rPr>
        <w:t>注：管理评审需要先制定管理评审计划，收集相关材料，根据管理评审结果制定管理评审报告，如果在管理评审上发现问题，需要对问题进行跟踪</w:t>
      </w:r>
      <w:r>
        <w:rPr>
          <w:rFonts w:ascii="宋体" w:eastAsia="宋体" w:hAnsi="宋体" w:cs="宋体" w:hint="eastAsia"/>
          <w:spacing w:val="-5"/>
          <w:position w:val="1"/>
          <w:sz w:val="24"/>
          <w:szCs w:val="24"/>
          <w:lang w:eastAsia="zh-CN"/>
        </w:rPr>
        <w:t>。</w:t>
      </w:r>
    </w:p>
    <w:sectPr>
      <w:footerReference w:type="default" r:id="rId7"/>
      <w:pgSz w:w="11906" w:h="16839"/>
      <w:pgMar w:top="1431" w:right="1785" w:bottom="1375" w:left="1785" w:header="0" w:footer="1211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413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A48F062"/>
    <w:multiLevelType w:val="singleLevel"/>
    <w:tmpl w:val="8A48F06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12EA3C9"/>
    <w:multiLevelType w:val="singleLevel"/>
    <w:tmpl w:val="912EA3C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9FD0515E"/>
    <w:multiLevelType w:val="singleLevel"/>
    <w:tmpl w:val="9FD0515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A9A088B4"/>
    <w:multiLevelType w:val="singleLevel"/>
    <w:tmpl w:val="A9A088B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C1FFCD38"/>
    <w:multiLevelType w:val="singleLevel"/>
    <w:tmpl w:val="C1FFCD3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C89D55F4"/>
    <w:multiLevelType w:val="singleLevel"/>
    <w:tmpl w:val="C89D55F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CC099921"/>
    <w:multiLevelType w:val="singleLevel"/>
    <w:tmpl w:val="CC09992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D56F7E7D"/>
    <w:multiLevelType w:val="singleLevel"/>
    <w:tmpl w:val="D56F7E7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DDF2EF48"/>
    <w:multiLevelType w:val="singleLevel"/>
    <w:tmpl w:val="DDF2EF4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1D21193E"/>
    <w:multiLevelType w:val="singleLevel"/>
    <w:tmpl w:val="1D21193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411E9FD4"/>
    <w:multiLevelType w:val="singleLevel"/>
    <w:tmpl w:val="411E9FD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647020B3"/>
    <w:multiLevelType w:val="singleLevel"/>
    <w:tmpl w:val="647020B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11"/>
  </w:num>
  <w:num w:numId="3">
    <w:abstractNumId w:val="3"/>
  </w:num>
  <w:num w:numId="4">
    <w:abstractNumId w:val="2"/>
  </w:num>
  <w:num w:numId="5">
    <w:abstractNumId w:val="12"/>
  </w:num>
  <w:num w:numId="6">
    <w:abstractNumId w:val="7"/>
  </w:num>
  <w:num w:numId="7">
    <w:abstractNumId w:val="8"/>
  </w:num>
  <w:num w:numId="8">
    <w:abstractNumId w:val="5"/>
  </w:num>
  <w:num w:numId="9">
    <w:abstractNumId w:val="4"/>
  </w:num>
  <w:num w:numId="10">
    <w:abstractNumId w:val="0"/>
  </w:num>
  <w:num w:numId="11">
    <w:abstractNumId w:val="10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Pages>10</Pages>
  <Words>3324</Words>
  <Characters>3531</Characters>
  <Application>Microsoft Office Word</Application>
  <DocSecurity>0</DocSecurity>
  <Lines>0</Lines>
  <Paragraphs>0</Paragraphs>
  <ScaleCrop>false</ScaleCrop>
  <Company/>
  <LinksUpToDate>false</LinksUpToDate>
  <CharactersWithSpaces>3730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郝宇</cp:lastModifiedBy>
  <cp:revision>0</cp:revision>
  <dcterms:created xsi:type="dcterms:W3CDTF">2025-08-18T17:56:00Z</dcterms:created>
  <dcterms:modified xsi:type="dcterms:W3CDTF">2025-12-21T05:33:18Z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2025-08-20T23:54:01Z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F06448E82D154202B687D38C6E206337_12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