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</w:pPr>
      <w:bookmarkStart w:id="0" w:name="_Toc6586"/>
      <w:r>
        <w:t>沟通管理制度</w:t>
      </w:r>
      <w:bookmarkEnd w:id="0"/>
    </w:p>
    <w:p>
      <w:pPr>
        <w:pStyle w:val="a2"/>
        <w:bidi w:val="0"/>
      </w:pPr>
      <w:bookmarkStart w:id="1" w:name="_GoBack"/>
      <w:r>
        <w:t>甘肃国邦信息科技有限公司</w:t>
      </w:r>
    </w:p>
    <w:p>
      <w:pPr>
        <w:spacing w:before="224" w:line="220" w:lineRule="auto"/>
        <w:ind w:left="2925"/>
        <w:rPr>
          <w:rFonts w:ascii="宋体" w:eastAsia="宋体" w:hAnsi="宋体" w:cs="宋体"/>
          <w:sz w:val="36"/>
          <w:szCs w:val="36"/>
        </w:rPr>
      </w:pPr>
      <w:bookmarkEnd w:id="1"/>
      <w:r>
        <w:rPr>
          <w:rFonts w:ascii="宋体" w:eastAsia="宋体" w:hAnsi="宋体" w:cs="宋体"/>
          <w:spacing w:val="-11"/>
          <w:sz w:val="36"/>
          <w:szCs w:val="36"/>
        </w:rPr>
        <w:t>2025年1月4日</w:t>
      </w:r>
    </w:p>
    <w:p>
      <w:pPr>
        <w:spacing w:line="220" w:lineRule="auto"/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pStyle w:val="BodyText"/>
        <w:spacing w:line="252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spacing w:before="91" w:line="220" w:lineRule="auto"/>
        <w:ind w:left="3710"/>
        <w:outlineLvl w:val="0"/>
        <w:rPr>
          <w:rFonts w:ascii="宋体" w:eastAsia="宋体" w:hAnsi="宋体" w:cs="宋体"/>
          <w:sz w:val="28"/>
          <w:szCs w:val="28"/>
        </w:rPr>
      </w:pPr>
      <w:bookmarkStart w:id="2" w:name="_Toc3822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2"/>
    </w:p>
    <w:p>
      <w:pPr>
        <w:spacing w:line="131" w:lineRule="exact"/>
      </w:pPr>
    </w:p>
    <w:tbl>
      <w:tblPr>
        <w:tblStyle w:val="TableNormal0"/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>
        <w:tblPrEx>
          <w:tblW w:w="9072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846" w:type="dxa"/>
          </w:tcPr>
          <w:p>
            <w:pPr>
              <w:spacing w:before="185" w:line="22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7226" w:type="dxa"/>
            <w:gridSpan w:val="4"/>
          </w:tcPr>
          <w:p>
            <w:pPr>
              <w:spacing w:before="185" w:line="220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沟通管理制度（GSGB-ITSS-GTGL）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846" w:type="dxa"/>
          </w:tcPr>
          <w:p>
            <w:pPr>
              <w:spacing w:before="182" w:line="220" w:lineRule="auto"/>
              <w:ind w:left="4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7226" w:type="dxa"/>
            <w:gridSpan w:val="4"/>
          </w:tcPr>
          <w:p>
            <w:pPr>
              <w:spacing w:before="182" w:line="219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甘肃国邦信息科技有限公司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846" w:type="dxa"/>
          </w:tcPr>
          <w:p>
            <w:pPr>
              <w:spacing w:before="183" w:line="219" w:lineRule="auto"/>
              <w:ind w:left="4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413" w:type="dxa"/>
          </w:tcPr>
          <w:p>
            <w:pPr>
              <w:spacing w:before="183" w:line="219" w:lineRule="auto"/>
              <w:ind w:left="22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303" w:type="dxa"/>
          </w:tcPr>
          <w:p>
            <w:pPr>
              <w:spacing w:before="183" w:line="219" w:lineRule="auto"/>
              <w:ind w:left="6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557" w:type="dxa"/>
          </w:tcPr>
          <w:p>
            <w:pPr>
              <w:spacing w:before="184" w:line="220" w:lineRule="auto"/>
              <w:ind w:left="5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作者</w:t>
            </w:r>
          </w:p>
        </w:tc>
        <w:tc>
          <w:tcPr>
            <w:tcW w:w="1953" w:type="dxa"/>
          </w:tcPr>
          <w:p>
            <w:pPr>
              <w:spacing w:before="184" w:line="220" w:lineRule="auto"/>
              <w:ind w:left="7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审核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spacing w:before="162" w:line="239" w:lineRule="auto"/>
              <w:ind w:left="709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>
            <w:pPr>
              <w:spacing w:before="162"/>
              <w:ind w:left="29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3" w:type="dxa"/>
          </w:tcPr>
          <w:p>
            <w:pPr>
              <w:spacing w:before="132" w:line="219" w:lineRule="auto"/>
              <w:ind w:left="73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>
            <w:pPr>
              <w:spacing w:before="132" w:line="220" w:lineRule="auto"/>
              <w:ind w:left="470"/>
              <w:rPr>
                <w:rFonts w:ascii="宋体" w:eastAsia="宋体" w:hAnsi="宋体" w:cs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金文莉</w:t>
            </w:r>
          </w:p>
        </w:tc>
        <w:tc>
          <w:tcPr>
            <w:tcW w:w="1953" w:type="dxa"/>
          </w:tcPr>
          <w:p>
            <w:pPr>
              <w:spacing w:before="133" w:line="220" w:lineRule="auto"/>
              <w:ind w:left="676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黄益溪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1906" w:h="16839"/>
          <w:pgMar w:top="1431" w:right="1127" w:bottom="0" w:left="1696" w:header="0" w:footer="0" w:gutter="0"/>
          <w:cols w:num="1" w:space="720"/>
        </w:sectPr>
      </w:pPr>
    </w:p>
    <w:p>
      <w:pPr>
        <w:pStyle w:val="BodyText"/>
        <w:spacing w:line="268" w:lineRule="auto"/>
      </w:pPr>
    </w:p>
    <w:p>
      <w:pPr>
        <w:pStyle w:val="BodyText"/>
        <w:spacing w:line="269" w:lineRule="auto"/>
      </w:pPr>
    </w:p>
    <w:p>
      <w:pPr>
        <w:pStyle w:val="BodyText"/>
        <w:spacing w:line="269" w:lineRule="auto"/>
      </w:pPr>
    </w:p>
    <w:p>
      <w:pPr>
        <w:pStyle w:val="BodyText"/>
        <w:spacing w:line="269" w:lineRule="auto"/>
      </w:pPr>
    </w:p>
    <w:p>
      <w:pPr>
        <w:pStyle w:val="BodyText"/>
        <w:spacing w:line="269" w:lineRule="auto"/>
      </w:pPr>
    </w:p>
    <w:p>
      <w:pPr>
        <w:pStyle w:val="BodyText"/>
        <w:spacing w:line="269" w:lineRule="auto"/>
      </w:pPr>
    </w:p>
    <w:p>
      <w:pPr>
        <w:pStyle w:val="BodyText"/>
        <w:spacing w:line="269" w:lineRule="auto"/>
      </w:pPr>
    </w:p>
    <w:sdt>
      <w:sdtPr>
        <w:rPr>
          <w:rFonts w:ascii="Microsoft JhengHei" w:eastAsia="Microsoft JhengHei" w:hAnsi="Microsoft JhengHei" w:cs="Microsoft JhengHei" w:hint="eastAsia"/>
          <w:snapToGrid w:val="0"/>
          <w:color w:val="000000"/>
          <w:kern w:val="0"/>
          <w:sz w:val="24"/>
          <w:szCs w:val="24"/>
          <w:lang w:val="en-US" w:eastAsia="en-US" w:bidi="ar-SA"/>
        </w:rPr>
        <w:id w:val="14746519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 w:hint="eastAs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_Toc6586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bCs/>
              <w:spacing w:val="-8"/>
              <w:sz w:val="24"/>
              <w:szCs w:val="24"/>
            </w:rPr>
            <w:t>沟通管理制度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_Toc6586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_Toc3822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pacing w:val="-3"/>
              <w:sz w:val="24"/>
              <w:szCs w:val="24"/>
            </w:rPr>
            <w:t>文档信息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_Toc3822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2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_Toc15161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1. 目的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_Toc15161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_Toc18319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2. 适用范围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_Toc18319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_Toc4122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 引用文件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_Toc4122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_Toc19013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4. 术语与定义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_Toc19013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_Toc2836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5. 角色与职责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_Toc2836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_Toc15017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 内部信息沟通类别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_Toc15017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_Toc22035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6.1. 内部信息沟通类别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_Toc22035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_Toc17608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7. 内部信息沟通管理部门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_Toc17608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_Toc14203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 内部信息沟通工作要求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_Toc14203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_Toc24030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8.1. 文书类信息沟通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_Toc24030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_Toc32375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8.2. 会议沟通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_Toc32375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_Toc29654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8.3. 网络信息沟通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_Toc29654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_Toc5865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8.4. 其它类沟通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_Toc5865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_Toc18958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8.5. 越级沟通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_Toc18958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_Toc10678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8.6. 制度的监督执行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_Toc10678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_Toc29929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9. 对外沟通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_Toc29929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_Toc5244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10. 附则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_Toc5244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spacing w:line="219" w:lineRule="auto"/>
            <w:rPr>
              <w:rFonts w:ascii="Times New Roman" w:eastAsia="Times New Roman" w:hAnsi="Times New Roman" w:cs="Times New Roman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</w:sdtContent>
    </w:sdt>
    <w:p>
      <w:pPr>
        <w:spacing w:line="219" w:lineRule="auto"/>
        <w:rPr>
          <w:rFonts w:ascii="Times New Roman" w:eastAsia="Times New Roman" w:hAnsi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00" w:bottom="0" w:left="1709" w:header="0" w:footer="0" w:gutter="0"/>
          <w:cols w:num="1" w:space="720"/>
        </w:sectPr>
      </w:pPr>
    </w:p>
    <w:p>
      <w:pPr>
        <w:pStyle w:val="1"/>
        <w:bidi w:val="0"/>
      </w:pPr>
      <w:bookmarkStart w:id="3" w:name="_Toc15161"/>
      <w:r>
        <w:t>目的</w:t>
      </w:r>
      <w:bookmarkEnd w:id="3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为提高工作效率，避免出现因内部各环节沟通不及时或不顺畅导致的工作脱节、互相推诿、埋怨现象，增进团结友爱，紧密配合意识</w:t>
      </w:r>
      <w:r>
        <w:rPr>
          <w:rFonts w:ascii="宋体" w:eastAsia="宋体" w:hAnsi="宋体" w:cs="宋体"/>
          <w:spacing w:val="-2"/>
          <w:sz w:val="24"/>
          <w:szCs w:val="24"/>
        </w:rPr>
        <w:t>，特制订本制度。</w:t>
      </w:r>
    </w:p>
    <w:p>
      <w:pPr>
        <w:pStyle w:val="1"/>
        <w:bidi w:val="0"/>
      </w:pPr>
      <w:bookmarkStart w:id="4" w:name="_Toc18319"/>
      <w:r>
        <w:t>适用范围</w:t>
      </w:r>
      <w:bookmarkEnd w:id="4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本制度适用于甘肃国邦信息科技有限公司（以下简称“公司 ”）</w:t>
      </w:r>
    </w:p>
    <w:p>
      <w:pPr>
        <w:pStyle w:val="1"/>
        <w:bidi w:val="0"/>
      </w:pPr>
      <w:bookmarkStart w:id="5" w:name="_Toc4122"/>
      <w:r>
        <w:t>引用文件</w:t>
      </w:r>
      <w:bookmarkEnd w:id="5"/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95"/>
          <w:sz w:val="24"/>
          <w:szCs w:val="24"/>
          <w:lang w:val="en-US" w:eastAsia="zh-CN"/>
        </w:rPr>
        <w:t>T</w:t>
      </w:r>
      <w:r>
        <w:rPr>
          <w:rFonts w:ascii="宋体" w:eastAsia="宋体" w:hAnsi="宋体" w:cs="宋体" w:hint="eastAsia"/>
          <w:spacing w:val="-2"/>
          <w:sz w:val="24"/>
          <w:szCs w:val="24"/>
        </w:rPr>
        <w:t>/CESA 1299—2023</w:t>
      </w:r>
      <w:r>
        <w:rPr>
          <w:rFonts w:ascii="宋体" w:eastAsia="宋体" w:hAnsi="宋体" w:cs="宋体"/>
          <w:spacing w:val="-2"/>
          <w:sz w:val="24"/>
          <w:szCs w:val="24"/>
        </w:rPr>
        <w:t xml:space="preserve"> 《信息技术服务 运行维护服务能力成熟度模型》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 xml:space="preserve">GB/T 28827.1-2022 </w:t>
      </w:r>
      <w:r>
        <w:rPr>
          <w:rFonts w:ascii="宋体" w:eastAsia="宋体" w:hAnsi="宋体" w:cs="宋体"/>
          <w:spacing w:val="-2"/>
          <w:sz w:val="24"/>
          <w:szCs w:val="24"/>
        </w:rPr>
        <w:t>《信息技术服务 运行维护 第</w:t>
      </w:r>
      <w:r>
        <w:rPr>
          <w:rFonts w:ascii="宋体" w:eastAsia="宋体" w:hAnsi="宋体" w:cs="宋体"/>
          <w:spacing w:val="-3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1</w:t>
      </w:r>
      <w:r>
        <w:rPr>
          <w:rFonts w:ascii="宋体" w:eastAsia="宋体" w:hAnsi="宋体" w:cs="宋体"/>
          <w:spacing w:val="-4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部分：通用要求》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GB/T 29264-2012 《信息技术服务 分类与代码》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国家有关法律、法规及行业标准</w:t>
      </w:r>
    </w:p>
    <w:p>
      <w:pPr>
        <w:pStyle w:val="BodyText"/>
        <w:spacing w:line="242" w:lineRule="auto"/>
      </w:pPr>
    </w:p>
    <w:p>
      <w:pPr>
        <w:pStyle w:val="1"/>
        <w:bidi w:val="0"/>
      </w:pPr>
      <w:bookmarkStart w:id="6" w:name="_Toc19013"/>
      <w:r>
        <w:t>术语与定义</w:t>
      </w:r>
      <w:bookmarkEnd w:id="6"/>
    </w:p>
    <w:p>
      <w:pPr>
        <w:spacing w:before="178" w:line="220" w:lineRule="auto"/>
        <w:ind w:left="12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无</w:t>
      </w:r>
    </w:p>
    <w:p>
      <w:pPr>
        <w:pStyle w:val="1"/>
        <w:bidi w:val="0"/>
      </w:pPr>
      <w:bookmarkStart w:id="7" w:name="_Toc2836"/>
      <w:r>
        <w:t>角色与职责</w:t>
      </w:r>
      <w:bookmarkEnd w:id="7"/>
    </w:p>
    <w:p>
      <w:pPr>
        <w:spacing w:line="62" w:lineRule="exact"/>
      </w:pPr>
    </w:p>
    <w:tbl>
      <w:tblPr>
        <w:tblStyle w:val="TableNormal0"/>
        <w:tblW w:w="85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3"/>
        <w:gridCol w:w="3116"/>
        <w:gridCol w:w="3392"/>
      </w:tblGrid>
      <w:tr>
        <w:tblPrEx>
          <w:tblW w:w="852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/>
        </w:trPr>
        <w:tc>
          <w:tcPr>
            <w:tcW w:w="2013" w:type="dxa"/>
            <w:shd w:val="clear" w:color="auto" w:fill="BFBFBF"/>
          </w:tcPr>
          <w:p>
            <w:pPr>
              <w:spacing w:before="130" w:line="219" w:lineRule="auto"/>
              <w:ind w:left="80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角色</w:t>
            </w:r>
          </w:p>
        </w:tc>
        <w:tc>
          <w:tcPr>
            <w:tcW w:w="3116" w:type="dxa"/>
            <w:shd w:val="clear" w:color="auto" w:fill="BFBFBF"/>
          </w:tcPr>
          <w:p>
            <w:pPr>
              <w:spacing w:before="130" w:line="221" w:lineRule="auto"/>
              <w:ind w:left="13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职责</w:t>
            </w:r>
          </w:p>
        </w:tc>
        <w:tc>
          <w:tcPr>
            <w:tcW w:w="3392" w:type="dxa"/>
            <w:shd w:val="clear" w:color="auto" w:fill="BFBFBF"/>
          </w:tcPr>
          <w:p>
            <w:pPr>
              <w:spacing w:before="130" w:line="219" w:lineRule="auto"/>
              <w:ind w:left="14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岗位（要以岗位职责说明书确定）</w:t>
            </w:r>
          </w:p>
        </w:tc>
      </w:tr>
      <w:tr>
        <w:tblPrEx>
          <w:tblW w:w="85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013" w:type="dxa"/>
          </w:tcPr>
          <w:p>
            <w:pPr>
              <w:spacing w:before="127" w:line="220" w:lineRule="auto"/>
              <w:ind w:left="48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程序起草人</w:t>
            </w:r>
          </w:p>
        </w:tc>
        <w:tc>
          <w:tcPr>
            <w:tcW w:w="3116" w:type="dxa"/>
          </w:tcPr>
          <w:p>
            <w:pPr>
              <w:spacing w:before="127" w:line="220" w:lineRule="auto"/>
              <w:ind w:left="519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负责制度的编写及完善</w:t>
            </w:r>
          </w:p>
        </w:tc>
        <w:tc>
          <w:tcPr>
            <w:tcW w:w="3392" w:type="dxa"/>
          </w:tcPr>
          <w:p>
            <w:pPr>
              <w:spacing w:before="127" w:line="220" w:lineRule="auto"/>
              <w:ind w:left="1071"/>
              <w:rPr>
                <w:rFonts w:ascii="宋体" w:eastAsia="宋体" w:hAnsi="宋体" w:cs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质量部</w:t>
            </w: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val="en-US" w:eastAsia="zh-CN"/>
              </w:rPr>
              <w:t>经理</w:t>
            </w:r>
          </w:p>
        </w:tc>
      </w:tr>
      <w:tr>
        <w:tblPrEx>
          <w:tblW w:w="85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013" w:type="dxa"/>
          </w:tcPr>
          <w:p>
            <w:pPr>
              <w:spacing w:before="130" w:line="220" w:lineRule="auto"/>
              <w:ind w:left="48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程序审核人</w:t>
            </w:r>
          </w:p>
        </w:tc>
        <w:tc>
          <w:tcPr>
            <w:tcW w:w="3116" w:type="dxa"/>
          </w:tcPr>
          <w:p>
            <w:pPr>
              <w:spacing w:before="130" w:line="220" w:lineRule="auto"/>
              <w:ind w:left="103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制度的审核</w:t>
            </w:r>
          </w:p>
        </w:tc>
        <w:tc>
          <w:tcPr>
            <w:tcW w:w="3392" w:type="dxa"/>
          </w:tcPr>
          <w:p>
            <w:pPr>
              <w:spacing w:before="129" w:line="220" w:lineRule="auto"/>
              <w:ind w:left="1284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副总经理</w:t>
            </w:r>
          </w:p>
        </w:tc>
      </w:tr>
      <w:tr>
        <w:tblPrEx>
          <w:tblW w:w="85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/>
        </w:trPr>
        <w:tc>
          <w:tcPr>
            <w:tcW w:w="2013" w:type="dxa"/>
          </w:tcPr>
          <w:p>
            <w:pPr>
              <w:spacing w:before="132" w:line="220" w:lineRule="auto"/>
              <w:ind w:left="704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审批人</w:t>
            </w:r>
          </w:p>
        </w:tc>
        <w:tc>
          <w:tcPr>
            <w:tcW w:w="3116" w:type="dxa"/>
          </w:tcPr>
          <w:p>
            <w:pPr>
              <w:spacing w:before="132" w:line="220" w:lineRule="auto"/>
              <w:ind w:left="103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制度的审批</w:t>
            </w:r>
          </w:p>
        </w:tc>
        <w:tc>
          <w:tcPr>
            <w:tcW w:w="3392" w:type="dxa"/>
          </w:tcPr>
          <w:p>
            <w:pPr>
              <w:spacing w:before="132" w:line="229" w:lineRule="auto"/>
              <w:ind w:left="139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总经理</w:t>
            </w:r>
          </w:p>
        </w:tc>
      </w:tr>
    </w:tbl>
    <w:p>
      <w:pPr>
        <w:pStyle w:val="BodyText"/>
      </w:pPr>
    </w:p>
    <w:p>
      <w:pPr>
        <w:pStyle w:val="BodyText"/>
        <w:spacing w:line="241" w:lineRule="auto"/>
      </w:pPr>
    </w:p>
    <w:p>
      <w:pPr>
        <w:pStyle w:val="1"/>
        <w:bidi w:val="0"/>
      </w:pPr>
      <w:bookmarkStart w:id="8" w:name="_Toc15017"/>
      <w:r>
        <w:t>内部信息沟通类别</w:t>
      </w:r>
      <w:bookmarkEnd w:id="8"/>
    </w:p>
    <w:p>
      <w:pPr>
        <w:pStyle w:val="2"/>
        <w:bidi w:val="0"/>
      </w:pPr>
      <w:bookmarkStart w:id="9" w:name="bookmark19"/>
      <w:bookmarkEnd w:id="9"/>
      <w:bookmarkStart w:id="10" w:name="_Toc22035"/>
      <w:r>
        <w:t>内部信息沟通类别</w:t>
      </w:r>
      <w:bookmarkEnd w:id="10"/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正式沟通：文书类信息沟通、会议沟通、网络沟通、其它类沟通等；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非正式沟通：户外拓展运动、节日庆典活动；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文书类信息沟通包括：文件、工作计划与总结、各项工作报表、各项工作记录等各类书面的信息；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会议沟通主要包括：公司级专题工作会议、小组讨论会议、项目例会和茶话会等；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网络沟通主要包括：企业 QQ 群、公司电子邮箱、电话沟通等；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其它类沟通：培训、面谈、调查、意见箱等；</w:t>
      </w:r>
    </w:p>
    <w:p>
      <w:pPr>
        <w:pStyle w:val="1"/>
        <w:bidi w:val="0"/>
      </w:pPr>
      <w:bookmarkStart w:id="11" w:name="_Toc17608"/>
      <w:r>
        <w:t>内部信息沟通管理部门</w:t>
      </w:r>
      <w:bookmarkEnd w:id="11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质量部负责公司内部信息沟通制度的建立和协调管理，各职能部门负责本部门与所属业务对接信息沟通工作。</w:t>
      </w:r>
    </w:p>
    <w:p>
      <w:pPr>
        <w:pStyle w:val="1"/>
        <w:bidi w:val="0"/>
      </w:pPr>
      <w:bookmarkStart w:id="12" w:name="_Toc14203"/>
      <w:r>
        <w:t>内部信息沟通工作要求</w:t>
      </w:r>
      <w:bookmarkEnd w:id="12"/>
    </w:p>
    <w:p>
      <w:pPr>
        <w:pStyle w:val="2"/>
        <w:bidi w:val="0"/>
      </w:pPr>
      <w:bookmarkStart w:id="13" w:name="_Toc24030"/>
      <w:r>
        <w:t>文书类信息沟通</w:t>
      </w:r>
      <w:bookmarkEnd w:id="13"/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文件沟通：对于公司下发的各类文件，各部门认真学习，贯彻文件精神，以确保文件内容沟通、执行到位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工作类报告：类似于报告的沟通方式还有请示、向公司上一级主管提出意见或建议等。需要批复或口头上给予反馈，从而形成上下信息交流上的互动；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简报：各部门、各项目用于汇总专项或综合工作信息而制作的书面材料。由质量部每月制作各项目完成工程量、完成产值等内容。</w:t>
      </w:r>
    </w:p>
    <w:p>
      <w:pPr>
        <w:pStyle w:val="2"/>
        <w:bidi w:val="0"/>
      </w:pPr>
      <w:bookmarkStart w:id="14" w:name="_Toc32375"/>
      <w:r>
        <w:t>会议沟通</w:t>
      </w:r>
      <w:bookmarkEnd w:id="14"/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召开公司级专题工作会议，各部门专题会议、部门例会后，形成会议纪要，由专题工作主办部门起草，经主办部门负责人审核，报主持会议的公司领导签发、传阅。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形成会议纪要，由主办部门起草，经部门（中心）负责人审核签发，主送公司领导传阅。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其它会议需沟通的信息由主办部门主持人向总经理进行口头汇报会。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会议沟通讲究会议效率，开会要有结果，不能议而不决，会后要抓好执行、跟踪、检查、评估、反馈等环节</w:t>
      </w:r>
    </w:p>
    <w:p>
      <w:pPr>
        <w:pStyle w:val="2"/>
        <w:bidi w:val="0"/>
      </w:pPr>
      <w:bookmarkStart w:id="15" w:name="_Toc29654"/>
      <w:r>
        <w:t>网络信息沟通</w:t>
      </w:r>
      <w:bookmarkEnd w:id="15"/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由质量部将公司、总经理、职能部门及各管理中心负责人工作所用的电子邮箱汇总并进行发布。用于管理者与员工之间对工作中提出的意见和建议的沟通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质量管理专员每周五将邮件中需要进行回复的问题进行汇总，分发各职能部门负责人对提出的问题进行解答，由质量部统一进行回复；对于各部门暂时不能准确答复的问题给予说明，并书面报总经理，做详细登记。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对提出的建议、意见进行汇总，书面汇总后报总经理审批。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各部门按照公司信息报送</w:t>
      </w:r>
      <w:r>
        <w:rPr>
          <w:rFonts w:ascii="宋体" w:eastAsia="宋体" w:hAnsi="宋体" w:cs="宋体"/>
          <w:spacing w:val="-2"/>
          <w:sz w:val="24"/>
          <w:szCs w:val="24"/>
        </w:rPr>
        <w:t>制度的要求，积极按时上报信息，网络工程师应及时</w:t>
      </w:r>
      <w:r>
        <w:rPr>
          <w:rFonts w:ascii="宋体" w:eastAsia="宋体" w:hAnsi="宋体" w:cs="宋体"/>
          <w:spacing w:val="-1"/>
          <w:sz w:val="24"/>
          <w:szCs w:val="24"/>
        </w:rPr>
        <w:t>刷新企业最新动态。</w:t>
      </w:r>
    </w:p>
    <w:p>
      <w:pPr>
        <w:pStyle w:val="2"/>
        <w:bidi w:val="0"/>
      </w:pPr>
      <w:bookmarkStart w:id="16" w:name="bookmark1"/>
      <w:bookmarkEnd w:id="16"/>
      <w:bookmarkStart w:id="17" w:name="_Toc5865"/>
      <w:r>
        <w:t>其它类沟通</w:t>
      </w:r>
      <w:bookmarkEnd w:id="17"/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培训：新员工入职培训、领导者及管理者培训、专业培训、通用技能培训等，要多以体验式、课堂式、交流研讨会等形式，注重培训效果的巩固与应用，将相关信息进行记录。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面谈：管理者与员工进行的一对一、一对多、或多对多的面谈沟通，有效征求员工意见，反馈工作信息，激励员工行为。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调查： 在各项与员工相关的管理制度下发之前，要充分沟通，了解员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工对制度的意见或建议；在各项与工作相关的制度和流程下发之前，要和相关岗位的员工充分沟通，听取他们的分析，了解他们的意见和建议，提高制度与流程的准确性与可执行性；公司下发的文件，要通过通知、公告栏等方式及时、准确地向全体员工传达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意见箱：由质量管理专员每周五进行开箱收信，要高度重视，按电子邮件类型进行办理。</w:t>
      </w:r>
    </w:p>
    <w:p>
      <w:pPr>
        <w:pStyle w:val="2"/>
        <w:bidi w:val="0"/>
      </w:pPr>
      <w:bookmarkStart w:id="18" w:name="_Toc18958"/>
      <w:r>
        <w:t>越级沟通</w:t>
      </w:r>
      <w:bookmarkEnd w:id="18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对于正常的工作，各级工作人员要养成一种逐级上报的习惯。</w:t>
      </w:r>
      <w:r>
        <w:rPr>
          <w:rFonts w:ascii="宋体" w:eastAsia="宋体" w:hAnsi="宋体" w:cs="宋体"/>
          <w:spacing w:val="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但当工作中</w:t>
      </w:r>
      <w:r>
        <w:rPr>
          <w:rFonts w:ascii="宋体" w:eastAsia="宋体" w:hAnsi="宋体" w:cs="宋体"/>
          <w:spacing w:val="-5"/>
          <w:sz w:val="24"/>
          <w:szCs w:val="24"/>
        </w:rPr>
        <w:t>出现如下情况时，可以进行越级沟通：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下级对上级汇报的工作内容，提出的意见和建议，多次得不到答复；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下级对上级的管理方式产生意见，需要投诉时；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下级发现上级的违规行为时；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个人对公司的改革、发展有建议或意见时。</w:t>
      </w:r>
    </w:p>
    <w:p>
      <w:pPr>
        <w:pStyle w:val="2"/>
        <w:bidi w:val="0"/>
      </w:pPr>
      <w:bookmarkStart w:id="19" w:name="_Toc10678"/>
      <w:r>
        <w:t>制度的监督执行</w:t>
      </w:r>
      <w:bookmarkEnd w:id="19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质量部负责对信息内部沟通进行检查，各部门需提供相应的书面材料。对因信息不畅，造成工作任务未完成部门及个人将予以通报批评。</w:t>
      </w:r>
    </w:p>
    <w:p>
      <w:pPr>
        <w:pStyle w:val="1"/>
        <w:bidi w:val="0"/>
      </w:pPr>
      <w:bookmarkStart w:id="20" w:name="_Toc29929"/>
      <w:r>
        <w:t>对外沟通</w:t>
      </w:r>
      <w:bookmarkEnd w:id="20"/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本公司的产品信息，以质量目标、口头、书面或广告等方式让客户了解。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部主动掌握客户的需求或客户需求服务时，由承办人员填写内部联络单，反映给部门主管签核，以确定客户服务的需求。业务人员针对内部联络单之需求，适时处理客户需求，并将相关部门所回复的处理结果填入内部联络单呈部门主管核阅，将处理结果以电话、传真或邮寄方式回复客户确认是否满足其客户需求。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由公司授权运维部负责与客户签订合同或合同变更，处理方式依顾客要求评审控制程序规定办理。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客户以书面或口头等方式，向运维部提出抱怨时，必须将抱怨事实依据客户信息反馈管理制度规定办理。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运维部应定期调查客户对本公司产品/服务的状况，以了解客户的满意度或意见，参照客户满意监视和测量控制程序执行。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客户抱怨的信息亦应适时宣导使员工知悉，以作为鼓励或激励的依据</w:t>
      </w:r>
    </w:p>
    <w:p>
      <w:pPr>
        <w:pStyle w:val="1"/>
        <w:bidi w:val="0"/>
      </w:pPr>
      <w:bookmarkStart w:id="21" w:name="_Toc5244"/>
      <w:r>
        <w:t>附则</w:t>
      </w:r>
      <w:bookmarkEnd w:id="21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hanging="420" w:hanging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1. 公司内部沟通管理工作由公司的质量部实施管理。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hanging="420" w:hanging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2. 本制度未尽事宜按国家法律、法规、规范性文件和本公司章程规定执行。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hanging="420" w:hanging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3. 本制度与国法律、法规、规范性文件和本公司章程规定不一致的，以有关国家法律、法规、规范性文件和本公司章程规定为准。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hanging="420" w:hanging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4. 本制度由公司质量部拟定, 自公司总经理批准颁布之日起施行。</w:t>
      </w:r>
    </w:p>
    <w:sectPr>
      <w:footerReference w:type="default" r:id="rId4"/>
      <w:pgSz w:w="11906" w:h="16839"/>
      <w:pgMar w:top="1431" w:right="1620" w:bottom="1374" w:left="1785" w:header="0" w:footer="1211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6" w:lineRule="auto"/>
      <w:ind w:left="412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468389D"/>
    <w:multiLevelType w:val="singleLevel"/>
    <w:tmpl w:val="8468389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CCAD90CA"/>
    <w:multiLevelType w:val="singleLevel"/>
    <w:tmpl w:val="CCAD90C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D38ED05B"/>
    <w:multiLevelType w:val="singleLevel"/>
    <w:tmpl w:val="D38ED05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EB4125EB"/>
    <w:multiLevelType w:val="singleLevel"/>
    <w:tmpl w:val="EB4125E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3B88221"/>
    <w:multiLevelType w:val="singleLevel"/>
    <w:tmpl w:val="F3B8822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0914153D"/>
    <w:multiLevelType w:val="singleLevel"/>
    <w:tmpl w:val="0914153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1F3FF005"/>
    <w:multiLevelType w:val="singleLevel"/>
    <w:tmpl w:val="1F3FF00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5D8DDEAA"/>
    <w:multiLevelType w:val="singleLevel"/>
    <w:tmpl w:val="5D8DDE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8"/>
  </w:num>
  <w:num w:numId="6">
    <w:abstractNumId w:val="7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Pages>7</Pages>
  <Words>2386</Words>
  <Characters>2486</Characters>
  <Application>Microsoft Office Word</Application>
  <DocSecurity>0</DocSecurity>
  <Lines>0</Lines>
  <Paragraphs>0</Paragraphs>
  <ScaleCrop>false</ScaleCrop>
  <Company/>
  <LinksUpToDate>false</LinksUpToDate>
  <CharactersWithSpaces>2586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郝宇</cp:lastModifiedBy>
  <cp:revision>0</cp:revision>
  <dcterms:created xsi:type="dcterms:W3CDTF">2025-08-18T17:59:00Z</dcterms:created>
  <dcterms:modified xsi:type="dcterms:W3CDTF">2025-12-21T05:34:27Z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2025-08-20T23:59:32Z</vt:filetime>
  </property>
  <property fmtid="{D5CDD505-2E9C-101B-9397-08002B2CF9AE}" pid="3" name="CRO">
    <vt:lpwstr>wqlLaW5nc29mdCBQREYgdG8gV1BTIDExNQ</vt:lpwstr>
  </property>
  <property fmtid="{D5CDD505-2E9C-101B-9397-08002B2CF9AE}" pid="4" name="ICV">
    <vt:lpwstr>E8CF62B20D64493791925A727BD83F6C_12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