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pStyle w:val="a1"/>
        <w:bidi w:val="0"/>
      </w:pPr>
      <w:bookmarkStart w:id="0" w:name="_Toc2892"/>
      <w:r>
        <w:t>项目验收管理制度</w:t>
      </w:r>
      <w:bookmarkEnd w:id="0"/>
    </w:p>
    <w:p>
      <w:pPr>
        <w:pStyle w:val="a2"/>
        <w:bidi w:val="0"/>
      </w:pPr>
      <w:r>
        <w:t>甘肃国邦信息科技有限公司</w:t>
      </w:r>
    </w:p>
    <w:p>
      <w:pPr>
        <w:spacing w:before="227" w:line="225" w:lineRule="auto"/>
        <w:ind w:left="2898"/>
        <w:rPr>
          <w:rFonts w:ascii="宋体" w:eastAsia="宋体" w:hAnsi="宋体" w:cs="宋体"/>
          <w:sz w:val="35"/>
          <w:szCs w:val="35"/>
        </w:rPr>
      </w:pPr>
      <w:r>
        <w:rPr>
          <w:rFonts w:ascii="宋体" w:eastAsia="宋体" w:hAnsi="宋体" w:cs="宋体"/>
          <w:spacing w:val="-2"/>
          <w:sz w:val="35"/>
          <w:szCs w:val="35"/>
        </w:rPr>
        <w:t>2025年</w:t>
      </w:r>
      <w:bookmarkStart w:id="1" w:name="_GoBack"/>
      <w:bookmarkEnd w:id="1"/>
      <w:r>
        <w:rPr>
          <w:rFonts w:ascii="宋体" w:eastAsia="宋体" w:hAnsi="宋体" w:cs="宋体"/>
          <w:spacing w:val="-2"/>
          <w:sz w:val="35"/>
          <w:szCs w:val="35"/>
        </w:rPr>
        <w:t>1月4日</w:t>
      </w:r>
    </w:p>
    <w:p>
      <w:pPr>
        <w:spacing w:line="225" w:lineRule="auto"/>
        <w:rPr>
          <w:rFonts w:ascii="宋体" w:eastAsia="宋体" w:hAnsi="宋体" w:cs="宋体"/>
          <w:sz w:val="35"/>
          <w:szCs w:val="35"/>
        </w:rPr>
        <w:sectPr>
          <w:pgSz w:w="11906" w:h="16840"/>
          <w:pgMar w:top="1431" w:right="1785" w:bottom="0" w:left="1785" w:header="0" w:footer="0" w:gutter="0"/>
          <w:cols w:num="1" w:space="720"/>
        </w:sectPr>
      </w:pPr>
    </w:p>
    <w:p>
      <w:pPr>
        <w:spacing w:before="56" w:line="220" w:lineRule="auto"/>
        <w:ind w:left="3839"/>
        <w:outlineLvl w:val="0"/>
        <w:rPr>
          <w:rFonts w:ascii="宋体" w:eastAsia="宋体" w:hAnsi="宋体" w:cs="宋体"/>
          <w:sz w:val="28"/>
          <w:szCs w:val="28"/>
        </w:rPr>
      </w:pPr>
      <w:bookmarkStart w:id="2" w:name="_Toc18228"/>
      <w:r>
        <w:rPr>
          <w:rFonts w:ascii="宋体" w:eastAsia="宋体" w:hAnsi="宋体" w:cs="宋体"/>
          <w:spacing w:val="-7"/>
          <w:sz w:val="28"/>
          <w:szCs w:val="28"/>
        </w:rPr>
        <w:t>文档信息</w:t>
      </w:r>
      <w:bookmarkEnd w:id="2"/>
    </w:p>
    <w:p>
      <w:pPr>
        <w:spacing w:line="99" w:lineRule="exact"/>
      </w:pPr>
    </w:p>
    <w:tbl>
      <w:tblPr>
        <w:tblStyle w:val="TableNormal0"/>
        <w:tblW w:w="9149" w:type="dxa"/>
        <w:tblInd w:w="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67"/>
        <w:gridCol w:w="1695"/>
        <w:gridCol w:w="2339"/>
        <w:gridCol w:w="1981"/>
        <w:gridCol w:w="1567"/>
      </w:tblGrid>
      <w:tr>
        <w:tblPrEx>
          <w:tblW w:w="9149" w:type="dxa"/>
          <w:tblInd w:w="2" w:type="dxa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0"/>
        </w:trPr>
        <w:tc>
          <w:tcPr>
            <w:tcW w:w="1567" w:type="dxa"/>
          </w:tcPr>
          <w:p>
            <w:pPr>
              <w:spacing w:before="215" w:line="228" w:lineRule="auto"/>
              <w:ind w:left="125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4"/>
                <w:sz w:val="20"/>
                <w:szCs w:val="20"/>
              </w:rPr>
              <w:t>文档名称编号</w:t>
            </w:r>
          </w:p>
        </w:tc>
        <w:tc>
          <w:tcPr>
            <w:tcW w:w="7582" w:type="dxa"/>
            <w:gridSpan w:val="4"/>
          </w:tcPr>
          <w:p>
            <w:pPr>
              <w:spacing w:before="215" w:line="228" w:lineRule="auto"/>
              <w:ind w:left="166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pacing w:val="5"/>
                <w:sz w:val="20"/>
                <w:szCs w:val="20"/>
                <w:lang w:val="en-US" w:eastAsia="zh-CN"/>
              </w:rPr>
              <w:t>项目验收</w:t>
            </w:r>
            <w:r>
              <w:rPr>
                <w:rFonts w:ascii="宋体" w:eastAsia="宋体" w:hAnsi="宋体" w:cs="宋体"/>
                <w:spacing w:val="5"/>
                <w:sz w:val="20"/>
                <w:szCs w:val="20"/>
              </w:rPr>
              <w:t>管理制度（</w:t>
            </w:r>
            <w:r>
              <w:rPr>
                <w:rFonts w:ascii="宋体" w:eastAsia="宋体" w:hAnsi="宋体" w:cs="宋体"/>
                <w:sz w:val="20"/>
                <w:szCs w:val="20"/>
              </w:rPr>
              <w:t>GSGB</w:t>
            </w:r>
            <w:r>
              <w:rPr>
                <w:rFonts w:ascii="宋体" w:eastAsia="宋体" w:hAnsi="宋体" w:cs="宋体"/>
                <w:spacing w:val="5"/>
                <w:sz w:val="20"/>
                <w:szCs w:val="20"/>
              </w:rPr>
              <w:t>-</w:t>
            </w:r>
            <w:r>
              <w:rPr>
                <w:rFonts w:ascii="宋体" w:eastAsia="宋体" w:hAnsi="宋体" w:cs="宋体"/>
                <w:sz w:val="20"/>
                <w:szCs w:val="20"/>
              </w:rPr>
              <w:t>ITSS</w:t>
            </w:r>
            <w:r>
              <w:rPr>
                <w:rFonts w:ascii="宋体" w:eastAsia="宋体" w:hAnsi="宋体" w:cs="宋体"/>
                <w:spacing w:val="5"/>
                <w:sz w:val="20"/>
                <w:szCs w:val="20"/>
              </w:rPr>
              <w:t>-</w:t>
            </w:r>
            <w:r>
              <w:rPr>
                <w:rFonts w:ascii="宋体" w:eastAsia="宋体" w:hAnsi="宋体" w:cs="宋体"/>
                <w:sz w:val="20"/>
                <w:szCs w:val="20"/>
              </w:rPr>
              <w:t>XMYSGL</w:t>
            </w:r>
            <w:r>
              <w:rPr>
                <w:rFonts w:ascii="宋体" w:eastAsia="宋体" w:hAnsi="宋体" w:cs="宋体"/>
                <w:spacing w:val="5"/>
                <w:sz w:val="20"/>
                <w:szCs w:val="20"/>
              </w:rPr>
              <w:t>）</w:t>
            </w:r>
          </w:p>
        </w:tc>
      </w:tr>
      <w:tr>
        <w:tblPrEx>
          <w:tblW w:w="9149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1"/>
        </w:trPr>
        <w:tc>
          <w:tcPr>
            <w:tcW w:w="1567" w:type="dxa"/>
          </w:tcPr>
          <w:p>
            <w:pPr>
              <w:spacing w:before="209" w:line="228" w:lineRule="auto"/>
              <w:ind w:left="125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3"/>
                <w:sz w:val="20"/>
                <w:szCs w:val="20"/>
              </w:rPr>
              <w:t>编制单位</w:t>
            </w:r>
          </w:p>
        </w:tc>
        <w:tc>
          <w:tcPr>
            <w:tcW w:w="7582" w:type="dxa"/>
            <w:gridSpan w:val="4"/>
          </w:tcPr>
          <w:p>
            <w:pPr>
              <w:spacing w:before="210" w:line="227" w:lineRule="auto"/>
              <w:ind w:left="117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甘肃国邦信息科技有限公司</w:t>
            </w:r>
          </w:p>
        </w:tc>
      </w:tr>
      <w:tr>
        <w:tblPrEx>
          <w:tblW w:w="9149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1"/>
        </w:trPr>
        <w:tc>
          <w:tcPr>
            <w:tcW w:w="1567" w:type="dxa"/>
          </w:tcPr>
          <w:p>
            <w:pPr>
              <w:spacing w:before="210" w:line="228" w:lineRule="auto"/>
              <w:ind w:left="125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3"/>
                <w:sz w:val="20"/>
                <w:szCs w:val="20"/>
              </w:rPr>
              <w:t>文档密级</w:t>
            </w:r>
          </w:p>
        </w:tc>
        <w:tc>
          <w:tcPr>
            <w:tcW w:w="7582" w:type="dxa"/>
            <w:gridSpan w:val="4"/>
          </w:tcPr>
          <w:p>
            <w:pPr>
              <w:spacing w:before="210" w:line="228" w:lineRule="auto"/>
              <w:ind w:left="113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4"/>
                <w:sz w:val="20"/>
                <w:szCs w:val="20"/>
              </w:rPr>
              <w:t>秘密</w:t>
            </w:r>
          </w:p>
        </w:tc>
      </w:tr>
      <w:tr>
        <w:tblPrEx>
          <w:tblW w:w="9149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1"/>
        </w:trPr>
        <w:tc>
          <w:tcPr>
            <w:tcW w:w="1567" w:type="dxa"/>
          </w:tcPr>
          <w:p>
            <w:pPr>
              <w:spacing w:before="214" w:line="227" w:lineRule="auto"/>
              <w:ind w:left="377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3"/>
                <w:sz w:val="20"/>
                <w:szCs w:val="20"/>
              </w:rPr>
              <w:t>文档版本</w:t>
            </w:r>
          </w:p>
        </w:tc>
        <w:tc>
          <w:tcPr>
            <w:tcW w:w="1695" w:type="dxa"/>
          </w:tcPr>
          <w:p>
            <w:pPr>
              <w:spacing w:before="214" w:line="227" w:lineRule="auto"/>
              <w:ind w:left="439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4"/>
                <w:sz w:val="20"/>
                <w:szCs w:val="20"/>
              </w:rPr>
              <w:t>版本日期</w:t>
            </w:r>
          </w:p>
        </w:tc>
        <w:tc>
          <w:tcPr>
            <w:tcW w:w="2339" w:type="dxa"/>
          </w:tcPr>
          <w:p>
            <w:pPr>
              <w:spacing w:before="214" w:line="227" w:lineRule="auto"/>
              <w:ind w:left="765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4"/>
                <w:sz w:val="20"/>
                <w:szCs w:val="20"/>
              </w:rPr>
              <w:t>版本说明</w:t>
            </w:r>
          </w:p>
        </w:tc>
        <w:tc>
          <w:tcPr>
            <w:tcW w:w="1981" w:type="dxa"/>
          </w:tcPr>
          <w:p>
            <w:pPr>
              <w:spacing w:before="214" w:line="228" w:lineRule="auto"/>
              <w:ind w:left="799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2"/>
                <w:sz w:val="20"/>
                <w:szCs w:val="20"/>
              </w:rPr>
              <w:t>作者</w:t>
            </w:r>
          </w:p>
        </w:tc>
        <w:tc>
          <w:tcPr>
            <w:tcW w:w="1567" w:type="dxa"/>
          </w:tcPr>
          <w:p>
            <w:pPr>
              <w:spacing w:before="214" w:line="228" w:lineRule="auto"/>
              <w:ind w:left="609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-5"/>
                <w:sz w:val="20"/>
                <w:szCs w:val="20"/>
              </w:rPr>
              <w:t>审核</w:t>
            </w:r>
          </w:p>
        </w:tc>
      </w:tr>
      <w:tr>
        <w:tblPrEx>
          <w:tblW w:w="9149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9"/>
        </w:trPr>
        <w:tc>
          <w:tcPr>
            <w:tcW w:w="1567" w:type="dxa"/>
          </w:tcPr>
          <w:p>
            <w:pPr>
              <w:spacing w:before="195" w:line="268" w:lineRule="exact"/>
              <w:ind w:left="575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3"/>
                <w:position w:val="1"/>
                <w:sz w:val="20"/>
                <w:szCs w:val="20"/>
              </w:rPr>
              <w:t>V1.0</w:t>
            </w:r>
          </w:p>
        </w:tc>
        <w:tc>
          <w:tcPr>
            <w:tcW w:w="1695" w:type="dxa"/>
          </w:tcPr>
          <w:p>
            <w:pPr>
              <w:spacing w:before="198" w:line="268" w:lineRule="exact"/>
              <w:ind w:left="441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2"/>
                <w:position w:val="1"/>
                <w:sz w:val="20"/>
                <w:szCs w:val="20"/>
              </w:rPr>
              <w:t>2025-1-4</w:t>
            </w:r>
          </w:p>
        </w:tc>
        <w:tc>
          <w:tcPr>
            <w:tcW w:w="2339" w:type="dxa"/>
          </w:tcPr>
          <w:p>
            <w:pPr>
              <w:spacing w:before="147" w:line="227" w:lineRule="auto"/>
              <w:ind w:left="770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2"/>
                <w:sz w:val="20"/>
                <w:szCs w:val="20"/>
              </w:rPr>
              <w:t>发布版本</w:t>
            </w:r>
          </w:p>
        </w:tc>
        <w:tc>
          <w:tcPr>
            <w:tcW w:w="1981" w:type="dxa"/>
          </w:tcPr>
          <w:p>
            <w:pPr>
              <w:spacing w:before="149" w:line="228" w:lineRule="auto"/>
              <w:ind w:left="695"/>
              <w:rPr>
                <w:rFonts w:ascii="宋体" w:eastAsia="宋体" w:hAnsi="宋体" w:cs="宋体" w:hint="eastAsia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  <w:lang w:val="en-US" w:eastAsia="zh-CN"/>
              </w:rPr>
              <w:t>金文莉</w:t>
            </w:r>
          </w:p>
        </w:tc>
        <w:tc>
          <w:tcPr>
            <w:tcW w:w="1567" w:type="dxa"/>
          </w:tcPr>
          <w:p>
            <w:pPr>
              <w:spacing w:before="150" w:line="228" w:lineRule="auto"/>
              <w:ind w:left="504"/>
              <w:rPr>
                <w:rFonts w:ascii="宋体" w:eastAsia="宋体" w:hAnsi="宋体" w:cs="宋体" w:hint="eastAsia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  <w:lang w:val="en-US" w:eastAsia="zh-CN"/>
              </w:rPr>
              <w:t>黄益溪</w:t>
            </w:r>
          </w:p>
        </w:tc>
      </w:tr>
      <w:tr>
        <w:tblPrEx>
          <w:tblW w:w="9149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9"/>
        </w:trPr>
        <w:tc>
          <w:tcPr>
            <w:tcW w:w="1567" w:type="dxa"/>
          </w:tcPr>
          <w:p>
            <w:pPr>
              <w:pStyle w:val="TableText"/>
            </w:pPr>
          </w:p>
        </w:tc>
        <w:tc>
          <w:tcPr>
            <w:tcW w:w="1695" w:type="dxa"/>
          </w:tcPr>
          <w:p>
            <w:pPr>
              <w:pStyle w:val="TableText"/>
            </w:pPr>
          </w:p>
        </w:tc>
        <w:tc>
          <w:tcPr>
            <w:tcW w:w="2339" w:type="dxa"/>
          </w:tcPr>
          <w:p>
            <w:pPr>
              <w:pStyle w:val="TableText"/>
            </w:pPr>
          </w:p>
        </w:tc>
        <w:tc>
          <w:tcPr>
            <w:tcW w:w="1981" w:type="dxa"/>
          </w:tcPr>
          <w:p>
            <w:pPr>
              <w:pStyle w:val="TableText"/>
            </w:pPr>
          </w:p>
        </w:tc>
        <w:tc>
          <w:tcPr>
            <w:tcW w:w="1567" w:type="dxa"/>
          </w:tcPr>
          <w:p>
            <w:pPr>
              <w:pStyle w:val="TableText"/>
            </w:pPr>
          </w:p>
        </w:tc>
      </w:tr>
      <w:tr>
        <w:tblPrEx>
          <w:tblW w:w="9149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9"/>
        </w:trPr>
        <w:tc>
          <w:tcPr>
            <w:tcW w:w="1567" w:type="dxa"/>
          </w:tcPr>
          <w:p>
            <w:pPr>
              <w:pStyle w:val="TableText"/>
            </w:pPr>
          </w:p>
        </w:tc>
        <w:tc>
          <w:tcPr>
            <w:tcW w:w="1695" w:type="dxa"/>
          </w:tcPr>
          <w:p>
            <w:pPr>
              <w:pStyle w:val="TableText"/>
            </w:pPr>
          </w:p>
        </w:tc>
        <w:tc>
          <w:tcPr>
            <w:tcW w:w="2339" w:type="dxa"/>
          </w:tcPr>
          <w:p>
            <w:pPr>
              <w:pStyle w:val="TableText"/>
            </w:pPr>
          </w:p>
        </w:tc>
        <w:tc>
          <w:tcPr>
            <w:tcW w:w="1981" w:type="dxa"/>
          </w:tcPr>
          <w:p>
            <w:pPr>
              <w:pStyle w:val="TableText"/>
            </w:pPr>
          </w:p>
        </w:tc>
        <w:tc>
          <w:tcPr>
            <w:tcW w:w="1567" w:type="dxa"/>
          </w:tcPr>
          <w:p>
            <w:pPr>
              <w:pStyle w:val="TableText"/>
            </w:pPr>
          </w:p>
        </w:tc>
      </w:tr>
      <w:tr>
        <w:tblPrEx>
          <w:tblW w:w="9149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9"/>
        </w:trPr>
        <w:tc>
          <w:tcPr>
            <w:tcW w:w="1567" w:type="dxa"/>
          </w:tcPr>
          <w:p>
            <w:pPr>
              <w:pStyle w:val="TableText"/>
            </w:pPr>
          </w:p>
        </w:tc>
        <w:tc>
          <w:tcPr>
            <w:tcW w:w="1695" w:type="dxa"/>
          </w:tcPr>
          <w:p>
            <w:pPr>
              <w:pStyle w:val="TableText"/>
            </w:pPr>
          </w:p>
        </w:tc>
        <w:tc>
          <w:tcPr>
            <w:tcW w:w="2339" w:type="dxa"/>
          </w:tcPr>
          <w:p>
            <w:pPr>
              <w:pStyle w:val="TableText"/>
            </w:pPr>
          </w:p>
        </w:tc>
        <w:tc>
          <w:tcPr>
            <w:tcW w:w="1981" w:type="dxa"/>
          </w:tcPr>
          <w:p>
            <w:pPr>
              <w:pStyle w:val="TableText"/>
            </w:pPr>
          </w:p>
        </w:tc>
        <w:tc>
          <w:tcPr>
            <w:tcW w:w="1567" w:type="dxa"/>
          </w:tcPr>
          <w:p>
            <w:pPr>
              <w:pStyle w:val="TableText"/>
            </w:pPr>
          </w:p>
        </w:tc>
      </w:tr>
      <w:tr>
        <w:tblPrEx>
          <w:tblW w:w="9149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2"/>
        </w:trPr>
        <w:tc>
          <w:tcPr>
            <w:tcW w:w="1567" w:type="dxa"/>
          </w:tcPr>
          <w:p>
            <w:pPr>
              <w:pStyle w:val="TableText"/>
            </w:pPr>
          </w:p>
        </w:tc>
        <w:tc>
          <w:tcPr>
            <w:tcW w:w="1695" w:type="dxa"/>
          </w:tcPr>
          <w:p>
            <w:pPr>
              <w:pStyle w:val="TableText"/>
            </w:pPr>
          </w:p>
        </w:tc>
        <w:tc>
          <w:tcPr>
            <w:tcW w:w="2339" w:type="dxa"/>
          </w:tcPr>
          <w:p>
            <w:pPr>
              <w:pStyle w:val="TableText"/>
            </w:pPr>
          </w:p>
        </w:tc>
        <w:tc>
          <w:tcPr>
            <w:tcW w:w="1981" w:type="dxa"/>
          </w:tcPr>
          <w:p>
            <w:pPr>
              <w:pStyle w:val="TableText"/>
            </w:pPr>
          </w:p>
        </w:tc>
        <w:tc>
          <w:tcPr>
            <w:tcW w:w="1567" w:type="dxa"/>
          </w:tcPr>
          <w:p>
            <w:pPr>
              <w:pStyle w:val="TableText"/>
            </w:pPr>
          </w:p>
        </w:tc>
      </w:tr>
      <w:tr>
        <w:tblPrEx>
          <w:tblW w:w="9149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8"/>
        </w:trPr>
        <w:tc>
          <w:tcPr>
            <w:tcW w:w="1567" w:type="dxa"/>
          </w:tcPr>
          <w:p>
            <w:pPr>
              <w:pStyle w:val="TableText"/>
            </w:pPr>
          </w:p>
        </w:tc>
        <w:tc>
          <w:tcPr>
            <w:tcW w:w="1695" w:type="dxa"/>
          </w:tcPr>
          <w:p>
            <w:pPr>
              <w:pStyle w:val="TableText"/>
            </w:pPr>
          </w:p>
        </w:tc>
        <w:tc>
          <w:tcPr>
            <w:tcW w:w="2339" w:type="dxa"/>
          </w:tcPr>
          <w:p>
            <w:pPr>
              <w:pStyle w:val="TableText"/>
            </w:pPr>
          </w:p>
        </w:tc>
        <w:tc>
          <w:tcPr>
            <w:tcW w:w="1981" w:type="dxa"/>
          </w:tcPr>
          <w:p>
            <w:pPr>
              <w:pStyle w:val="TableText"/>
            </w:pPr>
          </w:p>
        </w:tc>
        <w:tc>
          <w:tcPr>
            <w:tcW w:w="1567" w:type="dxa"/>
          </w:tcPr>
          <w:p>
            <w:pPr>
              <w:pStyle w:val="TableText"/>
            </w:pPr>
          </w:p>
        </w:tc>
      </w:tr>
    </w:tbl>
    <w:p>
      <w:pPr>
        <w:pStyle w:val="BodyText"/>
      </w:pPr>
    </w:p>
    <w:p>
      <w:pPr>
        <w:sectPr>
          <w:pgSz w:w="11907" w:h="16840"/>
          <w:pgMar w:top="1268" w:right="1174" w:bottom="0" w:left="1578" w:header="0" w:footer="0" w:gutter="0"/>
          <w:cols w:num="1" w:space="720"/>
        </w:sectPr>
      </w:pPr>
    </w:p>
    <w:p>
      <w:pPr>
        <w:pStyle w:val="BodyText"/>
        <w:spacing w:line="262" w:lineRule="auto"/>
      </w:pPr>
    </w:p>
    <w:p>
      <w:pPr>
        <w:pStyle w:val="BodyText"/>
        <w:spacing w:line="263" w:lineRule="auto"/>
      </w:pPr>
    </w:p>
    <w:sdt>
      <w:sdtPr>
        <w:rPr>
          <w:rFonts w:ascii="宋体" w:eastAsia="宋体" w:hAnsi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74597"/>
        <w:docPartObj>
          <w:docPartGallery w:val="Table of Contents"/>
          <w:docPartUnique/>
        </w:docPartObj>
      </w:sdtPr>
      <w:sdtEndPr>
        <w:rPr>
          <w:rFonts w:ascii="Calibri" w:eastAsia="Calibri" w:hAnsi="Calibri" w:cs="Calibri"/>
          <w:snapToGrid w:val="0"/>
          <w:color w:val="000000"/>
          <w:kern w:val="0"/>
          <w:sz w:val="21"/>
          <w:szCs w:val="24"/>
          <w:lang w:val="en-US" w:eastAsia="en-US" w:bidi="ar-SA"/>
        </w:rPr>
      </w:sdtEndPr>
      <w:sdtContent>
        <w:p>
          <w:pPr>
            <w:spacing w:before="0" w:beforeLines="0" w:after="0" w:afterLines="0" w:line="240" w:lineRule="auto"/>
            <w:ind w:left="0" w:right="0" w:firstLine="0" w:leftChars="0" w:rightChars="0" w:firstLineChars="0"/>
            <w:jc w:val="center"/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</w:pP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t>目录</w:t>
          </w:r>
        </w:p>
        <w:p>
          <w:pPr>
            <w:pStyle w:val="TOC1"/>
            <w:tabs>
              <w:tab w:val="right" w:leader="dot" w:pos="8296"/>
            </w:tabs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</w:pP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begin"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instrText xml:space="preserve">TOC \o "1-3" \h \u </w:instrText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separate"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begin"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instrText xml:space="preserve"> HYPERLINK \l _Toc2892 </w:instrText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separate"/>
          </w:r>
          <w:r>
            <w:rPr>
              <w:rFonts w:ascii="Microsoft JhengHei" w:eastAsia="Microsoft JhengHei" w:hAnsi="Microsoft JhengHei" w:cs="Microsoft JhengHei" w:hint="eastAsia"/>
              <w:bCs/>
              <w:spacing w:val="-12"/>
              <w:sz w:val="24"/>
              <w:szCs w:val="24"/>
            </w:rPr>
            <w:t>项目验收管理制度</w:t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tab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begin"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instrText xml:space="preserve"> PAGEREF _Toc2892 \h </w:instrText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separate"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t>1</w:t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end"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296"/>
            </w:tabs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</w:pP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begin"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instrText xml:space="preserve"> HYPERLINK \l _Toc18228 </w:instrText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separate"/>
          </w:r>
          <w:r>
            <w:rPr>
              <w:rFonts w:ascii="Microsoft JhengHei" w:eastAsia="Microsoft JhengHei" w:hAnsi="Microsoft JhengHei" w:cs="Microsoft JhengHei" w:hint="eastAsia"/>
              <w:spacing w:val="-7"/>
              <w:sz w:val="24"/>
              <w:szCs w:val="24"/>
            </w:rPr>
            <w:t>文档信息</w:t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tab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begin"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instrText xml:space="preserve"> PAGEREF _Toc18228 \h </w:instrText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separate"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t>2</w:t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end"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296"/>
            </w:tabs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</w:pP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begin"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instrText xml:space="preserve"> HYPERLINK \l _Toc1321 </w:instrText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separate"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t>1. 目的</w:t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tab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begin"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instrText xml:space="preserve"> PAGEREF _Toc1321 \h </w:instrText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separate"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t>4</w:t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end"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296"/>
            </w:tabs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</w:pP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begin"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instrText xml:space="preserve"> HYPERLINK \l _Toc1135 </w:instrText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separate"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t>2. 适用范围</w:t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tab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begin"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instrText xml:space="preserve"> PAGEREF _Toc1135 \h </w:instrText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separate"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t>4</w:t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end"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296"/>
            </w:tabs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</w:pP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begin"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instrText xml:space="preserve"> HYPERLINK \l _Toc28825 </w:instrText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separate"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t>3. 定义</w:t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tab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begin"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instrText xml:space="preserve"> PAGEREF _Toc28825 \h </w:instrText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separate"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t>4</w:t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end"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296"/>
            </w:tabs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</w:pP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begin"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instrText xml:space="preserve"> HYPERLINK \l _Toc28119 </w:instrText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separate"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t>4. 职责和权限</w:t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tab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begin"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instrText xml:space="preserve"> PAGEREF _Toc28119 \h </w:instrText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separate"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t>4</w:t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end"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296"/>
            </w:tabs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</w:pP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begin"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instrText xml:space="preserve"> HYPERLINK \l _Toc29147 </w:instrText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separate"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t>4.1. 运维部</w:t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tab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begin"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instrText xml:space="preserve"> PAGEREF _Toc29147 \h </w:instrText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separate"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t>4</w:t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end"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296"/>
            </w:tabs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</w:pP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begin"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instrText xml:space="preserve"> HYPERLINK \l _Toc28614 </w:instrText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separate"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t>5. 工作描述</w:t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tab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begin"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instrText xml:space="preserve"> PAGEREF _Toc28614 \h </w:instrText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separate"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t>4</w:t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end"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296"/>
            </w:tabs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</w:pP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begin"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instrText xml:space="preserve"> HYPERLINK \l _Toc8334 </w:instrText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separate"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t>5.1. 项目验收自评与总结</w:t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tab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begin"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instrText xml:space="preserve"> PAGEREF _Toc8334 \h </w:instrText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separate"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t>4</w:t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end"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296"/>
            </w:tabs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</w:pP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begin"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instrText xml:space="preserve"> HYPERLINK \l _Toc30025 </w:instrText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separate"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t>5.2. 项目验收申请</w:t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tab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begin"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instrText xml:space="preserve"> PAGEREF _Toc30025 \h </w:instrText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separate"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t>6</w:t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end"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296"/>
            </w:tabs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</w:pP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begin"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instrText xml:space="preserve"> HYPERLINK \l _Toc19922 </w:instrText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separate"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t>5.3. 项目验收考核和移交</w:t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tab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begin"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instrText xml:space="preserve"> PAGEREF _Toc19922 \h </w:instrText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separate"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t>6</w:t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end"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end"/>
          </w:r>
        </w:p>
        <w:p>
          <w:pPr>
            <w:spacing w:line="219" w:lineRule="auto"/>
            <w:rPr>
              <w:rFonts w:ascii="Calibri" w:eastAsia="Calibri" w:hAnsi="Calibri" w:cs="Calibri"/>
              <w:snapToGrid w:val="0"/>
              <w:color w:val="000000"/>
              <w:kern w:val="0"/>
              <w:sz w:val="21"/>
              <w:szCs w:val="24"/>
              <w:lang w:val="en-US" w:eastAsia="en-US" w:bidi="ar-SA"/>
            </w:rPr>
          </w:pP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end"/>
          </w:r>
        </w:p>
      </w:sdtContent>
    </w:sdt>
    <w:p>
      <w:pPr>
        <w:spacing w:line="219" w:lineRule="auto"/>
        <w:rPr>
          <w:rFonts w:ascii="Calibri" w:eastAsia="Calibri" w:hAnsi="Calibri" w:cs="Calibri"/>
          <w:snapToGrid w:val="0"/>
          <w:color w:val="000000"/>
          <w:kern w:val="0"/>
          <w:sz w:val="21"/>
          <w:szCs w:val="24"/>
          <w:lang w:val="en-US" w:eastAsia="en-US" w:bidi="ar-SA"/>
        </w:rPr>
        <w:sectPr>
          <w:pgSz w:w="11850" w:h="16783"/>
          <w:pgMar w:top="1426" w:right="1777" w:bottom="0" w:left="1777" w:header="0" w:footer="0" w:gutter="0"/>
          <w:cols w:num="1" w:space="720"/>
        </w:sectPr>
      </w:pPr>
    </w:p>
    <w:p>
      <w:pPr>
        <w:pStyle w:val="1"/>
        <w:bidi w:val="0"/>
      </w:pPr>
      <w:bookmarkStart w:id="3" w:name="_Toc1321"/>
      <w:r>
        <w:t>目的</w:t>
      </w:r>
      <w:bookmarkEnd w:id="3"/>
    </w:p>
    <w:p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firstLine="420" w:firstLineChars="200"/>
        <w:textAlignment w:val="baseline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2"/>
          <w:sz w:val="24"/>
          <w:szCs w:val="24"/>
        </w:rPr>
        <w:t>明确运维服务项目验收阶段应该遵循的规范。</w:t>
      </w:r>
    </w:p>
    <w:p>
      <w:pPr>
        <w:pStyle w:val="1"/>
        <w:bidi w:val="0"/>
      </w:pPr>
      <w:bookmarkStart w:id="4" w:name="_Toc1135"/>
      <w:r>
        <w:t>适用范围</w:t>
      </w:r>
      <w:bookmarkEnd w:id="4"/>
    </w:p>
    <w:p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firstLine="420" w:firstLineChars="200"/>
        <w:textAlignment w:val="baseline"/>
        <w:rPr>
          <w:rFonts w:ascii="宋体" w:eastAsia="宋体" w:hAnsi="宋体" w:cs="宋体"/>
          <w:spacing w:val="-2"/>
          <w:sz w:val="24"/>
          <w:szCs w:val="24"/>
        </w:rPr>
      </w:pPr>
      <w:r>
        <w:rPr>
          <w:rFonts w:ascii="宋体" w:eastAsia="宋体" w:hAnsi="宋体" w:cs="宋体"/>
          <w:spacing w:val="-2"/>
          <w:sz w:val="24"/>
          <w:szCs w:val="24"/>
        </w:rPr>
        <w:t>本制度公司运维服务项目的验收管理。</w:t>
      </w:r>
    </w:p>
    <w:p>
      <w:pPr>
        <w:pStyle w:val="1"/>
        <w:bidi w:val="0"/>
      </w:pPr>
      <w:bookmarkStart w:id="5" w:name="_Toc28825"/>
      <w:r>
        <w:t>定义</w:t>
      </w:r>
      <w:bookmarkEnd w:id="5"/>
    </w:p>
    <w:p>
      <w:pPr>
        <w:spacing w:before="264" w:line="220" w:lineRule="auto"/>
        <w:ind w:left="123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z w:val="24"/>
          <w:szCs w:val="24"/>
        </w:rPr>
        <w:t>无</w:t>
      </w:r>
    </w:p>
    <w:p>
      <w:pPr>
        <w:pStyle w:val="1"/>
        <w:bidi w:val="0"/>
      </w:pPr>
      <w:bookmarkStart w:id="6" w:name="_Toc28119"/>
      <w:r>
        <w:t>职责和权限</w:t>
      </w:r>
      <w:bookmarkEnd w:id="6"/>
    </w:p>
    <w:p>
      <w:pPr>
        <w:pStyle w:val="2"/>
        <w:bidi w:val="0"/>
      </w:pPr>
      <w:bookmarkStart w:id="7" w:name="_Toc29147"/>
      <w:r>
        <w:t>运维部</w:t>
      </w:r>
      <w:bookmarkEnd w:id="7"/>
    </w:p>
    <w:p>
      <w:pPr>
        <w:numPr>
          <w:ilvl w:val="0"/>
          <w:numId w:val="2"/>
        </w:numPr>
        <w:spacing w:before="253" w:line="219" w:lineRule="auto"/>
        <w:ind w:left="131"/>
        <w:rPr>
          <w:rFonts w:ascii="宋体" w:eastAsia="宋体" w:hAnsi="宋体" w:cs="宋体"/>
          <w:spacing w:val="-2"/>
          <w:sz w:val="24"/>
          <w:szCs w:val="24"/>
        </w:rPr>
      </w:pPr>
      <w:r>
        <w:rPr>
          <w:rFonts w:ascii="宋体" w:eastAsia="宋体" w:hAnsi="宋体" w:cs="宋体"/>
          <w:spacing w:val="-2"/>
          <w:sz w:val="24"/>
          <w:szCs w:val="24"/>
        </w:rPr>
        <w:t>负责运维项目的验收管理工作。</w:t>
      </w:r>
    </w:p>
    <w:p>
      <w:pPr>
        <w:numPr>
          <w:ilvl w:val="0"/>
          <w:numId w:val="2"/>
        </w:numPr>
        <w:spacing w:before="253" w:line="219" w:lineRule="auto"/>
        <w:ind w:left="131"/>
        <w:rPr>
          <w:rFonts w:ascii="宋体" w:eastAsia="宋体" w:hAnsi="宋体" w:cs="宋体"/>
          <w:spacing w:val="-2"/>
          <w:sz w:val="24"/>
          <w:szCs w:val="24"/>
        </w:rPr>
      </w:pPr>
      <w:r>
        <w:rPr>
          <w:rFonts w:ascii="宋体" w:eastAsia="宋体" w:hAnsi="宋体" w:cs="宋体" w:hint="eastAsia"/>
          <w:spacing w:val="-2"/>
          <w:sz w:val="24"/>
          <w:szCs w:val="24"/>
          <w:lang w:val="en-US" w:eastAsia="zh-CN"/>
        </w:rPr>
        <w:t>整理验收资料，分别提供给公司和甲方</w:t>
      </w:r>
    </w:p>
    <w:p>
      <w:pPr>
        <w:numPr>
          <w:ilvl w:val="0"/>
          <w:numId w:val="2"/>
        </w:numPr>
        <w:spacing w:before="253" w:line="219" w:lineRule="auto"/>
        <w:ind w:left="131"/>
        <w:rPr>
          <w:rFonts w:ascii="宋体" w:eastAsia="宋体" w:hAnsi="宋体" w:cs="宋体"/>
          <w:spacing w:val="-2"/>
          <w:sz w:val="24"/>
          <w:szCs w:val="24"/>
        </w:rPr>
      </w:pPr>
      <w:r>
        <w:rPr>
          <w:rFonts w:ascii="宋体" w:eastAsia="宋体" w:hAnsi="宋体" w:cs="宋体" w:hint="eastAsia"/>
          <w:spacing w:val="-2"/>
          <w:sz w:val="24"/>
          <w:szCs w:val="24"/>
          <w:lang w:val="en-US" w:eastAsia="zh-CN"/>
        </w:rPr>
        <w:t>协助甲方填写验收报告，办理相关验收手续</w:t>
      </w:r>
    </w:p>
    <w:p>
      <w:pPr>
        <w:numPr>
          <w:ilvl w:val="0"/>
          <w:numId w:val="2"/>
        </w:numPr>
        <w:spacing w:before="253" w:line="219" w:lineRule="auto"/>
        <w:ind w:left="131"/>
        <w:rPr>
          <w:rFonts w:ascii="宋体" w:eastAsia="宋体" w:hAnsi="宋体" w:cs="宋体"/>
          <w:spacing w:val="-2"/>
          <w:sz w:val="24"/>
          <w:szCs w:val="24"/>
        </w:rPr>
      </w:pPr>
      <w:r>
        <w:rPr>
          <w:rFonts w:ascii="宋体" w:eastAsia="宋体" w:hAnsi="宋体" w:cs="宋体" w:hint="eastAsia"/>
          <w:spacing w:val="-2"/>
          <w:sz w:val="24"/>
          <w:szCs w:val="24"/>
          <w:lang w:val="en-US" w:eastAsia="zh-CN"/>
        </w:rPr>
        <w:t>协助跟进、改进验收过程中出现的问题</w:t>
      </w:r>
    </w:p>
    <w:p>
      <w:pPr>
        <w:numPr>
          <w:ilvl w:val="0"/>
          <w:numId w:val="2"/>
        </w:numPr>
        <w:spacing w:before="253" w:line="219" w:lineRule="auto"/>
        <w:ind w:left="131"/>
        <w:rPr>
          <w:rFonts w:ascii="宋体" w:eastAsia="宋体" w:hAnsi="宋体" w:cs="宋体"/>
          <w:spacing w:val="-2"/>
          <w:sz w:val="24"/>
          <w:szCs w:val="24"/>
        </w:rPr>
      </w:pPr>
      <w:r>
        <w:rPr>
          <w:rFonts w:ascii="宋体" w:eastAsia="宋体" w:hAnsi="宋体" w:cs="宋体" w:hint="eastAsia"/>
          <w:spacing w:val="-2"/>
          <w:sz w:val="24"/>
          <w:szCs w:val="24"/>
          <w:lang w:val="en-US" w:eastAsia="zh-CN"/>
        </w:rPr>
        <w:t>验收合格后，编写《验收报告》</w:t>
      </w:r>
    </w:p>
    <w:p>
      <w:pPr>
        <w:pStyle w:val="1"/>
        <w:bidi w:val="0"/>
      </w:pPr>
      <w:bookmarkStart w:id="8" w:name="_Toc28614"/>
      <w:r>
        <w:t>工作描述</w:t>
      </w:r>
      <w:bookmarkEnd w:id="8"/>
    </w:p>
    <w:p>
      <w:pPr>
        <w:pStyle w:val="2"/>
        <w:bidi w:val="0"/>
      </w:pPr>
      <w:bookmarkStart w:id="9" w:name="_Toc8334"/>
      <w:r>
        <w:t>项目验收自评与总结</w:t>
      </w:r>
      <w:bookmarkEnd w:id="9"/>
    </w:p>
    <w:p>
      <w:pPr>
        <w:numPr>
          <w:ilvl w:val="0"/>
          <w:numId w:val="3"/>
        </w:numPr>
        <w:spacing w:before="263" w:line="289" w:lineRule="auto"/>
        <w:ind w:left="425" w:right="13" w:hanging="425" w:leftChars="0" w:firstLineChars="0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2"/>
          <w:sz w:val="24"/>
          <w:szCs w:val="24"/>
        </w:rPr>
        <w:t>为了解项目全过程的工作情况、出现的问题、经验教训以及</w:t>
      </w:r>
      <w:r>
        <w:rPr>
          <w:rFonts w:ascii="宋体" w:eastAsia="宋体" w:hAnsi="宋体" w:cs="宋体"/>
          <w:spacing w:val="-3"/>
          <w:sz w:val="24"/>
          <w:szCs w:val="24"/>
        </w:rPr>
        <w:t>自我评价，公司规</w:t>
      </w:r>
      <w:r>
        <w:rPr>
          <w:rFonts w:ascii="宋体" w:eastAsia="宋体" w:hAnsi="宋体" w:cs="宋体"/>
          <w:spacing w:val="-1"/>
          <w:sz w:val="24"/>
          <w:szCs w:val="24"/>
        </w:rPr>
        <w:t>定在项目结束后应进行项目总结，为项目验收和评估做准备。</w:t>
      </w:r>
    </w:p>
    <w:p>
      <w:pPr>
        <w:numPr>
          <w:ilvl w:val="0"/>
          <w:numId w:val="3"/>
        </w:numPr>
        <w:spacing w:before="183" w:line="289" w:lineRule="auto"/>
        <w:ind w:left="425" w:hanging="425" w:leftChars="0" w:firstLineChars="0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2"/>
          <w:sz w:val="24"/>
          <w:szCs w:val="24"/>
        </w:rPr>
        <w:t>5.1.2 收集整理项目的文档和经验教训，运维部经理要对所有文档进行归类和整理，</w:t>
      </w:r>
      <w:r>
        <w:rPr>
          <w:rFonts w:ascii="宋体" w:eastAsia="宋体" w:hAnsi="宋体" w:cs="宋体"/>
          <w:spacing w:val="-1"/>
          <w:sz w:val="24"/>
          <w:szCs w:val="24"/>
        </w:rPr>
        <w:t>并给出具体的文档模版并加以指导和要求。项目验收材料包括不限于：</w:t>
      </w:r>
    </w:p>
    <w:p>
      <w:pPr>
        <w:numPr>
          <w:ilvl w:val="0"/>
          <w:numId w:val="4"/>
        </w:numPr>
        <w:spacing w:before="172" w:line="239" w:lineRule="auto"/>
        <w:ind w:left="425" w:hanging="425" w:leftChars="0" w:firstLineChars="0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1"/>
          <w:sz w:val="24"/>
          <w:szCs w:val="24"/>
        </w:rPr>
        <w:t>项目基础材料：合同、SLA；招标文件、投标文件、监理文件（若有）。</w:t>
      </w:r>
    </w:p>
    <w:p>
      <w:pPr>
        <w:numPr>
          <w:ilvl w:val="0"/>
          <w:numId w:val="4"/>
        </w:numPr>
        <w:spacing w:before="154" w:line="293" w:lineRule="auto"/>
        <w:ind w:left="425" w:right="13" w:hanging="425" w:leftChars="0" w:firstLineChars="0"/>
        <w:rPr>
          <w:rFonts w:ascii="宋体" w:eastAsia="宋体" w:hAnsi="宋体" w:cs="宋体"/>
          <w:sz w:val="24"/>
          <w:szCs w:val="24"/>
        </w:rPr>
      </w:pPr>
      <w:r>
        <w:rPr>
          <w:rFonts w:ascii="Wingdings" w:eastAsia="Wingdings" w:hAnsi="Wingdings" w:cs="Wingdings"/>
          <w:spacing w:val="-107"/>
          <w:sz w:val="24"/>
          <w:szCs w:val="24"/>
        </w:rPr>
        <w:t xml:space="preserve"> </w:t>
      </w:r>
      <w:r>
        <w:rPr>
          <w:rFonts w:ascii="宋体" w:eastAsia="宋体" w:hAnsi="宋体" w:cs="宋体"/>
          <w:spacing w:val="-1"/>
          <w:sz w:val="24"/>
          <w:szCs w:val="24"/>
        </w:rPr>
        <w:t>项目实施材料：项目设计文档（运维服务</w:t>
      </w:r>
      <w:r>
        <w:rPr>
          <w:rFonts w:ascii="宋体" w:eastAsia="宋体" w:hAnsi="宋体" w:cs="宋体"/>
          <w:spacing w:val="-2"/>
          <w:sz w:val="24"/>
          <w:szCs w:val="24"/>
        </w:rPr>
        <w:t>实施方案</w:t>
      </w:r>
      <w:r>
        <w:rPr>
          <w:rFonts w:ascii="宋体" w:eastAsia="宋体" w:hAnsi="宋体" w:cs="宋体"/>
          <w:spacing w:val="5"/>
          <w:sz w:val="24"/>
          <w:szCs w:val="24"/>
        </w:rPr>
        <w:t>）；</w:t>
      </w:r>
      <w:r>
        <w:rPr>
          <w:rFonts w:ascii="宋体" w:eastAsia="宋体" w:hAnsi="宋体" w:cs="宋体"/>
          <w:spacing w:val="-2"/>
          <w:sz w:val="24"/>
          <w:szCs w:val="24"/>
        </w:rPr>
        <w:t>项目实施的服务记录（月/</w:t>
      </w:r>
      <w:r>
        <w:rPr>
          <w:rFonts w:ascii="宋体" w:eastAsia="宋体" w:hAnsi="宋体" w:cs="宋体"/>
          <w:spacing w:val="-1"/>
          <w:sz w:val="24"/>
          <w:szCs w:val="24"/>
        </w:rPr>
        <w:t>季/年度服务报告、质量报告、其他合同要求的交付服务文档等</w:t>
      </w:r>
      <w:r>
        <w:rPr>
          <w:rFonts w:ascii="宋体" w:eastAsia="宋体" w:hAnsi="宋体" w:cs="宋体"/>
          <w:spacing w:val="11"/>
          <w:sz w:val="24"/>
          <w:szCs w:val="24"/>
        </w:rPr>
        <w:t>）；</w:t>
      </w:r>
      <w:r>
        <w:rPr>
          <w:rFonts w:ascii="宋体" w:eastAsia="宋体" w:hAnsi="宋体" w:cs="宋体"/>
          <w:spacing w:val="-1"/>
          <w:sz w:val="24"/>
          <w:szCs w:val="24"/>
        </w:rPr>
        <w:t>用户使用意见。</w:t>
      </w:r>
    </w:p>
    <w:p>
      <w:pPr>
        <w:numPr>
          <w:ilvl w:val="0"/>
          <w:numId w:val="4"/>
        </w:numPr>
        <w:spacing w:before="171" w:line="316" w:lineRule="auto"/>
        <w:ind w:left="425" w:right="13" w:hanging="425" w:leftChars="0" w:firstLineChars="0"/>
        <w:rPr>
          <w:rFonts w:ascii="宋体" w:eastAsia="宋体" w:hAnsi="宋体" w:cs="宋体"/>
          <w:sz w:val="24"/>
          <w:szCs w:val="24"/>
        </w:rPr>
      </w:pPr>
      <w:r>
        <w:rPr>
          <w:rFonts w:ascii="Wingdings" w:eastAsia="Wingdings" w:hAnsi="Wingdings" w:cs="Wingdings"/>
          <w:spacing w:val="-107"/>
          <w:sz w:val="24"/>
          <w:szCs w:val="24"/>
        </w:rPr>
        <w:t xml:space="preserve"> </w:t>
      </w:r>
      <w:r>
        <w:rPr>
          <w:rFonts w:ascii="宋体" w:eastAsia="宋体" w:hAnsi="宋体" w:cs="宋体"/>
          <w:spacing w:val="-1"/>
          <w:sz w:val="24"/>
          <w:szCs w:val="24"/>
        </w:rPr>
        <w:t>项目管理材料：运维服务保障制度或流程；人员管理制度；服务交付规范；工具</w:t>
      </w:r>
      <w:r>
        <w:rPr>
          <w:rFonts w:ascii="宋体" w:eastAsia="宋体" w:hAnsi="宋体" w:cs="宋体"/>
          <w:spacing w:val="-2"/>
          <w:sz w:val="24"/>
          <w:szCs w:val="24"/>
        </w:rPr>
        <w:t>操作手册；绩效考核制度等，管理材料如属于通用稳当，可以对文件目录、编号</w:t>
      </w:r>
      <w:r>
        <w:rPr>
          <w:rFonts w:ascii="宋体" w:eastAsia="宋体" w:hAnsi="宋体" w:cs="宋体"/>
          <w:spacing w:val="-3"/>
          <w:sz w:val="24"/>
          <w:szCs w:val="24"/>
        </w:rPr>
        <w:t>等进行引</w:t>
      </w:r>
      <w:r>
        <w:rPr>
          <w:rFonts w:ascii="宋体" w:eastAsia="宋体" w:hAnsi="宋体" w:cs="宋体"/>
          <w:spacing w:val="-1"/>
          <w:sz w:val="24"/>
          <w:szCs w:val="24"/>
        </w:rPr>
        <w:t>用，无需整个文档单独打印成册。</w:t>
      </w:r>
    </w:p>
    <w:p>
      <w:pPr>
        <w:numPr>
          <w:ilvl w:val="0"/>
          <w:numId w:val="4"/>
        </w:numPr>
        <w:spacing w:before="171" w:line="238" w:lineRule="auto"/>
        <w:ind w:left="425" w:hanging="425" w:leftChars="0" w:firstLineChars="0"/>
        <w:rPr>
          <w:rFonts w:ascii="宋体" w:eastAsia="宋体" w:hAnsi="宋体" w:cs="宋体"/>
          <w:sz w:val="24"/>
          <w:szCs w:val="24"/>
        </w:rPr>
      </w:pPr>
      <w:r>
        <w:rPr>
          <w:rFonts w:ascii="Wingdings" w:eastAsia="Wingdings" w:hAnsi="Wingdings" w:cs="Wingdings"/>
          <w:spacing w:val="-108"/>
          <w:sz w:val="24"/>
          <w:szCs w:val="24"/>
        </w:rPr>
        <w:t xml:space="preserve"> </w:t>
      </w:r>
      <w:r>
        <w:rPr>
          <w:rFonts w:ascii="宋体" w:eastAsia="宋体" w:hAnsi="宋体" w:cs="宋体"/>
          <w:spacing w:val="-1"/>
          <w:sz w:val="24"/>
          <w:szCs w:val="24"/>
        </w:rPr>
        <w:t>项目验收管理：验收申请；验收报告；服务管理与</w:t>
      </w:r>
      <w:r>
        <w:rPr>
          <w:rFonts w:ascii="宋体" w:eastAsia="宋体" w:hAnsi="宋体" w:cs="宋体"/>
          <w:spacing w:val="-2"/>
          <w:sz w:val="24"/>
          <w:szCs w:val="24"/>
        </w:rPr>
        <w:t>总结报告等。</w:t>
      </w:r>
    </w:p>
    <w:p>
      <w:pPr>
        <w:numPr>
          <w:ilvl w:val="0"/>
          <w:numId w:val="3"/>
        </w:numPr>
        <w:spacing w:before="167" w:line="219" w:lineRule="auto"/>
        <w:ind w:left="425" w:hanging="425" w:leftChars="0" w:firstLineChars="0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z w:val="24"/>
          <w:szCs w:val="24"/>
        </w:rPr>
        <w:t>准备项目总结会议的讨论稿，要注意</w:t>
      </w:r>
      <w:r>
        <w:rPr>
          <w:rFonts w:ascii="宋体" w:eastAsia="宋体" w:hAnsi="宋体" w:cs="宋体"/>
          <w:spacing w:val="-1"/>
          <w:sz w:val="24"/>
          <w:szCs w:val="24"/>
        </w:rPr>
        <w:t>列出项目执行过程中的优点和缺点。</w:t>
      </w:r>
    </w:p>
    <w:p>
      <w:pPr>
        <w:numPr>
          <w:ilvl w:val="0"/>
          <w:numId w:val="3"/>
        </w:numPr>
        <w:spacing w:before="48" w:line="360" w:lineRule="auto"/>
        <w:ind w:left="425" w:hanging="425" w:leftChars="0" w:firstLineChars="0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2"/>
          <w:sz w:val="24"/>
          <w:szCs w:val="24"/>
        </w:rPr>
        <w:t>召开项目总结会，研发部通报项目完成情况、计划完成率、遗留问题、</w:t>
      </w:r>
      <w:r>
        <w:rPr>
          <w:rFonts w:ascii="宋体" w:eastAsia="宋体" w:hAnsi="宋体" w:cs="宋体"/>
          <w:spacing w:val="62"/>
          <w:sz w:val="24"/>
          <w:szCs w:val="24"/>
        </w:rPr>
        <w:t xml:space="preserve"> </w:t>
      </w:r>
      <w:r>
        <w:rPr>
          <w:rFonts w:ascii="宋体" w:eastAsia="宋体" w:hAnsi="宋体" w:cs="宋体"/>
          <w:spacing w:val="-2"/>
          <w:sz w:val="24"/>
          <w:szCs w:val="24"/>
        </w:rPr>
        <w:t>自我评价、意见和建议等；总结会对项目质量目标完成情况进行检查，查看客户满意</w:t>
      </w:r>
      <w:r>
        <w:rPr>
          <w:rFonts w:ascii="宋体" w:eastAsia="宋体" w:hAnsi="宋体" w:cs="宋体"/>
          <w:spacing w:val="-3"/>
          <w:sz w:val="24"/>
          <w:szCs w:val="24"/>
        </w:rPr>
        <w:t>度、系统</w:t>
      </w:r>
      <w:r>
        <w:rPr>
          <w:rFonts w:ascii="宋体" w:eastAsia="宋体" w:hAnsi="宋体" w:cs="宋体"/>
          <w:spacing w:val="-2"/>
          <w:sz w:val="24"/>
          <w:szCs w:val="24"/>
        </w:rPr>
        <w:t>事故、系统可靠性及安全性等指标是否达到指标要求；并根据验收材料，分析</w:t>
      </w:r>
      <w:r>
        <w:rPr>
          <w:rFonts w:ascii="宋体" w:eastAsia="宋体" w:hAnsi="宋体" w:cs="宋体"/>
          <w:spacing w:val="-3"/>
          <w:sz w:val="24"/>
          <w:szCs w:val="24"/>
        </w:rPr>
        <w:t>总结公司当</w:t>
      </w:r>
      <w:r>
        <w:rPr>
          <w:rFonts w:ascii="宋体" w:eastAsia="宋体" w:hAnsi="宋体" w:cs="宋体"/>
          <w:spacing w:val="-2"/>
          <w:sz w:val="24"/>
          <w:szCs w:val="24"/>
        </w:rPr>
        <w:t>前运维服务水平。</w:t>
      </w:r>
    </w:p>
    <w:p>
      <w:pPr>
        <w:pStyle w:val="2"/>
        <w:bidi w:val="0"/>
      </w:pPr>
      <w:bookmarkStart w:id="10" w:name="bookmark3"/>
      <w:bookmarkEnd w:id="10"/>
      <w:bookmarkStart w:id="11" w:name="_Toc30025"/>
      <w:r>
        <w:t>项目验收申请</w:t>
      </w:r>
      <w:bookmarkEnd w:id="11"/>
    </w:p>
    <w:p>
      <w:pPr>
        <w:spacing w:before="264" w:line="360" w:lineRule="auto"/>
        <w:ind w:firstLine="485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z w:val="24"/>
          <w:szCs w:val="24"/>
        </w:rPr>
        <w:t>项目验收包含验收项目文档以及与客户约定的交</w:t>
      </w:r>
      <w:r>
        <w:rPr>
          <w:rFonts w:ascii="宋体" w:eastAsia="宋体" w:hAnsi="宋体" w:cs="宋体"/>
          <w:spacing w:val="-1"/>
          <w:sz w:val="24"/>
          <w:szCs w:val="24"/>
        </w:rPr>
        <w:t>付成果，向客户方提出项目验收申</w:t>
      </w:r>
      <w:r>
        <w:rPr>
          <w:rFonts w:ascii="宋体" w:eastAsia="宋体" w:hAnsi="宋体" w:cs="宋体"/>
          <w:spacing w:val="-2"/>
          <w:sz w:val="24"/>
          <w:szCs w:val="24"/>
        </w:rPr>
        <w:t>请。由客户方确认验收时间、地点和相关验收细节后，我方按客户方要求或是由客</w:t>
      </w:r>
      <w:r>
        <w:rPr>
          <w:rFonts w:ascii="宋体" w:eastAsia="宋体" w:hAnsi="宋体" w:cs="宋体"/>
          <w:spacing w:val="-3"/>
          <w:sz w:val="24"/>
          <w:szCs w:val="24"/>
        </w:rPr>
        <w:t>户组织验收。</w:t>
      </w:r>
    </w:p>
    <w:p>
      <w:pPr>
        <w:pStyle w:val="2"/>
        <w:bidi w:val="0"/>
      </w:pPr>
      <w:bookmarkStart w:id="12" w:name="_Toc19922"/>
      <w:r>
        <w:t>项目验收考核和移交</w:t>
      </w:r>
      <w:bookmarkEnd w:id="12"/>
    </w:p>
    <w:p>
      <w:pPr>
        <w:numPr>
          <w:ilvl w:val="0"/>
          <w:numId w:val="5"/>
        </w:numPr>
        <w:spacing w:before="264" w:line="360" w:lineRule="auto"/>
        <w:ind w:left="425" w:hanging="425" w:leftChars="0" w:firstLineChars="0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z w:val="24"/>
          <w:szCs w:val="24"/>
        </w:rPr>
        <w:t>项目组和客户共同完成项目所有交付成果的检验。我方提交项目验收材料，由客户或由客户邀请的专家组（如有）根据验收考核条款，进行项目质询和认可，最终由客户和专家组成员出具验收意见，并签字确认验收。</w:t>
      </w:r>
    </w:p>
    <w:p>
      <w:pPr>
        <w:numPr>
          <w:ilvl w:val="0"/>
          <w:numId w:val="5"/>
        </w:numPr>
        <w:spacing w:before="264" w:line="360" w:lineRule="auto"/>
        <w:ind w:left="425" w:hanging="425" w:leftChars="0" w:firstLineChars="0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z w:val="24"/>
          <w:szCs w:val="24"/>
        </w:rPr>
        <w:t>项目验收后，项目组向客户移交项目所有交付成果。</w:t>
      </w:r>
    </w:p>
    <w:sectPr>
      <w:pgSz w:w="11910" w:h="16840"/>
      <w:pgMar w:top="1148" w:right="1321" w:bottom="0" w:left="1308" w:header="0" w:footer="0" w:gutter="0"/>
      <w:cols w:num="1"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8E964DCE"/>
    <w:multiLevelType w:val="multilevel"/>
    <w:tmpl w:val="8E964DCE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575" w:hanging="575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1151" w:hanging="1151"/>
      </w:pPr>
      <w:rPr>
        <w:rFonts w:hint="default"/>
      </w:rPr>
    </w:lvl>
    <w:lvl w:ilvl="6">
      <w:start w:val="1"/>
      <w:numFmt w:val="decimal"/>
      <w:pStyle w:val="Heading7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A7F43324"/>
    <w:multiLevelType w:val="singleLevel"/>
    <w:tmpl w:val="A7F43324"/>
    <w:lvl w:ilvl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2">
    <w:nsid w:val="D8994108"/>
    <w:multiLevelType w:val="singleLevel"/>
    <w:tmpl w:val="D8994108"/>
    <w:lvl w:ilvl="0">
      <w:start w:val="1"/>
      <w:numFmt w:val="upperLetter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37998265"/>
    <w:multiLevelType w:val="singleLevel"/>
    <w:tmpl w:val="37998265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4">
    <w:nsid w:val="391BE66C"/>
    <w:multiLevelType w:val="singleLevel"/>
    <w:tmpl w:val="391BE66C"/>
    <w:lvl w:ilvl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3"/>
  </w:num>
  <w:num w:numId="3">
    <w:abstractNumId w:val="4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doNotTrackMoves/>
  <w:defaultTabStop w:val="720"/>
  <w:characterSpacingControl w:val="doNotCompress"/>
  <w:compat>
    <w:spaceForUL/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qFormat="1"/>
    <w:lsdException w:name="heading 3" w:uiPriority="0" w:qFormat="1"/>
    <w:lsdException w:name="heading 4" w:semiHidden="0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 w:qFormat="1"/>
    <w:lsdException w:name="toc 2" w:semiHidden="0" w:uiPriority="0" w:unhideWhenUsed="0" w:qFormat="1"/>
    <w:lsdException w:name="toc 3" w:semiHidden="0" w:uiPriority="0" w:unhideWhenUsed="0" w:qFormat="1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 w:qFormat="1"/>
    <w:lsdException w:name="header" w:semiHidden="0" w:uiPriority="0" w:unhideWhenUsed="0" w:qFormat="1"/>
    <w:lsdException w:name="footer" w:semiHidden="0" w:uiPriority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uiPriority="0" w:unhideWhenUsed="0" w:qFormat="1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 w:qFormat="1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 w:qFormat="1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eastAsia="宋体" w:hAnsi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Heading1">
    <w:name w:val="heading 1"/>
    <w:basedOn w:val="Normal"/>
    <w:next w:val="Normal"/>
    <w:qFormat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Heading2">
    <w:name w:val="heading 2"/>
    <w:basedOn w:val="Normal"/>
    <w:next w:val="Normal"/>
    <w:unhideWhenUsed/>
    <w:qFormat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eastAsia="黑体" w:hAnsi="Arial"/>
      <w:b/>
      <w:sz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Heading4">
    <w:name w:val="heading 4"/>
    <w:basedOn w:val="Normal"/>
    <w:next w:val="Normal"/>
    <w:unhideWhenUsed/>
    <w:qFormat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eastAsia="黑体" w:hAnsi="Arial"/>
      <w:b/>
      <w:sz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eastAsia="黑体" w:hAnsi="Arial"/>
      <w:b/>
      <w:sz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eastAsia="黑体" w:hAnsi="Arial"/>
      <w:sz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eastAsia="黑体" w:hAnsi="Arial"/>
      <w:sz w:val="21"/>
    </w:rPr>
  </w:style>
  <w:style w:type="character" w:default="1" w:styleId="DefaultParagraphFont">
    <w:name w:val="Default Paragraph Font"/>
    <w:semiHidden/>
    <w:qFormat/>
  </w:style>
  <w:style w:type="table" w:default="1" w:styleId="TableNormal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Text">
    <w:name w:val="annotation text"/>
    <w:basedOn w:val="Normal"/>
    <w:qFormat/>
    <w:pPr>
      <w:jc w:val="left"/>
    </w:pPr>
  </w:style>
  <w:style w:type="paragraph" w:styleId="BodyText">
    <w:name w:val="Body Text"/>
    <w:basedOn w:val="Normal"/>
    <w:semiHidden/>
    <w:qFormat/>
    <w:rPr>
      <w:rFonts w:ascii="Arial" w:eastAsia="Arial" w:hAnsi="Arial" w:cs="Arial"/>
      <w:sz w:val="21"/>
      <w:szCs w:val="21"/>
      <w:lang w:val="en-US" w:eastAsia="en-US" w:bidi="ar-SA"/>
    </w:rPr>
  </w:style>
  <w:style w:type="paragraph" w:styleId="TOC3">
    <w:name w:val="toc 3"/>
    <w:basedOn w:val="Normal"/>
    <w:next w:val="Normal"/>
    <w:qFormat/>
    <w:pPr>
      <w:ind w:left="840" w:leftChars="400"/>
    </w:p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qFormat/>
    <w:pPr>
      <w:pBdr>
        <w:top w:val="nil"/>
        <w:left w:val="nil"/>
        <w:bottom w:val="nil"/>
        <w:right w:val="nil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TOC1">
    <w:name w:val="toc 1"/>
    <w:basedOn w:val="Normal"/>
    <w:next w:val="Normal"/>
    <w:qFormat/>
    <w:rPr>
      <w:rFonts w:ascii="Arial" w:eastAsia="Microsoft JhengHei" w:hAnsi="Arial"/>
      <w:sz w:val="24"/>
    </w:rPr>
  </w:style>
  <w:style w:type="paragraph" w:styleId="TOC2">
    <w:name w:val="toc 2"/>
    <w:basedOn w:val="Normal"/>
    <w:next w:val="Normal"/>
    <w:qFormat/>
    <w:pPr>
      <w:ind w:left="420" w:leftChars="200"/>
    </w:pPr>
  </w:style>
  <w:style w:type="paragraph" w:styleId="NormalWeb">
    <w:name w:val="Normal (Web)"/>
    <w:basedOn w:val="Normal"/>
    <w:qFormat/>
    <w:rPr>
      <w:sz w:val="24"/>
    </w:rPr>
  </w:style>
  <w:style w:type="paragraph" w:styleId="Title">
    <w:name w:val="Title"/>
    <w:basedOn w:val="Normal"/>
    <w:qFormat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qFormat/>
    <w:rPr>
      <w:b/>
    </w:rPr>
  </w:style>
  <w:style w:type="table" w:customStyle="1" w:styleId="TableNormal0">
    <w:name w:val="Table Normal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Normal"/>
    <w:semiHidden/>
    <w:qFormat/>
    <w:rPr>
      <w:rFonts w:ascii="宋体" w:eastAsia="宋体" w:hAnsi="宋体" w:cs="宋体"/>
      <w:sz w:val="21"/>
      <w:szCs w:val="21"/>
      <w:lang w:val="en-US" w:eastAsia="en-US" w:bidi="ar-SA"/>
    </w:rPr>
  </w:style>
  <w:style w:type="paragraph" w:customStyle="1" w:styleId="1">
    <w:name w:val="柴_标题1"/>
    <w:basedOn w:val="Heading1"/>
    <w:next w:val="a"/>
    <w:link w:val="1Char"/>
    <w:qFormat/>
    <w:pPr>
      <w:spacing w:before="100" w:after="90" w:line="360" w:lineRule="auto"/>
    </w:pPr>
    <w:rPr>
      <w:rFonts w:ascii="Arial" w:eastAsia="宋体" w:hAnsi="Arial"/>
      <w:sz w:val="32"/>
    </w:rPr>
  </w:style>
  <w:style w:type="paragraph" w:customStyle="1" w:styleId="a">
    <w:name w:val="柴_正文"/>
    <w:basedOn w:val="BodyText"/>
    <w:link w:val="Char"/>
    <w:qFormat/>
    <w:pPr>
      <w:spacing w:line="360" w:lineRule="auto"/>
      <w:ind w:firstLine="470" w:firstLineChars="200"/>
    </w:pPr>
    <w:rPr>
      <w:rFonts w:ascii="Arial" w:eastAsia="宋体" w:hAnsi="Arial"/>
      <w:sz w:val="24"/>
      <w:lang w:eastAsia="zh-CN"/>
    </w:rPr>
  </w:style>
  <w:style w:type="paragraph" w:customStyle="1" w:styleId="2">
    <w:name w:val="柴_标题2"/>
    <w:basedOn w:val="Heading2"/>
    <w:next w:val="a"/>
    <w:qFormat/>
    <w:pPr>
      <w:spacing w:line="360" w:lineRule="auto"/>
    </w:pPr>
    <w:rPr>
      <w:rFonts w:ascii="Arial" w:eastAsia="宋体" w:hAnsi="Arial"/>
      <w:sz w:val="28"/>
    </w:rPr>
  </w:style>
  <w:style w:type="paragraph" w:customStyle="1" w:styleId="3">
    <w:name w:val="柴_标题3"/>
    <w:basedOn w:val="Heading3"/>
    <w:next w:val="a"/>
    <w:qFormat/>
    <w:pPr>
      <w:spacing w:line="360" w:lineRule="auto"/>
      <w:ind w:left="0" w:firstLine="472" w:firstLineChars="200"/>
    </w:pPr>
    <w:rPr>
      <w:rFonts w:ascii="宋体" w:eastAsia="宋体" w:hAnsi="宋体" w:cs="宋体"/>
      <w:spacing w:val="-2"/>
      <w:sz w:val="24"/>
      <w:szCs w:val="24"/>
    </w:rPr>
  </w:style>
  <w:style w:type="paragraph" w:customStyle="1" w:styleId="a0">
    <w:name w:val="柴_目录"/>
    <w:basedOn w:val="Normal"/>
    <w:next w:val="BodyText"/>
    <w:qFormat/>
    <w:pPr>
      <w:tabs>
        <w:tab w:val="right" w:leader="dot" w:pos="8442"/>
      </w:tabs>
      <w:ind w:left="0" w:leftChars="0"/>
    </w:pPr>
    <w:rPr>
      <w:rFonts w:ascii="Arial" w:eastAsia="Microsoft JhengHei" w:hAnsi="Arial"/>
      <w:sz w:val="24"/>
    </w:rPr>
  </w:style>
  <w:style w:type="paragraph" w:customStyle="1" w:styleId="a1">
    <w:name w:val="柴_公司名"/>
    <w:basedOn w:val="Title"/>
    <w:qFormat/>
    <w:pPr>
      <w:spacing w:after="600" w:afterLines="600"/>
    </w:pPr>
    <w:rPr>
      <w:rFonts w:ascii="宋体" w:eastAsia="宋体" w:hAnsi="宋体" w:cs="宋体" w:hint="eastAsia"/>
      <w:bCs/>
      <w:spacing w:val="-6"/>
      <w:sz w:val="52"/>
      <w:szCs w:val="52"/>
    </w:rPr>
  </w:style>
  <w:style w:type="paragraph" w:customStyle="1" w:styleId="a2">
    <w:name w:val="柴_文档名"/>
    <w:basedOn w:val="Title"/>
    <w:qFormat/>
    <w:pPr>
      <w:spacing w:after="900" w:afterLines="900"/>
    </w:pPr>
    <w:rPr>
      <w:rFonts w:ascii="黑体" w:eastAsia="黑体" w:hAnsi="黑体" w:cs="黑体"/>
      <w:bCs/>
      <w:spacing w:val="-7"/>
      <w:sz w:val="52"/>
      <w:szCs w:val="52"/>
    </w:rPr>
  </w:style>
  <w:style w:type="paragraph" w:customStyle="1" w:styleId="WPSOffice1">
    <w:name w:val="WPSOffice手动目录 1"/>
    <w:qFormat/>
    <w:pPr>
      <w:ind w:leftChars="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2">
    <w:name w:val="WPSOffice手动目录 2"/>
    <w:qFormat/>
    <w:pPr>
      <w:ind w:leftChars="2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3">
    <w:name w:val="WPSOffice手动目录 3"/>
    <w:qFormat/>
    <w:pPr>
      <w:ind w:leftChars="4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Compact">
    <w:name w:val="Compact"/>
    <w:basedOn w:val="BodyText"/>
    <w:qFormat/>
    <w:pPr>
      <w:spacing w:before="36" w:after="36"/>
    </w:p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sz="0" w:space="0" w:color="auto"/>
        </w:tcBorders>
        <w:vAlign w:val="bottom"/>
      </w:tcPr>
    </w:tblStylePr>
  </w:style>
  <w:style w:type="character" w:customStyle="1" w:styleId="1Char">
    <w:name w:val="柴_标题1 Char"/>
    <w:link w:val="1"/>
    <w:qFormat/>
    <w:rPr>
      <w:rFonts w:ascii="Arial" w:eastAsia="宋体" w:hAnsi="Arial"/>
      <w:sz w:val="32"/>
    </w:rPr>
  </w:style>
  <w:style w:type="paragraph" w:customStyle="1" w:styleId="a3">
    <w:name w:val="柴_正文_无缩进"/>
    <w:basedOn w:val="Normal"/>
    <w:qFormat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">
    <w:name w:val="柴_标题4"/>
    <w:basedOn w:val="Heading4"/>
    <w:next w:val="Normal"/>
    <w:qFormat/>
    <w:pPr>
      <w:widowControl w:val="0"/>
      <w:spacing w:before="160" w:line="360" w:lineRule="auto"/>
      <w:ind w:left="981" w:hanging="862" w:leftChars="300"/>
    </w:pPr>
    <w:rPr>
      <w:rFonts w:ascii="Calibri" w:eastAsia="宋体" w:hAnsi="Calibri" w:cs="宋体" w:hint="eastAsia"/>
      <w:sz w:val="24"/>
      <w:szCs w:val="24"/>
      <w:lang w:eastAsia="zh-CN" w:bidi="zh-CN"/>
    </w:rPr>
  </w:style>
  <w:style w:type="character" w:customStyle="1" w:styleId="Char">
    <w:name w:val="柴_正文 Char"/>
    <w:link w:val="a"/>
    <w:qFormat/>
    <w:rPr>
      <w:rFonts w:ascii="Arial" w:eastAsia="宋体" w:hAnsi="Arial"/>
      <w:sz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numbering" Target="numbering.xml" /><Relationship Id="rId6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otalTime>2</TotalTime>
  <Pages>5</Pages>
  <Words>1043</Words>
  <Characters>1094</Characters>
  <Application>Microsoft Office Word</Application>
  <DocSecurity>0</DocSecurity>
  <Lines>0</Lines>
  <Paragraphs>0</Paragraphs>
  <ScaleCrop>false</ScaleCrop>
  <Company/>
  <LinksUpToDate>false</LinksUpToDate>
  <CharactersWithSpaces>1140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项目助理-胡舒帆</dc:creator>
  <cp:lastModifiedBy>郝宇</cp:lastModifiedBy>
  <cp:revision>0</cp:revision>
  <dcterms:created xsi:type="dcterms:W3CDTF">2025-08-18T18:12:00Z</dcterms:created>
  <dcterms:modified xsi:type="dcterms:W3CDTF">2025-12-21T05:49:20Z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2025-08-21T00:20:40Z</vt:filetime>
  </property>
  <property fmtid="{D5CDD505-2E9C-101B-9397-08002B2CF9AE}" pid="3" name="CRO">
    <vt:lpwstr>wqlLaW5nc29mdCBQREYgdG8gV1BTIDExNQ</vt:lpwstr>
  </property>
  <property fmtid="{D5CDD505-2E9C-101B-9397-08002B2CF9AE}" pid="4" name="ICV">
    <vt:lpwstr>C14D80ACC10E4A41837CDC37A38AE617_12</vt:lpwstr>
  </property>
  <property fmtid="{D5CDD505-2E9C-101B-9397-08002B2CF9AE}" pid="5" name="KSOProductBuildVer">
    <vt:lpwstr>2052-12.1.0.24034</vt:lpwstr>
  </property>
  <property fmtid="{D5CDD505-2E9C-101B-9397-08002B2CF9AE}" pid="6" name="KSOTemplateDocerSaveRecord">
    <vt:lpwstr>eyJoZGlkIjoiMDY5NmFjMmM4ZTljMGJiZDAxN2JmYTc0NGI0NmFiNDgiLCJ1c2VySWQiOiIxMDc1MzgyOSJ9</vt:lpwstr>
  </property>
</Properties>
</file>