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66C3">
      <w:pPr>
        <w:pStyle w:val="31"/>
        <w:bidi w:val="0"/>
      </w:pPr>
      <w:bookmarkStart w:id="0" w:name="_Toc29867"/>
      <w:r>
        <w:t>人员备份管理制度</w:t>
      </w:r>
      <w:bookmarkEnd w:id="0"/>
    </w:p>
    <w:p w14:paraId="39E4C9DB">
      <w:pPr>
        <w:pStyle w:val="32"/>
        <w:bidi w:val="0"/>
      </w:pPr>
      <w:bookmarkStart w:id="1" w:name="_Toc17408"/>
      <w:r>
        <w:t>甘肃国邦信息科技有限公司</w:t>
      </w:r>
      <w:bookmarkEnd w:id="1"/>
    </w:p>
    <w:p w14:paraId="65DF0D0E">
      <w:pPr>
        <w:pStyle w:val="32"/>
        <w:bidi w:val="0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bookmarkStart w:id="2" w:name="_Toc16467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2025年1月4日</w:t>
      </w:r>
      <w:bookmarkEnd w:id="2"/>
    </w:p>
    <w:p w14:paraId="29176FB2">
      <w:pPr>
        <w:pStyle w:val="32"/>
        <w:bidi w:val="0"/>
        <w:rPr>
          <w:rFonts w:hint="eastAsia"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72807C5">
      <w:pPr>
        <w:pStyle w:val="12"/>
        <w:spacing w:line="252" w:lineRule="auto"/>
      </w:pPr>
    </w:p>
    <w:p w14:paraId="671C0006">
      <w:pPr>
        <w:pStyle w:val="12"/>
        <w:spacing w:line="253" w:lineRule="auto"/>
      </w:pPr>
    </w:p>
    <w:p w14:paraId="6D6FC45A">
      <w:pPr>
        <w:pStyle w:val="12"/>
        <w:spacing w:line="253" w:lineRule="auto"/>
      </w:pPr>
    </w:p>
    <w:p w14:paraId="6C6E3676">
      <w:pPr>
        <w:pStyle w:val="12"/>
        <w:spacing w:line="253" w:lineRule="auto"/>
      </w:pPr>
    </w:p>
    <w:p w14:paraId="69D9DCE4">
      <w:pPr>
        <w:spacing w:before="91" w:line="220" w:lineRule="auto"/>
        <w:ind w:left="3710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2696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68773331">
      <w:pPr>
        <w:spacing w:line="131" w:lineRule="exact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69B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39898950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5309ED3A">
            <w:pPr>
              <w:spacing w:before="19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人员备份管理制度（GSGB-ITSS-RYBFGL）</w:t>
            </w:r>
          </w:p>
        </w:tc>
      </w:tr>
      <w:tr w14:paraId="0206C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24313E1A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 w14:paraId="683FFB25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1A4FC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1C9CDE3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6CD35F23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 w14:paraId="76772E7A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5238748D">
            <w:pPr>
              <w:spacing w:before="199" w:line="220" w:lineRule="auto"/>
              <w:ind w:left="5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03DE47CE">
            <w:pPr>
              <w:spacing w:before="199" w:line="220" w:lineRule="auto"/>
              <w:ind w:left="7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5DB9C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12877527">
            <w:pPr>
              <w:spacing w:before="164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0C40711E">
            <w:pPr>
              <w:spacing w:before="164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 w14:paraId="3C4EC794">
            <w:pPr>
              <w:spacing w:before="134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6B39F2D2">
            <w:pPr>
              <w:spacing w:before="135" w:line="228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王海燕</w:t>
            </w:r>
          </w:p>
        </w:tc>
        <w:tc>
          <w:tcPr>
            <w:tcW w:w="1953" w:type="dxa"/>
          </w:tcPr>
          <w:p w14:paraId="23F91A9D">
            <w:pPr>
              <w:spacing w:before="134" w:line="220" w:lineRule="auto"/>
              <w:ind w:left="6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04482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655E3B88">
            <w:pPr>
              <w:pStyle w:val="25"/>
            </w:pPr>
          </w:p>
        </w:tc>
        <w:tc>
          <w:tcPr>
            <w:tcW w:w="1413" w:type="dxa"/>
          </w:tcPr>
          <w:p w14:paraId="48BD9E1B">
            <w:pPr>
              <w:pStyle w:val="25"/>
            </w:pPr>
          </w:p>
        </w:tc>
        <w:tc>
          <w:tcPr>
            <w:tcW w:w="2303" w:type="dxa"/>
          </w:tcPr>
          <w:p w14:paraId="2B223BE1">
            <w:pPr>
              <w:pStyle w:val="25"/>
            </w:pPr>
          </w:p>
        </w:tc>
        <w:tc>
          <w:tcPr>
            <w:tcW w:w="1557" w:type="dxa"/>
          </w:tcPr>
          <w:p w14:paraId="5A41BB7E">
            <w:pPr>
              <w:pStyle w:val="25"/>
            </w:pPr>
          </w:p>
        </w:tc>
        <w:tc>
          <w:tcPr>
            <w:tcW w:w="1953" w:type="dxa"/>
          </w:tcPr>
          <w:p w14:paraId="7F1F32C2">
            <w:pPr>
              <w:pStyle w:val="25"/>
            </w:pPr>
          </w:p>
        </w:tc>
      </w:tr>
      <w:tr w14:paraId="58D9A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7925028C">
            <w:pPr>
              <w:pStyle w:val="25"/>
            </w:pPr>
          </w:p>
        </w:tc>
        <w:tc>
          <w:tcPr>
            <w:tcW w:w="1413" w:type="dxa"/>
          </w:tcPr>
          <w:p w14:paraId="677973EA">
            <w:pPr>
              <w:pStyle w:val="25"/>
            </w:pPr>
          </w:p>
        </w:tc>
        <w:tc>
          <w:tcPr>
            <w:tcW w:w="2303" w:type="dxa"/>
          </w:tcPr>
          <w:p w14:paraId="162870BC">
            <w:pPr>
              <w:pStyle w:val="25"/>
            </w:pPr>
          </w:p>
        </w:tc>
        <w:tc>
          <w:tcPr>
            <w:tcW w:w="1557" w:type="dxa"/>
          </w:tcPr>
          <w:p w14:paraId="37F56EEB">
            <w:pPr>
              <w:pStyle w:val="25"/>
            </w:pPr>
          </w:p>
        </w:tc>
        <w:tc>
          <w:tcPr>
            <w:tcW w:w="1953" w:type="dxa"/>
          </w:tcPr>
          <w:p w14:paraId="43980D6B">
            <w:pPr>
              <w:pStyle w:val="25"/>
            </w:pPr>
          </w:p>
        </w:tc>
      </w:tr>
      <w:tr w14:paraId="3642F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6AAB25D">
            <w:pPr>
              <w:pStyle w:val="25"/>
            </w:pPr>
          </w:p>
        </w:tc>
        <w:tc>
          <w:tcPr>
            <w:tcW w:w="1413" w:type="dxa"/>
          </w:tcPr>
          <w:p w14:paraId="459DC26B">
            <w:pPr>
              <w:pStyle w:val="25"/>
            </w:pPr>
          </w:p>
        </w:tc>
        <w:tc>
          <w:tcPr>
            <w:tcW w:w="2303" w:type="dxa"/>
          </w:tcPr>
          <w:p w14:paraId="5D380E70">
            <w:pPr>
              <w:pStyle w:val="25"/>
            </w:pPr>
          </w:p>
        </w:tc>
        <w:tc>
          <w:tcPr>
            <w:tcW w:w="1557" w:type="dxa"/>
          </w:tcPr>
          <w:p w14:paraId="0C5A6B29">
            <w:pPr>
              <w:pStyle w:val="25"/>
            </w:pPr>
          </w:p>
        </w:tc>
        <w:tc>
          <w:tcPr>
            <w:tcW w:w="1953" w:type="dxa"/>
          </w:tcPr>
          <w:p w14:paraId="6EDBDE59">
            <w:pPr>
              <w:pStyle w:val="25"/>
            </w:pPr>
          </w:p>
        </w:tc>
      </w:tr>
      <w:tr w14:paraId="43981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7E77E8C1">
            <w:pPr>
              <w:pStyle w:val="25"/>
            </w:pPr>
          </w:p>
        </w:tc>
        <w:tc>
          <w:tcPr>
            <w:tcW w:w="1413" w:type="dxa"/>
          </w:tcPr>
          <w:p w14:paraId="02B79715">
            <w:pPr>
              <w:pStyle w:val="25"/>
            </w:pPr>
          </w:p>
        </w:tc>
        <w:tc>
          <w:tcPr>
            <w:tcW w:w="2303" w:type="dxa"/>
          </w:tcPr>
          <w:p w14:paraId="67576F23">
            <w:pPr>
              <w:pStyle w:val="25"/>
            </w:pPr>
          </w:p>
        </w:tc>
        <w:tc>
          <w:tcPr>
            <w:tcW w:w="1557" w:type="dxa"/>
          </w:tcPr>
          <w:p w14:paraId="627742BE">
            <w:pPr>
              <w:pStyle w:val="25"/>
            </w:pPr>
          </w:p>
        </w:tc>
        <w:tc>
          <w:tcPr>
            <w:tcW w:w="1953" w:type="dxa"/>
          </w:tcPr>
          <w:p w14:paraId="55AC1F0A">
            <w:pPr>
              <w:pStyle w:val="25"/>
            </w:pPr>
          </w:p>
        </w:tc>
      </w:tr>
    </w:tbl>
    <w:p w14:paraId="215E086D">
      <w:pPr>
        <w:pStyle w:val="12"/>
      </w:pPr>
    </w:p>
    <w:p w14:paraId="41FB0CFF">
      <w:pPr>
        <w:sectPr>
          <w:footerReference r:id="rId5" w:type="default"/>
          <w:pgSz w:w="11906" w:h="16839"/>
          <w:pgMar w:top="1431" w:right="1127" w:bottom="1233" w:left="1696" w:header="0" w:footer="107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27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C2C12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F08E53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_Toc29867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人员备份管理制度</w:t>
          </w:r>
          <w:r>
            <w:tab/>
          </w:r>
          <w:r>
            <w:fldChar w:fldCharType="begin"/>
          </w:r>
          <w:r>
            <w:instrText xml:space="preserve"> PAGEREF _Toc29867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5E76554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_Toc17408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_Toc17408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383D107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_Toc16467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_Toc16467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5856420">
          <w:pPr>
            <w:pStyle w:val="17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_Toc26962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_Toc26962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083D9F5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_Toc15772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A4CD5D7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_Toc5981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名词解释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5E7A637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_Toc30963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0C26C9F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_Toc28565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备份流程及说明</w:t>
          </w:r>
          <w:r>
            <w:tab/>
          </w:r>
          <w:r>
            <w:fldChar w:fldCharType="begin"/>
          </w:r>
          <w:r>
            <w:instrText xml:space="preserve"> PAGEREF _Toc28565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B6CDF60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_Toc16818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责任说明</w:t>
          </w:r>
          <w:r>
            <w:tab/>
          </w:r>
          <w:r>
            <w:fldChar w:fldCharType="begin"/>
          </w:r>
          <w:r>
            <w:instrText xml:space="preserve"> PAGEREF _Toc16818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6B69A19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_Toc20674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_Toc20674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4D5F2A4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_Toc23822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_Toc23822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87D4A25">
          <w:pPr>
            <w:spacing w:line="219" w:lineRule="auto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4C50D114">
      <w:pPr>
        <w:spacing w:line="219" w:lineRule="auto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6" w:type="default"/>
          <w:pgSz w:w="11906" w:h="16839"/>
          <w:pgMar w:top="1431" w:right="1710" w:bottom="1234" w:left="1708" w:header="0" w:footer="1070" w:gutter="0"/>
          <w:cols w:space="720" w:num="1"/>
        </w:sectPr>
      </w:pPr>
    </w:p>
    <w:p w14:paraId="5F9409DC">
      <w:pPr>
        <w:pStyle w:val="26"/>
        <w:bidi w:val="0"/>
      </w:pPr>
      <w:bookmarkStart w:id="4" w:name="_Toc15772"/>
      <w:r>
        <w:t>目的</w:t>
      </w:r>
      <w:bookmarkEnd w:id="4"/>
    </w:p>
    <w:p w14:paraId="5529B11E">
      <w:pPr>
        <w:pStyle w:val="27"/>
        <w:bidi w:val="0"/>
      </w:pPr>
      <w:r>
        <w:t>为保证公司运维服务水平和运维服务可持续性，确保为客户提供连续可靠的服务，特制定本制度。</w:t>
      </w:r>
    </w:p>
    <w:p w14:paraId="5D859FAE">
      <w:pPr>
        <w:pStyle w:val="26"/>
        <w:bidi w:val="0"/>
      </w:pPr>
      <w:bookmarkStart w:id="5" w:name="_Toc5981"/>
      <w:r>
        <w:t>名词解释</w:t>
      </w:r>
      <w:bookmarkEnd w:id="5"/>
    </w:p>
    <w:p w14:paraId="5F8BF066">
      <w:pPr>
        <w:pStyle w:val="27"/>
        <w:bidi w:val="0"/>
      </w:pPr>
      <w:r>
        <w:t>AB备份制度：是指一个岗位或环节由两人兼顾，A岗是业务主办人员，B岗是业务协办人员。当A岗因休假、培训等原因不在岗时，由熟悉A岗业务的B岗代行承办业务，保证工作的持续高效有序运转的一种工作制度。</w:t>
      </w:r>
    </w:p>
    <w:p w14:paraId="0B61A3C9">
      <w:pPr>
        <w:pStyle w:val="26"/>
        <w:bidi w:val="0"/>
      </w:pPr>
      <w:bookmarkStart w:id="6" w:name="_Toc30963"/>
      <w:r>
        <w:t>适用范围</w:t>
      </w:r>
      <w:bookmarkEnd w:id="6"/>
    </w:p>
    <w:p w14:paraId="06A5162F">
      <w:pPr>
        <w:pStyle w:val="27"/>
        <w:bidi w:val="0"/>
      </w:pPr>
      <w:r>
        <w:t>本制度适用于公司运维业务中关键岗位。</w:t>
      </w:r>
    </w:p>
    <w:p w14:paraId="51F63015">
      <w:pPr>
        <w:pStyle w:val="26"/>
        <w:bidi w:val="0"/>
      </w:pPr>
      <w:bookmarkStart w:id="7" w:name="_Toc28565"/>
      <w:r>
        <w:t>备份流程及说明</w:t>
      </w:r>
      <w:bookmarkEnd w:id="7"/>
    </w:p>
    <w:p w14:paraId="5368A5C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B岗人选的选择要求：A岗的直接下属（优秀下属）、同级（同岗位）或者上级，对A岗主要业务及常规工作有一定的了解，能够在管理时间内熟悉A岗工作。</w:t>
      </w:r>
    </w:p>
    <w:p w14:paraId="475E8007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AB 岗备份清单征集整合流程：人力部发布通知—人事专员梳理清单—运维业务分管副总审核—人力部分管领导审核—人力部备案。</w:t>
      </w:r>
    </w:p>
    <w:p w14:paraId="4F66EA35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AB岗备份触发：A岗人员请假(≥3天）及以上则触发该制度，A岗需要提前3天和对应B岗进行工作交接。且正式休假前3天在公司OA上发布备份通知，告知休假起止时间与备份人员姓名。当发生紧急情况，A岗电话告知B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p w14:paraId="3A176507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开岗进行交接，B应主动承接A岗职责。</w:t>
      </w:r>
    </w:p>
    <w:p w14:paraId="770F0C3A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上岗：在A正式休假后，B岗正式接任其工作，并对工作期间的工作结果负责。在此期间内，如遇到难以处理事项可向A岗本人或A岗上级进行咨询，A岗休假期间应保持电话的畅通。</w:t>
      </w:r>
    </w:p>
    <w:p w14:paraId="2C3592A8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工作交接：休假时间结束，B岗应告知A岗，在岗期间处理工作的有关情况，并将有关文件资料移交A岗责任人。</w:t>
      </w:r>
    </w:p>
    <w:p w14:paraId="35D5BDEB">
      <w:pPr>
        <w:pStyle w:val="26"/>
        <w:bidi w:val="0"/>
      </w:pPr>
      <w:bookmarkStart w:id="8" w:name="_Toc16818"/>
      <w:r>
        <w:t>责任说明</w:t>
      </w:r>
      <w:bookmarkEnd w:id="8"/>
    </w:p>
    <w:p w14:paraId="7E868FD5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将AB岗责任人合作和配合情况纳入年度考核内容，A岗责任人离开岗位未及时交代B岗位责任人，影响工作的将追究A岗责任人的责任；</w:t>
      </w:r>
    </w:p>
    <w:p w14:paraId="3ABFE7C7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B岗责任人在顶岗期间出现问题的，追究B岗责任人责任；造成不良后果，出现客户投诉的，按公司有关规定追究相关负责人和相关人员的责任。</w:t>
      </w:r>
    </w:p>
    <w:p w14:paraId="0A0F114A">
      <w:pPr>
        <w:pStyle w:val="26"/>
        <w:bidi w:val="0"/>
      </w:pPr>
      <w:bookmarkStart w:id="9" w:name="_Toc20674"/>
      <w:r>
        <w:t>附则</w:t>
      </w:r>
      <w:bookmarkEnd w:id="9"/>
    </w:p>
    <w:p w14:paraId="63F78ADA">
      <w:pPr>
        <w:numPr>
          <w:ilvl w:val="0"/>
          <w:numId w:val="4"/>
        </w:numPr>
        <w:spacing w:before="79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本制度由人力部负责解释、修订。</w:t>
      </w:r>
    </w:p>
    <w:p w14:paraId="2AA81249">
      <w:pPr>
        <w:numPr>
          <w:ilvl w:val="0"/>
          <w:numId w:val="4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本制度自发布之日起执行。</w:t>
      </w:r>
    </w:p>
    <w:p w14:paraId="09ED81BE">
      <w:pPr>
        <w:numPr>
          <w:ilvl w:val="0"/>
          <w:numId w:val="4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附件</w:t>
      </w:r>
    </w:p>
    <w:p w14:paraId="2603DFAF">
      <w:pPr>
        <w:pStyle w:val="26"/>
        <w:bidi w:val="0"/>
      </w:pPr>
      <w:bookmarkStart w:id="10" w:name="_Toc15732"/>
      <w:bookmarkStart w:id="11" w:name="_Toc23822"/>
      <w:bookmarkStart w:id="12" w:name="_GoBack"/>
      <w:bookmarkEnd w:id="12"/>
      <w:r>
        <w:rPr>
          <w:rFonts w:hint="eastAsia"/>
          <w:lang w:val="en-US" w:eastAsia="zh-CN"/>
        </w:rPr>
        <w:t>主要考核指标</w:t>
      </w:r>
      <w:bookmarkEnd w:id="10"/>
      <w:bookmarkEnd w:id="11"/>
    </w:p>
    <w:tbl>
      <w:tblPr>
        <w:tblStyle w:val="24"/>
        <w:tblW w:w="6288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43"/>
        <w:gridCol w:w="708"/>
        <w:gridCol w:w="780"/>
      </w:tblGrid>
      <w:tr w14:paraId="483FF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57" w:type="dxa"/>
          </w:tcPr>
          <w:p w14:paraId="4E5DE00F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18"/>
                <w:szCs w:val="18"/>
                <w:lang w:val="en-US" w:eastAsia="zh-CN"/>
              </w:rPr>
              <w:t>考核指标</w:t>
            </w:r>
          </w:p>
        </w:tc>
        <w:tc>
          <w:tcPr>
            <w:tcW w:w="3243" w:type="dxa"/>
          </w:tcPr>
          <w:p w14:paraId="206D7D81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708" w:type="dxa"/>
          </w:tcPr>
          <w:p w14:paraId="3935CCC8">
            <w:pPr>
              <w:pStyle w:val="25"/>
              <w:spacing w:before="137"/>
              <w:jc w:val="both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780" w:type="dxa"/>
          </w:tcPr>
          <w:p w14:paraId="02520837">
            <w:pPr>
              <w:pStyle w:val="25"/>
              <w:spacing w:before="137"/>
              <w:jc w:val="both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17580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57" w:type="dxa"/>
            <w:vAlign w:val="top"/>
          </w:tcPr>
          <w:p w14:paraId="44033F98">
            <w:pPr>
              <w:pStyle w:val="25"/>
              <w:spacing w:before="137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243" w:type="dxa"/>
            <w:vAlign w:val="top"/>
          </w:tcPr>
          <w:p w14:paraId="00707656">
            <w:pPr>
              <w:pStyle w:val="25"/>
              <w:spacing w:before="137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708" w:type="dxa"/>
            <w:vAlign w:val="top"/>
          </w:tcPr>
          <w:p w14:paraId="538FEEA3">
            <w:pPr>
              <w:pStyle w:val="25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780" w:type="dxa"/>
          </w:tcPr>
          <w:p w14:paraId="40D283ED">
            <w:pPr>
              <w:pStyle w:val="25"/>
              <w:spacing w:before="137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≥90%</w:t>
            </w:r>
          </w:p>
        </w:tc>
      </w:tr>
    </w:tbl>
    <w:p w14:paraId="40767759">
      <w:pPr>
        <w:pStyle w:val="12"/>
      </w:pPr>
    </w:p>
    <w:sectPr>
      <w:footerReference r:id="rId7" w:type="default"/>
      <w:pgSz w:w="11906" w:h="16839"/>
      <w:pgMar w:top="1431" w:right="1785" w:bottom="1373" w:left="1686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612ED">
    <w:pPr>
      <w:spacing w:line="166" w:lineRule="auto"/>
      <w:ind w:left="422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4B296">
    <w:pPr>
      <w:spacing w:line="167" w:lineRule="auto"/>
      <w:ind w:left="420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DF77D">
    <w:pPr>
      <w:spacing w:line="165" w:lineRule="auto"/>
      <w:ind w:left="42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6A19BE6"/>
    <w:multiLevelType w:val="singleLevel"/>
    <w:tmpl w:val="B6A19B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D5E6D4"/>
    <w:multiLevelType w:val="singleLevel"/>
    <w:tmpl w:val="BCD5E6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8F83CC6"/>
    <w:multiLevelType w:val="singleLevel"/>
    <w:tmpl w:val="58F83C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E16FFE"/>
    <w:rsid w:val="105A07A8"/>
    <w:rsid w:val="18E42B28"/>
    <w:rsid w:val="2CFF066C"/>
    <w:rsid w:val="2D0B7C88"/>
    <w:rsid w:val="2EC90F31"/>
    <w:rsid w:val="38836992"/>
    <w:rsid w:val="38EA7C30"/>
    <w:rsid w:val="3D4C16AB"/>
    <w:rsid w:val="3D8C5F4C"/>
    <w:rsid w:val="44124799"/>
    <w:rsid w:val="4B3F45FD"/>
    <w:rsid w:val="65B23EF2"/>
    <w:rsid w:val="687E1ED7"/>
    <w:rsid w:val="734B14E2"/>
    <w:rsid w:val="7A3238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982</Words>
  <Characters>1028</Characters>
  <Lines>0</Lines>
  <Paragraphs>0</Paragraphs>
  <TotalTime>3</TotalTime>
  <ScaleCrop>false</ScaleCrop>
  <LinksUpToDate>false</LinksUpToDate>
  <CharactersWithSpaces>1109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2025-08-19T20:20:00Z</dcterms:created>
  <dc:creator>谢永刚</dc:creator>
  <cp:lastModifiedBy>郝宇</cp:lastModifiedBy>
  <dcterms:modified xsi:type="dcterms:W3CDTF">2026-01-03T18:47:05Z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2025-09-02T18:32:26Z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5C2274D589DD4FAE898296AFEDDEE53F_13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