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568A0">
      <w:pPr>
        <w:pStyle w:val="31"/>
        <w:bidi w:val="0"/>
      </w:pPr>
      <w:bookmarkStart w:id="0" w:name="_Toc16124"/>
      <w:r>
        <w:t>服务级别管理程序</w:t>
      </w:r>
      <w:bookmarkEnd w:id="0"/>
    </w:p>
    <w:p w14:paraId="5939BD2A">
      <w:pPr>
        <w:pStyle w:val="32"/>
        <w:bidi w:val="0"/>
      </w:pPr>
      <w:bookmarkStart w:id="1" w:name="_Toc17978"/>
      <w:r>
        <w:t>甘肃国邦信息科技有限公司</w:t>
      </w:r>
      <w:bookmarkEnd w:id="1"/>
    </w:p>
    <w:p w14:paraId="460C6F39">
      <w:pPr>
        <w:spacing w:before="275"/>
        <w:ind w:left="3285"/>
        <w:rPr>
          <w:rFonts w:ascii="宋体" w:hAnsi="宋体" w:eastAsia="宋体" w:cs="宋体"/>
          <w:sz w:val="36"/>
          <w:szCs w:val="36"/>
        </w:rPr>
      </w:pPr>
      <w:r>
        <w:rPr>
          <w:rFonts w:ascii="宋体" w:hAnsi="宋体" w:eastAsia="宋体" w:cs="宋体"/>
          <w:spacing w:val="-2"/>
          <w:sz w:val="36"/>
          <w:szCs w:val="36"/>
        </w:rPr>
        <w:t>2025-01-04</w:t>
      </w:r>
    </w:p>
    <w:p w14:paraId="58F6030E">
      <w:pPr>
        <w:rPr>
          <w:rFonts w:ascii="宋体" w:hAnsi="宋体" w:eastAsia="宋体" w:cs="宋体"/>
          <w:sz w:val="36"/>
          <w:szCs w:val="36"/>
        </w:rPr>
        <w:sectPr>
          <w:pgSz w:w="11906" w:h="16839"/>
          <w:pgMar w:top="1431" w:right="1785" w:bottom="0" w:left="1785" w:header="0" w:footer="0" w:gutter="0"/>
          <w:cols w:space="720" w:num="1"/>
        </w:sectPr>
      </w:pPr>
    </w:p>
    <w:p w14:paraId="680CF321">
      <w:pPr>
        <w:pStyle w:val="12"/>
        <w:spacing w:line="258" w:lineRule="auto"/>
      </w:pPr>
    </w:p>
    <w:p w14:paraId="049E3290">
      <w:pPr>
        <w:spacing w:before="69" w:line="220" w:lineRule="auto"/>
        <w:ind w:left="3954"/>
        <w:outlineLvl w:val="0"/>
        <w:rPr>
          <w:rFonts w:ascii="宋体" w:hAnsi="宋体" w:eastAsia="宋体" w:cs="宋体"/>
          <w:sz w:val="21"/>
          <w:szCs w:val="21"/>
        </w:rPr>
      </w:pPr>
      <w:bookmarkStart w:id="2" w:name="_Toc9964"/>
      <w:r>
        <w:rPr>
          <w:rFonts w:ascii="宋体" w:hAnsi="宋体" w:eastAsia="宋体" w:cs="宋体"/>
          <w:spacing w:val="-2"/>
          <w:sz w:val="21"/>
          <w:szCs w:val="21"/>
        </w:rPr>
        <w:t>文档信息</w:t>
      </w:r>
      <w:bookmarkEnd w:id="2"/>
    </w:p>
    <w:p w14:paraId="5B42E985">
      <w:pPr>
        <w:spacing w:line="16" w:lineRule="exact"/>
      </w:pPr>
    </w:p>
    <w:tbl>
      <w:tblPr>
        <w:tblStyle w:val="24"/>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68EB8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503E89A2">
            <w:pPr>
              <w:spacing w:before="199" w:line="220" w:lineRule="auto"/>
              <w:ind w:left="225"/>
              <w:rPr>
                <w:rFonts w:ascii="宋体" w:hAnsi="宋体" w:eastAsia="宋体" w:cs="宋体"/>
                <w:sz w:val="21"/>
                <w:szCs w:val="21"/>
              </w:rPr>
            </w:pPr>
            <w:r>
              <w:rPr>
                <w:rFonts w:ascii="宋体" w:hAnsi="宋体" w:eastAsia="宋体" w:cs="宋体"/>
                <w:spacing w:val="-2"/>
                <w:sz w:val="21"/>
                <w:szCs w:val="21"/>
              </w:rPr>
              <w:t>文档名称编号</w:t>
            </w:r>
          </w:p>
        </w:tc>
        <w:tc>
          <w:tcPr>
            <w:tcW w:w="7367" w:type="dxa"/>
            <w:gridSpan w:val="4"/>
          </w:tcPr>
          <w:p w14:paraId="650B0704">
            <w:pPr>
              <w:spacing w:before="200" w:line="218" w:lineRule="auto"/>
              <w:ind w:left="108"/>
              <w:rPr>
                <w:rFonts w:ascii="宋体" w:hAnsi="宋体" w:eastAsia="宋体" w:cs="宋体"/>
                <w:sz w:val="21"/>
                <w:szCs w:val="21"/>
              </w:rPr>
            </w:pPr>
            <w:r>
              <w:rPr>
                <w:rFonts w:ascii="宋体" w:hAnsi="宋体" w:eastAsia="宋体" w:cs="宋体"/>
                <w:spacing w:val="-1"/>
                <w:sz w:val="21"/>
                <w:szCs w:val="21"/>
              </w:rPr>
              <w:t>服务级别管理程序（GSGB-ITSS-FWJBGL）</w:t>
            </w:r>
          </w:p>
        </w:tc>
      </w:tr>
      <w:tr w14:paraId="5E229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710180C7">
            <w:pPr>
              <w:spacing w:before="196" w:line="220" w:lineRule="auto"/>
              <w:ind w:left="435"/>
              <w:rPr>
                <w:rFonts w:ascii="宋体" w:hAnsi="宋体" w:eastAsia="宋体" w:cs="宋体"/>
                <w:sz w:val="21"/>
                <w:szCs w:val="21"/>
              </w:rPr>
            </w:pPr>
            <w:r>
              <w:rPr>
                <w:rFonts w:ascii="宋体" w:hAnsi="宋体" w:eastAsia="宋体" w:cs="宋体"/>
                <w:spacing w:val="-2"/>
                <w:sz w:val="21"/>
                <w:szCs w:val="21"/>
              </w:rPr>
              <w:t>编制单位</w:t>
            </w:r>
          </w:p>
        </w:tc>
        <w:tc>
          <w:tcPr>
            <w:tcW w:w="7367" w:type="dxa"/>
            <w:gridSpan w:val="4"/>
          </w:tcPr>
          <w:p w14:paraId="657FA1FF">
            <w:pPr>
              <w:spacing w:before="197" w:line="219" w:lineRule="auto"/>
              <w:ind w:left="108"/>
              <w:rPr>
                <w:rFonts w:ascii="宋体" w:hAnsi="宋体" w:eastAsia="宋体" w:cs="宋体"/>
                <w:sz w:val="21"/>
                <w:szCs w:val="21"/>
              </w:rPr>
            </w:pPr>
            <w:r>
              <w:rPr>
                <w:rFonts w:ascii="宋体" w:hAnsi="宋体" w:eastAsia="宋体" w:cs="宋体"/>
                <w:spacing w:val="-1"/>
                <w:sz w:val="21"/>
                <w:szCs w:val="21"/>
              </w:rPr>
              <w:t>甘肃国邦信息科技有限公司</w:t>
            </w:r>
          </w:p>
        </w:tc>
      </w:tr>
      <w:tr w14:paraId="027F9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5C9C2BE9">
            <w:pPr>
              <w:spacing w:before="199" w:line="219" w:lineRule="auto"/>
              <w:ind w:left="435"/>
              <w:rPr>
                <w:rFonts w:ascii="宋体" w:hAnsi="宋体" w:eastAsia="宋体" w:cs="宋体"/>
                <w:sz w:val="21"/>
                <w:szCs w:val="21"/>
              </w:rPr>
            </w:pPr>
            <w:r>
              <w:rPr>
                <w:rFonts w:ascii="宋体" w:hAnsi="宋体" w:eastAsia="宋体" w:cs="宋体"/>
                <w:spacing w:val="-2"/>
                <w:sz w:val="21"/>
                <w:szCs w:val="21"/>
              </w:rPr>
              <w:t>文档版本</w:t>
            </w:r>
          </w:p>
        </w:tc>
        <w:tc>
          <w:tcPr>
            <w:tcW w:w="1555" w:type="dxa"/>
          </w:tcPr>
          <w:p w14:paraId="59393AC0">
            <w:pPr>
              <w:spacing w:before="199" w:line="219" w:lineRule="auto"/>
              <w:ind w:left="359"/>
              <w:rPr>
                <w:rFonts w:ascii="宋体" w:hAnsi="宋体" w:eastAsia="宋体" w:cs="宋体"/>
                <w:sz w:val="21"/>
                <w:szCs w:val="21"/>
              </w:rPr>
            </w:pPr>
            <w:r>
              <w:rPr>
                <w:rFonts w:ascii="宋体" w:hAnsi="宋体" w:eastAsia="宋体" w:cs="宋体"/>
                <w:spacing w:val="-2"/>
                <w:sz w:val="21"/>
                <w:szCs w:val="21"/>
              </w:rPr>
              <w:t>版本日期</w:t>
            </w:r>
          </w:p>
        </w:tc>
        <w:tc>
          <w:tcPr>
            <w:tcW w:w="2302" w:type="dxa"/>
          </w:tcPr>
          <w:p w14:paraId="1A0EA5B4">
            <w:pPr>
              <w:spacing w:before="199" w:line="219" w:lineRule="auto"/>
              <w:ind w:left="735"/>
              <w:rPr>
                <w:rFonts w:ascii="宋体" w:hAnsi="宋体" w:eastAsia="宋体" w:cs="宋体"/>
                <w:sz w:val="21"/>
                <w:szCs w:val="21"/>
              </w:rPr>
            </w:pPr>
            <w:r>
              <w:rPr>
                <w:rFonts w:ascii="宋体" w:hAnsi="宋体" w:eastAsia="宋体" w:cs="宋体"/>
                <w:spacing w:val="-2"/>
                <w:sz w:val="21"/>
                <w:szCs w:val="21"/>
              </w:rPr>
              <w:t>版本说明</w:t>
            </w:r>
          </w:p>
        </w:tc>
        <w:tc>
          <w:tcPr>
            <w:tcW w:w="1557" w:type="dxa"/>
          </w:tcPr>
          <w:p w14:paraId="727C71E1">
            <w:pPr>
              <w:spacing w:before="199" w:line="220" w:lineRule="auto"/>
              <w:ind w:left="575"/>
              <w:rPr>
                <w:rFonts w:ascii="宋体" w:hAnsi="宋体" w:eastAsia="宋体" w:cs="宋体"/>
                <w:sz w:val="21"/>
                <w:szCs w:val="21"/>
              </w:rPr>
            </w:pPr>
            <w:r>
              <w:rPr>
                <w:rFonts w:ascii="宋体" w:hAnsi="宋体" w:eastAsia="宋体" w:cs="宋体"/>
                <w:spacing w:val="-3"/>
                <w:sz w:val="21"/>
                <w:szCs w:val="21"/>
              </w:rPr>
              <w:t>作者</w:t>
            </w:r>
          </w:p>
        </w:tc>
        <w:tc>
          <w:tcPr>
            <w:tcW w:w="1953" w:type="dxa"/>
          </w:tcPr>
          <w:p w14:paraId="21EF608B">
            <w:pPr>
              <w:spacing w:before="199" w:line="220" w:lineRule="auto"/>
              <w:ind w:left="782"/>
              <w:rPr>
                <w:rFonts w:ascii="宋体" w:hAnsi="宋体" w:eastAsia="宋体" w:cs="宋体"/>
                <w:sz w:val="21"/>
                <w:szCs w:val="21"/>
              </w:rPr>
            </w:pPr>
            <w:r>
              <w:rPr>
                <w:rFonts w:ascii="宋体" w:hAnsi="宋体" w:eastAsia="宋体" w:cs="宋体"/>
                <w:spacing w:val="-5"/>
                <w:sz w:val="21"/>
                <w:szCs w:val="21"/>
              </w:rPr>
              <w:t>审核</w:t>
            </w:r>
          </w:p>
        </w:tc>
      </w:tr>
      <w:tr w14:paraId="2822C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0085646">
            <w:pPr>
              <w:spacing w:before="163" w:line="239" w:lineRule="auto"/>
              <w:ind w:left="638"/>
              <w:rPr>
                <w:rFonts w:ascii="宋体" w:hAnsi="宋体" w:eastAsia="宋体" w:cs="宋体"/>
                <w:sz w:val="21"/>
                <w:szCs w:val="21"/>
              </w:rPr>
            </w:pPr>
            <w:r>
              <w:rPr>
                <w:rFonts w:ascii="宋体" w:hAnsi="宋体" w:eastAsia="宋体" w:cs="宋体"/>
                <w:spacing w:val="-1"/>
                <w:sz w:val="21"/>
                <w:szCs w:val="21"/>
              </w:rPr>
              <w:t>V1.0</w:t>
            </w:r>
          </w:p>
        </w:tc>
        <w:tc>
          <w:tcPr>
            <w:tcW w:w="1555" w:type="dxa"/>
          </w:tcPr>
          <w:p w14:paraId="693208AB">
            <w:pPr>
              <w:spacing w:before="163"/>
              <w:ind w:left="361"/>
              <w:rPr>
                <w:rFonts w:ascii="宋体" w:hAnsi="宋体" w:eastAsia="宋体" w:cs="宋体"/>
                <w:sz w:val="21"/>
                <w:szCs w:val="21"/>
              </w:rPr>
            </w:pPr>
            <w:r>
              <w:rPr>
                <w:rFonts w:ascii="宋体" w:hAnsi="宋体" w:eastAsia="宋体" w:cs="宋体"/>
                <w:spacing w:val="-2"/>
                <w:sz w:val="21"/>
                <w:szCs w:val="21"/>
              </w:rPr>
              <w:t>2025-1-4</w:t>
            </w:r>
          </w:p>
        </w:tc>
        <w:tc>
          <w:tcPr>
            <w:tcW w:w="2302" w:type="dxa"/>
          </w:tcPr>
          <w:p w14:paraId="26F3CC0C">
            <w:pPr>
              <w:spacing w:before="133"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26C627F8">
            <w:pPr>
              <w:spacing w:before="134" w:line="220" w:lineRule="auto"/>
              <w:ind w:left="48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胡葛鹏宇</w:t>
            </w:r>
          </w:p>
        </w:tc>
        <w:tc>
          <w:tcPr>
            <w:tcW w:w="1953" w:type="dxa"/>
          </w:tcPr>
          <w:p w14:paraId="1079D625">
            <w:pPr>
              <w:spacing w:before="133" w:line="220" w:lineRule="auto"/>
              <w:ind w:left="672"/>
              <w:rPr>
                <w:rFonts w:ascii="宋体" w:hAnsi="宋体" w:eastAsia="宋体" w:cs="宋体"/>
                <w:sz w:val="21"/>
                <w:szCs w:val="21"/>
              </w:rPr>
            </w:pPr>
            <w:r>
              <w:rPr>
                <w:rFonts w:ascii="宋体" w:hAnsi="宋体" w:eastAsia="宋体" w:cs="宋体"/>
                <w:spacing w:val="-3"/>
                <w:sz w:val="21"/>
                <w:szCs w:val="21"/>
              </w:rPr>
              <w:t>黄益溪</w:t>
            </w:r>
          </w:p>
        </w:tc>
      </w:tr>
      <w:tr w14:paraId="024B9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6F3DCCF3">
            <w:pPr>
              <w:pStyle w:val="25"/>
            </w:pPr>
          </w:p>
        </w:tc>
        <w:tc>
          <w:tcPr>
            <w:tcW w:w="1555" w:type="dxa"/>
          </w:tcPr>
          <w:p w14:paraId="75514A36">
            <w:pPr>
              <w:pStyle w:val="25"/>
            </w:pPr>
          </w:p>
        </w:tc>
        <w:tc>
          <w:tcPr>
            <w:tcW w:w="2302" w:type="dxa"/>
          </w:tcPr>
          <w:p w14:paraId="092969F5">
            <w:pPr>
              <w:pStyle w:val="25"/>
            </w:pPr>
          </w:p>
        </w:tc>
        <w:tc>
          <w:tcPr>
            <w:tcW w:w="1557" w:type="dxa"/>
          </w:tcPr>
          <w:p w14:paraId="426A22B1">
            <w:pPr>
              <w:pStyle w:val="25"/>
            </w:pPr>
          </w:p>
        </w:tc>
        <w:tc>
          <w:tcPr>
            <w:tcW w:w="1953" w:type="dxa"/>
          </w:tcPr>
          <w:p w14:paraId="48D1E72B">
            <w:pPr>
              <w:pStyle w:val="25"/>
            </w:pPr>
          </w:p>
        </w:tc>
      </w:tr>
      <w:tr w14:paraId="5F3A5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3397792">
            <w:pPr>
              <w:pStyle w:val="25"/>
            </w:pPr>
          </w:p>
        </w:tc>
        <w:tc>
          <w:tcPr>
            <w:tcW w:w="1555" w:type="dxa"/>
          </w:tcPr>
          <w:p w14:paraId="1E1B0020">
            <w:pPr>
              <w:pStyle w:val="25"/>
            </w:pPr>
          </w:p>
        </w:tc>
        <w:tc>
          <w:tcPr>
            <w:tcW w:w="2302" w:type="dxa"/>
          </w:tcPr>
          <w:p w14:paraId="1D682E28">
            <w:pPr>
              <w:pStyle w:val="25"/>
            </w:pPr>
          </w:p>
        </w:tc>
        <w:tc>
          <w:tcPr>
            <w:tcW w:w="1557" w:type="dxa"/>
          </w:tcPr>
          <w:p w14:paraId="62B67C48">
            <w:pPr>
              <w:pStyle w:val="25"/>
            </w:pPr>
          </w:p>
        </w:tc>
        <w:tc>
          <w:tcPr>
            <w:tcW w:w="1953" w:type="dxa"/>
          </w:tcPr>
          <w:p w14:paraId="39723AAC">
            <w:pPr>
              <w:pStyle w:val="25"/>
            </w:pPr>
          </w:p>
        </w:tc>
      </w:tr>
      <w:tr w14:paraId="0BC17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6F12C695">
            <w:pPr>
              <w:pStyle w:val="25"/>
            </w:pPr>
          </w:p>
        </w:tc>
        <w:tc>
          <w:tcPr>
            <w:tcW w:w="1555" w:type="dxa"/>
          </w:tcPr>
          <w:p w14:paraId="2B88640C">
            <w:pPr>
              <w:pStyle w:val="25"/>
            </w:pPr>
          </w:p>
        </w:tc>
        <w:tc>
          <w:tcPr>
            <w:tcW w:w="2302" w:type="dxa"/>
          </w:tcPr>
          <w:p w14:paraId="18D597CB">
            <w:pPr>
              <w:pStyle w:val="25"/>
            </w:pPr>
          </w:p>
        </w:tc>
        <w:tc>
          <w:tcPr>
            <w:tcW w:w="1557" w:type="dxa"/>
          </w:tcPr>
          <w:p w14:paraId="35C16C66">
            <w:pPr>
              <w:pStyle w:val="25"/>
            </w:pPr>
          </w:p>
        </w:tc>
        <w:tc>
          <w:tcPr>
            <w:tcW w:w="1953" w:type="dxa"/>
          </w:tcPr>
          <w:p w14:paraId="61E0352C">
            <w:pPr>
              <w:pStyle w:val="25"/>
            </w:pPr>
          </w:p>
        </w:tc>
      </w:tr>
      <w:tr w14:paraId="3FC4B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2D4C83DB">
            <w:pPr>
              <w:pStyle w:val="25"/>
            </w:pPr>
          </w:p>
        </w:tc>
        <w:tc>
          <w:tcPr>
            <w:tcW w:w="1555" w:type="dxa"/>
          </w:tcPr>
          <w:p w14:paraId="2684E87C">
            <w:pPr>
              <w:pStyle w:val="25"/>
            </w:pPr>
          </w:p>
        </w:tc>
        <w:tc>
          <w:tcPr>
            <w:tcW w:w="2302" w:type="dxa"/>
          </w:tcPr>
          <w:p w14:paraId="00DC0741">
            <w:pPr>
              <w:pStyle w:val="25"/>
            </w:pPr>
          </w:p>
        </w:tc>
        <w:tc>
          <w:tcPr>
            <w:tcW w:w="1557" w:type="dxa"/>
          </w:tcPr>
          <w:p w14:paraId="43D41A6D">
            <w:pPr>
              <w:pStyle w:val="25"/>
            </w:pPr>
          </w:p>
        </w:tc>
        <w:tc>
          <w:tcPr>
            <w:tcW w:w="1953" w:type="dxa"/>
          </w:tcPr>
          <w:p w14:paraId="26B48668">
            <w:pPr>
              <w:pStyle w:val="25"/>
            </w:pPr>
          </w:p>
        </w:tc>
      </w:tr>
    </w:tbl>
    <w:p w14:paraId="4682F184">
      <w:pPr>
        <w:pStyle w:val="12"/>
      </w:pPr>
    </w:p>
    <w:p w14:paraId="44F9DD25">
      <w:pPr>
        <w:sectPr>
          <w:pgSz w:w="11906" w:h="16839"/>
          <w:pgMar w:top="1431" w:right="1236" w:bottom="0" w:left="1588" w:header="0" w:footer="0" w:gutter="0"/>
          <w:cols w:space="720" w:num="1"/>
        </w:sectPr>
      </w:pPr>
    </w:p>
    <w:p w14:paraId="33BABAE5">
      <w:pPr>
        <w:pStyle w:val="12"/>
        <w:spacing w:line="364" w:lineRule="auto"/>
      </w:pPr>
    </w:p>
    <w:sdt>
      <w:sdtPr>
        <w:rPr>
          <w:rFonts w:ascii="宋体" w:hAnsi="宋体" w:eastAsia="宋体" w:cs="Arial"/>
          <w:snapToGrid w:val="0"/>
          <w:color w:val="000000"/>
          <w:kern w:val="0"/>
          <w:sz w:val="21"/>
          <w:szCs w:val="21"/>
          <w:lang w:val="en-US" w:eastAsia="en-US" w:bidi="ar-SA"/>
        </w:rPr>
        <w:id w:val="147480924"/>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en-US" w:bidi="ar-SA"/>
        </w:rPr>
      </w:sdtEndPr>
      <w:sdtContent>
        <w:p w14:paraId="187973D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19A7265">
          <w:pPr>
            <w:pStyle w:val="16"/>
            <w:tabs>
              <w:tab w:val="right" w:leader="dot" w:pos="8492"/>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_Toc16124 </w:instrText>
          </w:r>
          <w:r>
            <w:rPr>
              <w:rFonts w:hint="eastAsia" w:ascii="Microsoft JhengHei" w:hAnsi="Microsoft JhengHei" w:eastAsia="Microsoft JhengHei" w:cs="Microsoft JhengHei"/>
              <w:szCs w:val="24"/>
            </w:rPr>
            <w:fldChar w:fldCharType="separate"/>
          </w:r>
          <w:r>
            <w:t>服务级别管理程序</w:t>
          </w:r>
          <w:r>
            <w:tab/>
          </w:r>
          <w:r>
            <w:fldChar w:fldCharType="begin"/>
          </w:r>
          <w:r>
            <w:instrText xml:space="preserve"> PAGEREF _Toc16124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FB8BFF8">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_Toc17978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_Toc17978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46A99BAA">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_Toc9964 </w:instrText>
          </w:r>
          <w:r>
            <w:rPr>
              <w:rFonts w:hint="eastAsia" w:ascii="Microsoft JhengHei" w:hAnsi="Microsoft JhengHei" w:eastAsia="Microsoft JhengHei" w:cs="Microsoft JhengHei"/>
              <w:szCs w:val="24"/>
            </w:rPr>
            <w:fldChar w:fldCharType="separate"/>
          </w:r>
          <w:r>
            <w:rPr>
              <w:rFonts w:ascii="宋体" w:hAnsi="宋体" w:eastAsia="宋体" w:cs="宋体"/>
              <w:spacing w:val="-2"/>
              <w:szCs w:val="21"/>
            </w:rPr>
            <w:t>文档信息</w:t>
          </w:r>
          <w:r>
            <w:tab/>
          </w:r>
          <w:r>
            <w:fldChar w:fldCharType="begin"/>
          </w:r>
          <w:r>
            <w:instrText xml:space="preserve"> PAGEREF _Toc9964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1A42894B">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_Toc31557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_Toc31557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49756C2">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_Toc19932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_Toc19932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EF4BAF1">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_Toc3687 </w:instrText>
          </w:r>
          <w:r>
            <w:rPr>
              <w:rFonts w:hint="eastAsia" w:ascii="Microsoft JhengHei" w:hAnsi="Microsoft JhengHei" w:eastAsia="Microsoft JhengHei" w:cs="Microsoft JhengHei"/>
              <w:szCs w:val="24"/>
            </w:rPr>
            <w:fldChar w:fldCharType="separate"/>
          </w:r>
          <w:r>
            <w:rPr>
              <w:rFonts w:hint="default"/>
            </w:rPr>
            <w:t xml:space="preserve">3. </w:t>
          </w:r>
          <w:r>
            <w:t>术语、缩略词和定义</w:t>
          </w:r>
          <w:r>
            <w:tab/>
          </w:r>
          <w:r>
            <w:fldChar w:fldCharType="begin"/>
          </w:r>
          <w:r>
            <w:instrText xml:space="preserve"> PAGEREF _Toc3687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2DA0414">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_Toc28229 </w:instrText>
          </w:r>
          <w:r>
            <w:rPr>
              <w:rFonts w:hint="eastAsia" w:ascii="Microsoft JhengHei" w:hAnsi="Microsoft JhengHei" w:eastAsia="Microsoft JhengHei" w:cs="Microsoft JhengHei"/>
              <w:szCs w:val="24"/>
            </w:rPr>
            <w:fldChar w:fldCharType="separate"/>
          </w:r>
          <w:r>
            <w:rPr>
              <w:rFonts w:hint="default"/>
            </w:rPr>
            <w:t xml:space="preserve">4. </w:t>
          </w:r>
          <w:r>
            <w:t>角色与职责</w:t>
          </w:r>
          <w:r>
            <w:tab/>
          </w:r>
          <w:r>
            <w:fldChar w:fldCharType="begin"/>
          </w:r>
          <w:r>
            <w:instrText xml:space="preserve"> PAGEREF _Toc28229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F1CC3DA">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_Toc19163 </w:instrText>
          </w:r>
          <w:r>
            <w:rPr>
              <w:rFonts w:hint="eastAsia" w:ascii="Microsoft JhengHei" w:hAnsi="Microsoft JhengHei" w:eastAsia="Microsoft JhengHei" w:cs="Microsoft JhengHei"/>
              <w:szCs w:val="24"/>
            </w:rPr>
            <w:fldChar w:fldCharType="separate"/>
          </w:r>
          <w:r>
            <w:rPr>
              <w:rFonts w:hint="default"/>
            </w:rPr>
            <w:t xml:space="preserve">5. </w:t>
          </w:r>
          <w:r>
            <w:t>服务级别管理流程</w:t>
          </w:r>
          <w:r>
            <w:tab/>
          </w:r>
          <w:r>
            <w:fldChar w:fldCharType="begin"/>
          </w:r>
          <w:r>
            <w:instrText xml:space="preserve"> PAGEREF _Toc19163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B0D3FE8">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_Toc24187 </w:instrText>
          </w:r>
          <w:r>
            <w:rPr>
              <w:rFonts w:hint="eastAsia" w:ascii="Microsoft JhengHei" w:hAnsi="Microsoft JhengHei" w:eastAsia="Microsoft JhengHei" w:cs="Microsoft JhengHei"/>
              <w:szCs w:val="24"/>
            </w:rPr>
            <w:fldChar w:fldCharType="separate"/>
          </w:r>
          <w:r>
            <w:rPr>
              <w:rFonts w:hint="default"/>
            </w:rPr>
            <w:t xml:space="preserve">5.1. </w:t>
          </w:r>
          <w:r>
            <w:t>流程原则</w:t>
          </w:r>
          <w:r>
            <w:tab/>
          </w:r>
          <w:r>
            <w:fldChar w:fldCharType="begin"/>
          </w:r>
          <w:r>
            <w:instrText xml:space="preserve"> PAGEREF _Toc24187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7F2F66D">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_Toc3487 </w:instrText>
          </w:r>
          <w:r>
            <w:rPr>
              <w:rFonts w:hint="eastAsia" w:ascii="Microsoft JhengHei" w:hAnsi="Microsoft JhengHei" w:eastAsia="Microsoft JhengHei" w:cs="Microsoft JhengHei"/>
              <w:szCs w:val="24"/>
            </w:rPr>
            <w:fldChar w:fldCharType="separate"/>
          </w:r>
          <w:r>
            <w:rPr>
              <w:rFonts w:hint="default"/>
            </w:rPr>
            <w:t xml:space="preserve">5.1.1. </w:t>
          </w:r>
          <w:r>
            <w:t>流程触发条件</w:t>
          </w:r>
          <w:r>
            <w:tab/>
          </w:r>
          <w:r>
            <w:fldChar w:fldCharType="begin"/>
          </w:r>
          <w:r>
            <w:instrText xml:space="preserve"> PAGEREF _Toc3487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B1D540E">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_Toc20373 </w:instrText>
          </w:r>
          <w:r>
            <w:rPr>
              <w:rFonts w:hint="eastAsia" w:ascii="Microsoft JhengHei" w:hAnsi="Microsoft JhengHei" w:eastAsia="Microsoft JhengHei" w:cs="Microsoft JhengHei"/>
              <w:szCs w:val="24"/>
            </w:rPr>
            <w:fldChar w:fldCharType="separate"/>
          </w:r>
          <w:r>
            <w:rPr>
              <w:rFonts w:hint="default"/>
            </w:rPr>
            <w:t xml:space="preserve">5.1.2. </w:t>
          </w:r>
          <w:r>
            <w:t>流程输入</w:t>
          </w:r>
          <w:r>
            <w:tab/>
          </w:r>
          <w:r>
            <w:fldChar w:fldCharType="begin"/>
          </w:r>
          <w:r>
            <w:instrText xml:space="preserve"> PAGEREF _Toc20373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75F84AB">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_Toc13118 </w:instrText>
          </w:r>
          <w:r>
            <w:rPr>
              <w:rFonts w:hint="eastAsia" w:ascii="Microsoft JhengHei" w:hAnsi="Microsoft JhengHei" w:eastAsia="Microsoft JhengHei" w:cs="Microsoft JhengHei"/>
              <w:szCs w:val="24"/>
            </w:rPr>
            <w:fldChar w:fldCharType="separate"/>
          </w:r>
          <w:r>
            <w:rPr>
              <w:rFonts w:hint="default"/>
            </w:rPr>
            <w:t xml:space="preserve">5.1.3. </w:t>
          </w:r>
          <w:r>
            <w:t>流程输出</w:t>
          </w:r>
          <w:r>
            <w:tab/>
          </w:r>
          <w:r>
            <w:fldChar w:fldCharType="begin"/>
          </w:r>
          <w:r>
            <w:instrText xml:space="preserve"> PAGEREF _Toc13118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49710C8">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_Toc1174 </w:instrText>
          </w:r>
          <w:r>
            <w:rPr>
              <w:rFonts w:hint="eastAsia" w:ascii="Microsoft JhengHei" w:hAnsi="Microsoft JhengHei" w:eastAsia="Microsoft JhengHei" w:cs="Microsoft JhengHei"/>
              <w:szCs w:val="24"/>
            </w:rPr>
            <w:fldChar w:fldCharType="separate"/>
          </w:r>
          <w:r>
            <w:rPr>
              <w:rFonts w:hint="default"/>
            </w:rPr>
            <w:t xml:space="preserve">5.2. </w:t>
          </w:r>
          <w:r>
            <w:t>服务级别管理流程图</w:t>
          </w:r>
          <w:r>
            <w:tab/>
          </w:r>
          <w:r>
            <w:fldChar w:fldCharType="begin"/>
          </w:r>
          <w:r>
            <w:instrText xml:space="preserve"> PAGEREF _Toc1174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5400656">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_Toc28866 </w:instrText>
          </w:r>
          <w:r>
            <w:rPr>
              <w:rFonts w:hint="eastAsia" w:ascii="Microsoft JhengHei" w:hAnsi="Microsoft JhengHei" w:eastAsia="Microsoft JhengHei" w:cs="Microsoft JhengHei"/>
              <w:szCs w:val="24"/>
            </w:rPr>
            <w:fldChar w:fldCharType="separate"/>
          </w:r>
          <w:r>
            <w:rPr>
              <w:rFonts w:hint="default"/>
            </w:rPr>
            <w:t xml:space="preserve">5.3. </w:t>
          </w:r>
          <w:r>
            <w:t>活动说明</w:t>
          </w:r>
          <w:r>
            <w:tab/>
          </w:r>
          <w:r>
            <w:fldChar w:fldCharType="begin"/>
          </w:r>
          <w:r>
            <w:instrText xml:space="preserve"> PAGEREF _Toc28866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D0301FA">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_Toc19470 </w:instrText>
          </w:r>
          <w:r>
            <w:rPr>
              <w:rFonts w:hint="eastAsia" w:ascii="Microsoft JhengHei" w:hAnsi="Microsoft JhengHei" w:eastAsia="Microsoft JhengHei" w:cs="Microsoft JhengHei"/>
              <w:szCs w:val="24"/>
            </w:rPr>
            <w:fldChar w:fldCharType="separate"/>
          </w:r>
          <w:r>
            <w:rPr>
              <w:rFonts w:hint="default"/>
            </w:rPr>
            <w:t xml:space="preserve">5.3.1. </w:t>
          </w:r>
          <w:r>
            <w:t>识别客户需求</w:t>
          </w:r>
          <w:r>
            <w:tab/>
          </w:r>
          <w:r>
            <w:fldChar w:fldCharType="begin"/>
          </w:r>
          <w:r>
            <w:instrText xml:space="preserve"> PAGEREF _Toc19470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41AC1079">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_Toc22891 </w:instrText>
          </w:r>
          <w:r>
            <w:rPr>
              <w:rFonts w:hint="eastAsia" w:ascii="Microsoft JhengHei" w:hAnsi="Microsoft JhengHei" w:eastAsia="Microsoft JhengHei" w:cs="Microsoft JhengHei"/>
              <w:szCs w:val="24"/>
            </w:rPr>
            <w:fldChar w:fldCharType="separate"/>
          </w:r>
          <w:r>
            <w:rPr>
              <w:rFonts w:hint="default"/>
            </w:rPr>
            <w:t xml:space="preserve">5.3.2. </w:t>
          </w:r>
          <w:r>
            <w:t>定义服务级别</w:t>
          </w:r>
          <w:r>
            <w:tab/>
          </w:r>
          <w:r>
            <w:fldChar w:fldCharType="begin"/>
          </w:r>
          <w:r>
            <w:instrText xml:space="preserve"> PAGEREF _Toc22891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7DBD92FE">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_Toc6021 </w:instrText>
          </w:r>
          <w:r>
            <w:rPr>
              <w:rFonts w:hint="eastAsia" w:ascii="Microsoft JhengHei" w:hAnsi="Microsoft JhengHei" w:eastAsia="Microsoft JhengHei" w:cs="Microsoft JhengHei"/>
              <w:szCs w:val="24"/>
            </w:rPr>
            <w:fldChar w:fldCharType="separate"/>
          </w:r>
          <w:r>
            <w:rPr>
              <w:rFonts w:hint="default"/>
            </w:rPr>
            <w:t xml:space="preserve">5.3.3. </w:t>
          </w:r>
          <w:r>
            <w:t>SLA的签订</w:t>
          </w:r>
          <w:r>
            <w:tab/>
          </w:r>
          <w:r>
            <w:fldChar w:fldCharType="begin"/>
          </w:r>
          <w:r>
            <w:instrText xml:space="preserve"> PAGEREF _Toc6021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23CC12D3">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_Toc7896 </w:instrText>
          </w:r>
          <w:r>
            <w:rPr>
              <w:rFonts w:hint="eastAsia" w:ascii="Microsoft JhengHei" w:hAnsi="Microsoft JhengHei" w:eastAsia="Microsoft JhengHei" w:cs="Microsoft JhengHei"/>
              <w:szCs w:val="24"/>
            </w:rPr>
            <w:fldChar w:fldCharType="separate"/>
          </w:r>
          <w:r>
            <w:rPr>
              <w:rFonts w:hint="default"/>
            </w:rPr>
            <w:t xml:space="preserve">5.3.4. </w:t>
          </w:r>
          <w:r>
            <w:t>SLA的实施和监控</w:t>
          </w:r>
          <w:r>
            <w:tab/>
          </w:r>
          <w:r>
            <w:fldChar w:fldCharType="begin"/>
          </w:r>
          <w:r>
            <w:instrText xml:space="preserve"> PAGEREF _Toc7896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FBF8B73">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_Toc10089 </w:instrText>
          </w:r>
          <w:r>
            <w:rPr>
              <w:rFonts w:hint="eastAsia" w:ascii="Microsoft JhengHei" w:hAnsi="Microsoft JhengHei" w:eastAsia="Microsoft JhengHei" w:cs="Microsoft JhengHei"/>
              <w:szCs w:val="24"/>
            </w:rPr>
            <w:fldChar w:fldCharType="separate"/>
          </w:r>
          <w:r>
            <w:rPr>
              <w:rFonts w:hint="default"/>
            </w:rPr>
            <w:t xml:space="preserve">5.3.5. </w:t>
          </w:r>
          <w:r>
            <w:t>服务级别评审</w:t>
          </w:r>
          <w:r>
            <w:tab/>
          </w:r>
          <w:r>
            <w:fldChar w:fldCharType="begin"/>
          </w:r>
          <w:r>
            <w:instrText xml:space="preserve"> PAGEREF _Toc10089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806A92C">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_Toc18377 </w:instrText>
          </w:r>
          <w:r>
            <w:rPr>
              <w:rFonts w:hint="eastAsia" w:ascii="Microsoft JhengHei" w:hAnsi="Microsoft JhengHei" w:eastAsia="Microsoft JhengHei" w:cs="Microsoft JhengHei"/>
              <w:szCs w:val="24"/>
            </w:rPr>
            <w:fldChar w:fldCharType="separate"/>
          </w:r>
          <w:r>
            <w:rPr>
              <w:rFonts w:hint="default"/>
              <w:lang w:val="en-US" w:eastAsia="zh-CN"/>
            </w:rPr>
            <w:t xml:space="preserve">5.3.6. </w:t>
          </w:r>
          <w:r>
            <w:rPr>
              <w:rFonts w:hint="eastAsia"/>
              <w:lang w:val="en-US" w:eastAsia="zh-CN"/>
            </w:rPr>
            <w:t>服务级别改进</w:t>
          </w:r>
          <w:r>
            <w:tab/>
          </w:r>
          <w:r>
            <w:fldChar w:fldCharType="begin"/>
          </w:r>
          <w:r>
            <w:instrText xml:space="preserve"> PAGEREF _Toc18377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2E54B67">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_Toc14177 </w:instrText>
          </w:r>
          <w:r>
            <w:rPr>
              <w:rFonts w:hint="eastAsia" w:ascii="Microsoft JhengHei" w:hAnsi="Microsoft JhengHei" w:eastAsia="Microsoft JhengHei" w:cs="Microsoft JhengHei"/>
              <w:szCs w:val="24"/>
            </w:rPr>
            <w:fldChar w:fldCharType="separate"/>
          </w:r>
          <w:r>
            <w:rPr>
              <w:rFonts w:hint="default"/>
            </w:rPr>
            <w:t xml:space="preserve">5.4. </w:t>
          </w:r>
          <w:r>
            <w:t>关键成功因素</w:t>
          </w:r>
          <w:r>
            <w:tab/>
          </w:r>
          <w:r>
            <w:fldChar w:fldCharType="begin"/>
          </w:r>
          <w:r>
            <w:instrText xml:space="preserve"> PAGEREF _Toc14177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628A64CE">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_Toc14756 </w:instrText>
          </w:r>
          <w:r>
            <w:rPr>
              <w:rFonts w:hint="eastAsia" w:ascii="Microsoft JhengHei" w:hAnsi="Microsoft JhengHei" w:eastAsia="Microsoft JhengHei" w:cs="Microsoft JhengHei"/>
              <w:szCs w:val="24"/>
            </w:rPr>
            <w:fldChar w:fldCharType="separate"/>
          </w:r>
          <w:r>
            <w:rPr>
              <w:rFonts w:hint="default"/>
            </w:rPr>
            <w:t xml:space="preserve">5.5. </w:t>
          </w:r>
          <w:r>
            <w:t>可能存在的风险</w:t>
          </w:r>
          <w:r>
            <w:tab/>
          </w:r>
          <w:r>
            <w:fldChar w:fldCharType="begin"/>
          </w:r>
          <w:r>
            <w:instrText xml:space="preserve"> PAGEREF _Toc14756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3036C891">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_Toc13864 </w:instrText>
          </w:r>
          <w:r>
            <w:rPr>
              <w:rFonts w:hint="eastAsia" w:ascii="Microsoft JhengHei" w:hAnsi="Microsoft JhengHei" w:eastAsia="Microsoft JhengHei" w:cs="Microsoft JhengHei"/>
              <w:szCs w:val="24"/>
            </w:rPr>
            <w:fldChar w:fldCharType="separate"/>
          </w:r>
          <w:r>
            <w:rPr>
              <w:rFonts w:hint="default"/>
            </w:rPr>
            <w:t xml:space="preserve">5.6. </w:t>
          </w:r>
          <w:r>
            <w:t>与其他流程的关系</w:t>
          </w:r>
          <w:r>
            <w:tab/>
          </w:r>
          <w:r>
            <w:fldChar w:fldCharType="begin"/>
          </w:r>
          <w:r>
            <w:instrText xml:space="preserve"> PAGEREF _Toc13864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7D327554">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_Toc4958 </w:instrText>
          </w:r>
          <w:r>
            <w:rPr>
              <w:rFonts w:hint="eastAsia" w:ascii="Microsoft JhengHei" w:hAnsi="Microsoft JhengHei" w:eastAsia="Microsoft JhengHei" w:cs="Microsoft JhengHei"/>
              <w:szCs w:val="24"/>
            </w:rPr>
            <w:fldChar w:fldCharType="separate"/>
          </w:r>
          <w:r>
            <w:rPr>
              <w:rFonts w:hint="default"/>
            </w:rPr>
            <w:t xml:space="preserve">5.6.1. </w:t>
          </w:r>
          <w:r>
            <w:t>与事件管理和问题管理</w:t>
          </w:r>
          <w:r>
            <w:tab/>
          </w:r>
          <w:r>
            <w:fldChar w:fldCharType="begin"/>
          </w:r>
          <w:r>
            <w:instrText xml:space="preserve"> PAGEREF _Toc4958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DC7486E">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_Toc11623 </w:instrText>
          </w:r>
          <w:r>
            <w:rPr>
              <w:rFonts w:hint="eastAsia" w:ascii="Microsoft JhengHei" w:hAnsi="Microsoft JhengHei" w:eastAsia="Microsoft JhengHei" w:cs="Microsoft JhengHei"/>
              <w:szCs w:val="24"/>
            </w:rPr>
            <w:fldChar w:fldCharType="separate"/>
          </w:r>
          <w:r>
            <w:rPr>
              <w:rFonts w:hint="default"/>
            </w:rPr>
            <w:t xml:space="preserve">5.6.2. </w:t>
          </w:r>
          <w:r>
            <w:t>与变更管理和发布管理</w:t>
          </w:r>
          <w:r>
            <w:tab/>
          </w:r>
          <w:r>
            <w:fldChar w:fldCharType="begin"/>
          </w:r>
          <w:r>
            <w:instrText xml:space="preserve"> PAGEREF _Toc11623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61D34216">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_Toc3196 </w:instrText>
          </w:r>
          <w:r>
            <w:rPr>
              <w:rFonts w:hint="eastAsia" w:ascii="Microsoft JhengHei" w:hAnsi="Microsoft JhengHei" w:eastAsia="Microsoft JhengHei" w:cs="Microsoft JhengHei"/>
              <w:szCs w:val="24"/>
            </w:rPr>
            <w:fldChar w:fldCharType="separate"/>
          </w:r>
          <w:r>
            <w:rPr>
              <w:rFonts w:hint="default"/>
            </w:rPr>
            <w:t xml:space="preserve">5.6.3. </w:t>
          </w:r>
          <w:r>
            <w:t>与配置管理</w:t>
          </w:r>
          <w:r>
            <w:tab/>
          </w:r>
          <w:r>
            <w:fldChar w:fldCharType="begin"/>
          </w:r>
          <w:r>
            <w:instrText xml:space="preserve"> PAGEREF _Toc3196 \h </w:instrText>
          </w:r>
          <w:r>
            <w:fldChar w:fldCharType="separate"/>
          </w:r>
          <w:r>
            <w:t>12</w:t>
          </w:r>
          <w:r>
            <w:fldChar w:fldCharType="end"/>
          </w:r>
          <w:r>
            <w:rPr>
              <w:rFonts w:hint="eastAsia" w:ascii="Microsoft JhengHei" w:hAnsi="Microsoft JhengHei" w:eastAsia="Microsoft JhengHei" w:cs="Microsoft JhengHei"/>
              <w:szCs w:val="24"/>
            </w:rPr>
            <w:fldChar w:fldCharType="end"/>
          </w:r>
        </w:p>
        <w:p w14:paraId="7882007B">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_Toc24863 </w:instrText>
          </w:r>
          <w:r>
            <w:rPr>
              <w:rFonts w:hint="eastAsia" w:ascii="Microsoft JhengHei" w:hAnsi="Microsoft JhengHei" w:eastAsia="Microsoft JhengHei" w:cs="Microsoft JhengHei"/>
              <w:szCs w:val="24"/>
            </w:rPr>
            <w:fldChar w:fldCharType="separate"/>
          </w:r>
          <w:r>
            <w:rPr>
              <w:rFonts w:hint="default"/>
            </w:rPr>
            <w:t xml:space="preserve">5.7. </w:t>
          </w:r>
          <w:r>
            <w:t>考核指标</w:t>
          </w:r>
          <w:r>
            <w:tab/>
          </w:r>
          <w:r>
            <w:fldChar w:fldCharType="begin"/>
          </w:r>
          <w:r>
            <w:instrText xml:space="preserve"> PAGEREF _Toc24863 \h </w:instrText>
          </w:r>
          <w:r>
            <w:fldChar w:fldCharType="separate"/>
          </w:r>
          <w:r>
            <w:t>12</w:t>
          </w:r>
          <w:r>
            <w:fldChar w:fldCharType="end"/>
          </w:r>
          <w:r>
            <w:rPr>
              <w:rFonts w:hint="eastAsia" w:ascii="Microsoft JhengHei" w:hAnsi="Microsoft JhengHei" w:eastAsia="Microsoft JhengHei" w:cs="Microsoft JhengHei"/>
              <w:szCs w:val="24"/>
            </w:rPr>
            <w:fldChar w:fldCharType="end"/>
          </w:r>
        </w:p>
        <w:p w14:paraId="1E032914">
          <w:pPr>
            <w:pStyle w:val="17"/>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_Toc24899 </w:instrText>
          </w:r>
          <w:r>
            <w:rPr>
              <w:rFonts w:hint="eastAsia" w:ascii="Microsoft JhengHei" w:hAnsi="Microsoft JhengHei" w:eastAsia="Microsoft JhengHei" w:cs="Microsoft JhengHei"/>
              <w:szCs w:val="24"/>
            </w:rPr>
            <w:fldChar w:fldCharType="separate"/>
          </w:r>
          <w:r>
            <w:rPr>
              <w:rFonts w:hint="default"/>
            </w:rPr>
            <w:t xml:space="preserve">5.8. </w:t>
          </w:r>
          <w:r>
            <w:t>相关政策</w:t>
          </w:r>
          <w:r>
            <w:tab/>
          </w:r>
          <w:r>
            <w:fldChar w:fldCharType="begin"/>
          </w:r>
          <w:r>
            <w:instrText xml:space="preserve"> PAGEREF _Toc24899 \h </w:instrText>
          </w:r>
          <w:r>
            <w:fldChar w:fldCharType="separate"/>
          </w:r>
          <w:r>
            <w:t>12</w:t>
          </w:r>
          <w:r>
            <w:fldChar w:fldCharType="end"/>
          </w:r>
          <w:r>
            <w:rPr>
              <w:rFonts w:hint="eastAsia" w:ascii="Microsoft JhengHei" w:hAnsi="Microsoft JhengHei" w:eastAsia="Microsoft JhengHei" w:cs="Microsoft JhengHei"/>
              <w:szCs w:val="24"/>
            </w:rPr>
            <w:fldChar w:fldCharType="end"/>
          </w:r>
        </w:p>
        <w:p w14:paraId="1513092C">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_Toc11169 </w:instrText>
          </w:r>
          <w:r>
            <w:rPr>
              <w:rFonts w:hint="eastAsia" w:ascii="Microsoft JhengHei" w:hAnsi="Microsoft JhengHei" w:eastAsia="Microsoft JhengHei" w:cs="Microsoft JhengHei"/>
              <w:szCs w:val="24"/>
            </w:rPr>
            <w:fldChar w:fldCharType="separate"/>
          </w:r>
          <w:r>
            <w:rPr>
              <w:rFonts w:hint="default"/>
            </w:rPr>
            <w:t xml:space="preserve">5.8.1. </w:t>
          </w:r>
          <w:r>
            <w:t>常规方针</w:t>
          </w:r>
          <w:r>
            <w:tab/>
          </w:r>
          <w:r>
            <w:fldChar w:fldCharType="begin"/>
          </w:r>
          <w:r>
            <w:instrText xml:space="preserve"> PAGEREF _Toc11169 \h </w:instrText>
          </w:r>
          <w:r>
            <w:fldChar w:fldCharType="separate"/>
          </w:r>
          <w:r>
            <w:t>12</w:t>
          </w:r>
          <w:r>
            <w:fldChar w:fldCharType="end"/>
          </w:r>
          <w:r>
            <w:rPr>
              <w:rFonts w:hint="eastAsia" w:ascii="Microsoft JhengHei" w:hAnsi="Microsoft JhengHei" w:eastAsia="Microsoft JhengHei" w:cs="Microsoft JhengHei"/>
              <w:szCs w:val="24"/>
            </w:rPr>
            <w:fldChar w:fldCharType="end"/>
          </w:r>
        </w:p>
        <w:p w14:paraId="78AA7155">
          <w:pPr>
            <w:pStyle w:val="13"/>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_Toc23896 </w:instrText>
          </w:r>
          <w:r>
            <w:rPr>
              <w:rFonts w:hint="eastAsia" w:ascii="Microsoft JhengHei" w:hAnsi="Microsoft JhengHei" w:eastAsia="Microsoft JhengHei" w:cs="Microsoft JhengHei"/>
              <w:szCs w:val="24"/>
            </w:rPr>
            <w:fldChar w:fldCharType="separate"/>
          </w:r>
          <w:r>
            <w:rPr>
              <w:rFonts w:hint="default"/>
            </w:rPr>
            <w:t xml:space="preserve">5.8.2. </w:t>
          </w:r>
          <w:r>
            <w:t>责任人方针</w:t>
          </w:r>
          <w:r>
            <w:tab/>
          </w:r>
          <w:r>
            <w:fldChar w:fldCharType="begin"/>
          </w:r>
          <w:r>
            <w:instrText xml:space="preserve"> PAGEREF _Toc23896 \h </w:instrText>
          </w:r>
          <w:r>
            <w:fldChar w:fldCharType="separate"/>
          </w:r>
          <w:r>
            <w:t>12</w:t>
          </w:r>
          <w:r>
            <w:fldChar w:fldCharType="end"/>
          </w:r>
          <w:r>
            <w:rPr>
              <w:rFonts w:hint="eastAsia" w:ascii="Microsoft JhengHei" w:hAnsi="Microsoft JhengHei" w:eastAsia="Microsoft JhengHei" w:cs="Microsoft JhengHei"/>
              <w:szCs w:val="24"/>
            </w:rPr>
            <w:fldChar w:fldCharType="end"/>
          </w:r>
        </w:p>
        <w:p w14:paraId="30114CEA">
          <w:pPr>
            <w:pStyle w:val="16"/>
            <w:tabs>
              <w:tab w:val="right" w:leader="dot" w:pos="849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_Toc562 </w:instrText>
          </w:r>
          <w:r>
            <w:rPr>
              <w:rFonts w:hint="eastAsia" w:ascii="Microsoft JhengHei" w:hAnsi="Microsoft JhengHei" w:eastAsia="Microsoft JhengHei" w:cs="Microsoft JhengHei"/>
              <w:szCs w:val="24"/>
            </w:rPr>
            <w:fldChar w:fldCharType="separate"/>
          </w:r>
          <w:r>
            <w:rPr>
              <w:rFonts w:hint="default"/>
            </w:rPr>
            <w:t xml:space="preserve">6. </w:t>
          </w:r>
          <w:r>
            <w:t>相关文件及模板</w:t>
          </w:r>
          <w:r>
            <w:tab/>
          </w:r>
          <w:r>
            <w:fldChar w:fldCharType="begin"/>
          </w:r>
          <w:r>
            <w:instrText xml:space="preserve"> PAGEREF _Toc562 \h </w:instrText>
          </w:r>
          <w:r>
            <w:fldChar w:fldCharType="separate"/>
          </w:r>
          <w:r>
            <w:t>12</w:t>
          </w:r>
          <w:r>
            <w:fldChar w:fldCharType="end"/>
          </w:r>
          <w:r>
            <w:rPr>
              <w:rFonts w:hint="eastAsia" w:ascii="Microsoft JhengHei" w:hAnsi="Microsoft JhengHei" w:eastAsia="Microsoft JhengHei" w:cs="Microsoft JhengHei"/>
              <w:szCs w:val="24"/>
            </w:rPr>
            <w:fldChar w:fldCharType="end"/>
          </w:r>
        </w:p>
        <w:p w14:paraId="4C74A18D">
          <w:pPr>
            <w:spacing w:line="219" w:lineRule="auto"/>
            <w:rPr>
              <w:rFonts w:hint="eastAsia" w:ascii="Microsoft JhengHei" w:hAnsi="Microsoft JhengHei" w:eastAsia="Microsoft JhengHei" w:cs="Microsoft JhengHei"/>
              <w:snapToGrid w:val="0"/>
              <w:color w:val="000000"/>
              <w:kern w:val="0"/>
              <w:sz w:val="24"/>
              <w:szCs w:val="24"/>
              <w:lang w:val="en-US" w:eastAsia="en-US" w:bidi="ar-SA"/>
            </w:rPr>
          </w:pPr>
          <w:r>
            <w:rPr>
              <w:rFonts w:hint="eastAsia" w:ascii="Microsoft JhengHei" w:hAnsi="Microsoft JhengHei" w:eastAsia="Microsoft JhengHei" w:cs="Microsoft JhengHei"/>
              <w:szCs w:val="24"/>
            </w:rPr>
            <w:fldChar w:fldCharType="end"/>
          </w:r>
        </w:p>
      </w:sdtContent>
    </w:sdt>
    <w:p w14:paraId="089628EC">
      <w:pPr>
        <w:spacing w:line="219" w:lineRule="auto"/>
        <w:rPr>
          <w:rFonts w:hint="eastAsia" w:ascii="Microsoft JhengHei" w:hAnsi="Microsoft JhengHei" w:eastAsia="Microsoft JhengHei" w:cs="Microsoft JhengHei"/>
          <w:snapToGrid w:val="0"/>
          <w:color w:val="000000"/>
          <w:kern w:val="0"/>
          <w:sz w:val="24"/>
          <w:szCs w:val="24"/>
          <w:lang w:val="en-US" w:eastAsia="en-US" w:bidi="ar-SA"/>
        </w:rPr>
        <w:sectPr>
          <w:pgSz w:w="11906" w:h="16839"/>
          <w:pgMar w:top="1431" w:right="1710" w:bottom="0" w:left="1704" w:header="0" w:footer="0" w:gutter="0"/>
          <w:cols w:space="720" w:num="1"/>
        </w:sectPr>
      </w:pPr>
    </w:p>
    <w:p w14:paraId="31366C87">
      <w:pPr>
        <w:pStyle w:val="26"/>
        <w:bidi w:val="0"/>
      </w:pPr>
      <w:bookmarkStart w:id="3" w:name="_Toc31557"/>
      <w:r>
        <w:t>目的</w:t>
      </w:r>
      <w:bookmarkEnd w:id="3"/>
    </w:p>
    <w:p w14:paraId="0D09684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jc w:val="left"/>
        <w:textAlignment w:val="baseline"/>
        <w:rPr>
          <w:rFonts w:ascii="宋体" w:hAnsi="宋体" w:eastAsia="宋体" w:cs="宋体"/>
          <w:sz w:val="24"/>
          <w:szCs w:val="24"/>
        </w:rPr>
      </w:pPr>
      <w:r>
        <w:rPr>
          <w:rFonts w:ascii="宋体" w:hAnsi="宋体" w:eastAsia="宋体" w:cs="宋体"/>
          <w:sz w:val="24"/>
          <w:szCs w:val="24"/>
        </w:rPr>
        <w:t>服务级别管理（</w:t>
      </w:r>
      <w:r>
        <w:rPr>
          <w:rFonts w:ascii="Calibri" w:hAnsi="Calibri" w:eastAsia="Calibri" w:cs="Calibri"/>
          <w:sz w:val="24"/>
          <w:szCs w:val="24"/>
        </w:rPr>
        <w:t>SLM</w:t>
      </w:r>
      <w:r>
        <w:rPr>
          <w:rFonts w:ascii="宋体" w:hAnsi="宋体" w:eastAsia="宋体" w:cs="宋体"/>
          <w:sz w:val="24"/>
          <w:szCs w:val="24"/>
        </w:rPr>
        <w:t>）是为确保对整个运维服务</w:t>
      </w:r>
      <w:r>
        <w:rPr>
          <w:rFonts w:ascii="宋体" w:hAnsi="宋体" w:eastAsia="宋体" w:cs="宋体"/>
          <w:spacing w:val="-1"/>
          <w:sz w:val="24"/>
          <w:szCs w:val="24"/>
        </w:rPr>
        <w:t>组织中所有运维服务及其</w:t>
      </w:r>
      <w:r>
        <w:rPr>
          <w:rFonts w:ascii="宋体" w:hAnsi="宋体" w:eastAsia="宋体" w:cs="宋体"/>
          <w:sz w:val="24"/>
          <w:szCs w:val="24"/>
        </w:rPr>
        <w:t>绩效以专业一致的方式进行衡量，并且服务和产生</w:t>
      </w:r>
      <w:r>
        <w:rPr>
          <w:rFonts w:ascii="宋体" w:hAnsi="宋体" w:eastAsia="宋体" w:cs="宋体"/>
          <w:spacing w:val="-1"/>
          <w:sz w:val="24"/>
          <w:szCs w:val="24"/>
        </w:rPr>
        <w:t>的报告符合业务和客户的需</w:t>
      </w:r>
      <w:r>
        <w:rPr>
          <w:rFonts w:ascii="宋体" w:hAnsi="宋体" w:eastAsia="宋体" w:cs="宋体"/>
          <w:spacing w:val="-5"/>
          <w:sz w:val="24"/>
          <w:szCs w:val="24"/>
        </w:rPr>
        <w:t>要。具体目的包括以下几项：</w:t>
      </w:r>
    </w:p>
    <w:p w14:paraId="427FC5FA">
      <w:pPr>
        <w:pStyle w:val="39"/>
        <w:numPr>
          <w:ilvl w:val="0"/>
          <w:numId w:val="2"/>
        </w:numPr>
        <w:bidi w:val="0"/>
        <w:ind w:left="425" w:leftChars="0" w:hanging="425" w:firstLineChars="0"/>
      </w:pPr>
      <w:r>
        <w:t>通过对运维服务绩效的协商、监控、评价和报告等一整套相对固定的</w:t>
      </w:r>
      <w:r>
        <w:rPr>
          <w:rFonts w:hint="eastAsia"/>
          <w:lang w:val="en-US" w:eastAsia="zh-CN"/>
        </w:rPr>
        <w:t>运维</w:t>
      </w:r>
      <w:r>
        <w:t>流程，来维持和改进运维服务的质量，使之既符合业务需求，又满足成本约束的要求；</w:t>
      </w:r>
    </w:p>
    <w:p w14:paraId="2A6CE62A">
      <w:pPr>
        <w:pStyle w:val="39"/>
        <w:numPr>
          <w:ilvl w:val="0"/>
          <w:numId w:val="2"/>
        </w:numPr>
        <w:bidi w:val="0"/>
        <w:ind w:left="425" w:leftChars="0" w:hanging="425" w:firstLineChars="0"/>
      </w:pPr>
      <w:r>
        <w:t>采取适当的行动来消除或改进不符合级别要求的运维服务；</w:t>
      </w:r>
    </w:p>
    <w:p w14:paraId="341B5551">
      <w:pPr>
        <w:pStyle w:val="39"/>
        <w:numPr>
          <w:ilvl w:val="0"/>
          <w:numId w:val="2"/>
        </w:numPr>
        <w:bidi w:val="0"/>
        <w:ind w:left="425" w:leftChars="0" w:hanging="425" w:firstLineChars="0"/>
      </w:pPr>
      <w:r>
        <w:t>提高客户满意度以改善与客户的关系；</w:t>
      </w:r>
    </w:p>
    <w:p w14:paraId="066810DC">
      <w:pPr>
        <w:pStyle w:val="39"/>
        <w:numPr>
          <w:ilvl w:val="0"/>
          <w:numId w:val="2"/>
        </w:numPr>
        <w:bidi w:val="0"/>
        <w:ind w:left="425" w:leftChars="0" w:hanging="425" w:firstLineChars="0"/>
      </w:pPr>
      <w:r>
        <w:t>督促运维服务提供方。为了规范服务级别管理过程，特制定本文档。</w:t>
      </w:r>
    </w:p>
    <w:p w14:paraId="0AE3837E">
      <w:pPr>
        <w:pStyle w:val="26"/>
        <w:bidi w:val="0"/>
      </w:pPr>
      <w:bookmarkStart w:id="4" w:name="_Toc19932"/>
      <w:r>
        <w:t>适用范围</w:t>
      </w:r>
      <w:bookmarkEnd w:id="4"/>
    </w:p>
    <w:p w14:paraId="6C875A57">
      <w:pPr>
        <w:pStyle w:val="27"/>
        <w:bidi w:val="0"/>
      </w:pPr>
      <w:r>
        <w:t>本文档适用于服务级别管理过程。</w:t>
      </w:r>
    </w:p>
    <w:p w14:paraId="1C322C60">
      <w:pPr>
        <w:pStyle w:val="26"/>
        <w:bidi w:val="0"/>
      </w:pPr>
      <w:bookmarkStart w:id="5" w:name="_Toc3687"/>
      <w:r>
        <w:t>术语、缩略词和定义</w:t>
      </w:r>
      <w:bookmarkEnd w:id="5"/>
    </w:p>
    <w:p w14:paraId="5363A59F">
      <w:pPr>
        <w:spacing w:line="35" w:lineRule="exact"/>
      </w:pPr>
    </w:p>
    <w:tbl>
      <w:tblPr>
        <w:tblStyle w:val="24"/>
        <w:tblW w:w="8528" w:type="dxa"/>
        <w:tblInd w:w="1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202"/>
        <w:gridCol w:w="897"/>
        <w:gridCol w:w="6429"/>
      </w:tblGrid>
      <w:tr w14:paraId="0E2711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4" w:hRule="atLeast"/>
        </w:trPr>
        <w:tc>
          <w:tcPr>
            <w:tcW w:w="1202" w:type="dxa"/>
            <w:tcBorders>
              <w:top w:val="single" w:color="000000" w:sz="12" w:space="0"/>
              <w:left w:val="single" w:color="000000" w:sz="12" w:space="0"/>
              <w:right w:val="single" w:color="000000" w:sz="2" w:space="0"/>
            </w:tcBorders>
            <w:shd w:val="clear" w:color="auto" w:fill="BFBFBF"/>
            <w:vAlign w:val="center"/>
          </w:tcPr>
          <w:p w14:paraId="13445B7D">
            <w:pPr>
              <w:spacing w:before="285" w:line="220" w:lineRule="auto"/>
              <w:ind w:left="327"/>
              <w:rPr>
                <w:rFonts w:ascii="宋体" w:hAnsi="宋体" w:eastAsia="宋体" w:cs="宋体"/>
                <w:sz w:val="21"/>
                <w:szCs w:val="21"/>
              </w:rPr>
            </w:pPr>
            <w:r>
              <w:rPr>
                <w:rFonts w:ascii="宋体" w:hAnsi="宋体" w:eastAsia="宋体" w:cs="宋体"/>
                <w:b/>
                <w:bCs/>
                <w:spacing w:val="-8"/>
                <w:sz w:val="21"/>
                <w:szCs w:val="21"/>
              </w:rPr>
              <w:t>术</w:t>
            </w:r>
            <w:r>
              <w:rPr>
                <w:rFonts w:ascii="宋体" w:hAnsi="宋体" w:eastAsia="宋体" w:cs="宋体"/>
                <w:spacing w:val="8"/>
                <w:sz w:val="21"/>
                <w:szCs w:val="21"/>
              </w:rPr>
              <w:t xml:space="preserve"> </w:t>
            </w:r>
            <w:r>
              <w:rPr>
                <w:rFonts w:ascii="宋体" w:hAnsi="宋体" w:eastAsia="宋体" w:cs="宋体"/>
                <w:b/>
                <w:bCs/>
                <w:spacing w:val="-8"/>
                <w:sz w:val="21"/>
                <w:szCs w:val="21"/>
              </w:rPr>
              <w:t>语</w:t>
            </w:r>
          </w:p>
        </w:tc>
        <w:tc>
          <w:tcPr>
            <w:tcW w:w="897" w:type="dxa"/>
            <w:tcBorders>
              <w:top w:val="single" w:color="000000" w:sz="12" w:space="0"/>
              <w:left w:val="single" w:color="000000" w:sz="2" w:space="0"/>
              <w:right w:val="single" w:color="000000" w:sz="2" w:space="0"/>
            </w:tcBorders>
            <w:shd w:val="clear" w:color="auto" w:fill="BFBFBF"/>
            <w:vAlign w:val="center"/>
          </w:tcPr>
          <w:p w14:paraId="3BCAC9DF">
            <w:pPr>
              <w:spacing w:before="286" w:line="219" w:lineRule="auto"/>
              <w:ind w:left="129"/>
              <w:rPr>
                <w:rFonts w:ascii="宋体" w:hAnsi="宋体" w:eastAsia="宋体" w:cs="宋体"/>
                <w:sz w:val="21"/>
                <w:szCs w:val="21"/>
              </w:rPr>
            </w:pPr>
            <w:r>
              <w:rPr>
                <w:rFonts w:ascii="宋体" w:hAnsi="宋体" w:eastAsia="宋体" w:cs="宋体"/>
                <w:b/>
                <w:bCs/>
                <w:spacing w:val="-5"/>
                <w:sz w:val="21"/>
                <w:szCs w:val="21"/>
              </w:rPr>
              <w:t>缩略词</w:t>
            </w:r>
          </w:p>
        </w:tc>
        <w:tc>
          <w:tcPr>
            <w:tcW w:w="6429" w:type="dxa"/>
            <w:tcBorders>
              <w:top w:val="single" w:color="000000" w:sz="12" w:space="0"/>
              <w:left w:val="single" w:color="000000" w:sz="2" w:space="0"/>
              <w:right w:val="single" w:color="000000" w:sz="12" w:space="0"/>
            </w:tcBorders>
            <w:shd w:val="clear" w:color="auto" w:fill="BFBFBF"/>
            <w:vAlign w:val="center"/>
          </w:tcPr>
          <w:p w14:paraId="30D35E02">
            <w:pPr>
              <w:spacing w:before="286" w:line="220" w:lineRule="auto"/>
              <w:ind w:left="2958"/>
              <w:rPr>
                <w:rFonts w:ascii="宋体" w:hAnsi="宋体" w:eastAsia="宋体" w:cs="宋体"/>
                <w:sz w:val="21"/>
                <w:szCs w:val="21"/>
              </w:rPr>
            </w:pPr>
            <w:r>
              <w:rPr>
                <w:rFonts w:ascii="宋体" w:hAnsi="宋体" w:eastAsia="宋体" w:cs="宋体"/>
                <w:b/>
                <w:bCs/>
                <w:spacing w:val="-9"/>
                <w:sz w:val="21"/>
                <w:szCs w:val="21"/>
              </w:rPr>
              <w:t>定</w:t>
            </w:r>
            <w:r>
              <w:rPr>
                <w:rFonts w:ascii="宋体" w:hAnsi="宋体" w:eastAsia="宋体" w:cs="宋体"/>
                <w:spacing w:val="10"/>
                <w:sz w:val="21"/>
                <w:szCs w:val="21"/>
              </w:rPr>
              <w:t xml:space="preserve"> </w:t>
            </w:r>
            <w:r>
              <w:rPr>
                <w:rFonts w:ascii="宋体" w:hAnsi="宋体" w:eastAsia="宋体" w:cs="宋体"/>
                <w:b/>
                <w:bCs/>
                <w:spacing w:val="-9"/>
                <w:sz w:val="21"/>
                <w:szCs w:val="21"/>
              </w:rPr>
              <w:t>义</w:t>
            </w:r>
          </w:p>
        </w:tc>
      </w:tr>
      <w:tr w14:paraId="650BB1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08" w:hRule="atLeast"/>
        </w:trPr>
        <w:tc>
          <w:tcPr>
            <w:tcW w:w="1202" w:type="dxa"/>
            <w:tcBorders>
              <w:left w:val="single" w:color="000000" w:sz="12" w:space="0"/>
            </w:tcBorders>
            <w:vAlign w:val="center"/>
          </w:tcPr>
          <w:p w14:paraId="4578BB29">
            <w:pPr>
              <w:spacing w:before="68" w:line="220" w:lineRule="auto"/>
              <w:ind w:left="168"/>
              <w:rPr>
                <w:rFonts w:ascii="宋体" w:hAnsi="宋体" w:eastAsia="宋体" w:cs="宋体"/>
                <w:sz w:val="21"/>
                <w:szCs w:val="21"/>
              </w:rPr>
            </w:pPr>
            <w:r>
              <w:rPr>
                <w:rFonts w:ascii="宋体" w:hAnsi="宋体" w:eastAsia="宋体" w:cs="宋体"/>
                <w:spacing w:val="-2"/>
                <w:sz w:val="21"/>
                <w:szCs w:val="21"/>
              </w:rPr>
              <w:t>服务目录</w:t>
            </w:r>
          </w:p>
        </w:tc>
        <w:tc>
          <w:tcPr>
            <w:tcW w:w="897" w:type="dxa"/>
            <w:vAlign w:val="center"/>
          </w:tcPr>
          <w:p w14:paraId="3D9F03C4">
            <w:pPr>
              <w:spacing w:before="60" w:line="186" w:lineRule="auto"/>
              <w:ind w:left="316"/>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SC</w:t>
            </w:r>
          </w:p>
        </w:tc>
        <w:tc>
          <w:tcPr>
            <w:tcW w:w="6429" w:type="dxa"/>
            <w:tcBorders>
              <w:right w:val="single" w:color="000000" w:sz="12" w:space="0"/>
            </w:tcBorders>
            <w:vAlign w:val="center"/>
          </w:tcPr>
          <w:p w14:paraId="38E8B55D">
            <w:pPr>
              <w:pStyle w:val="39"/>
              <w:bidi w:val="0"/>
            </w:pPr>
            <w:r>
              <w:t>服务提供方以顾客的语言记录可提供全部服务的文件，并给出这些服务的概要信息。作为一个重要的沟通工具，服务目录可以帮助协调顾客的期望，从而有助于客户和服务提供方之间的过程整合。</w:t>
            </w:r>
          </w:p>
        </w:tc>
      </w:tr>
      <w:tr w14:paraId="10E6AC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4" w:hRule="atLeast"/>
        </w:trPr>
        <w:tc>
          <w:tcPr>
            <w:tcW w:w="1202" w:type="dxa"/>
            <w:tcBorders>
              <w:left w:val="single" w:color="000000" w:sz="12" w:space="0"/>
            </w:tcBorders>
            <w:vAlign w:val="center"/>
          </w:tcPr>
          <w:p w14:paraId="6478567B">
            <w:pPr>
              <w:spacing w:before="289" w:line="220" w:lineRule="auto"/>
              <w:ind w:left="168"/>
              <w:rPr>
                <w:rFonts w:ascii="宋体" w:hAnsi="宋体" w:eastAsia="宋体" w:cs="宋体"/>
                <w:sz w:val="21"/>
                <w:szCs w:val="21"/>
              </w:rPr>
            </w:pPr>
            <w:r>
              <w:rPr>
                <w:rFonts w:ascii="宋体" w:hAnsi="宋体" w:eastAsia="宋体" w:cs="宋体"/>
                <w:spacing w:val="-2"/>
                <w:sz w:val="21"/>
                <w:szCs w:val="21"/>
              </w:rPr>
              <w:t>服务级别</w:t>
            </w:r>
          </w:p>
        </w:tc>
        <w:tc>
          <w:tcPr>
            <w:tcW w:w="897" w:type="dxa"/>
            <w:vAlign w:val="center"/>
          </w:tcPr>
          <w:p w14:paraId="013BDA42">
            <w:pPr>
              <w:spacing w:before="60" w:line="186" w:lineRule="auto"/>
              <w:ind w:left="322"/>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SL</w:t>
            </w:r>
          </w:p>
        </w:tc>
        <w:tc>
          <w:tcPr>
            <w:tcW w:w="6429" w:type="dxa"/>
            <w:tcBorders>
              <w:right w:val="single" w:color="000000" w:sz="12" w:space="0"/>
            </w:tcBorders>
            <w:vAlign w:val="center"/>
          </w:tcPr>
          <w:p w14:paraId="5D1E2A67">
            <w:pPr>
              <w:pStyle w:val="39"/>
              <w:bidi w:val="0"/>
            </w:pPr>
            <w:r>
              <w:t>指服务提供方与客户就服务的质量、性能等方面所达成的双方共同认可的级别要求。</w:t>
            </w:r>
          </w:p>
        </w:tc>
      </w:tr>
    </w:tbl>
    <w:p w14:paraId="5F2CFC32">
      <w:pPr>
        <w:pStyle w:val="26"/>
        <w:bidi w:val="0"/>
      </w:pPr>
      <w:bookmarkStart w:id="6" w:name="_Toc28229"/>
      <w:r>
        <w:t>角色与职责</w:t>
      </w:r>
      <w:bookmarkEnd w:id="6"/>
    </w:p>
    <w:p w14:paraId="4B9B1CCA">
      <w:pPr>
        <w:spacing w:line="35" w:lineRule="exact"/>
      </w:pPr>
    </w:p>
    <w:tbl>
      <w:tblPr>
        <w:tblStyle w:val="24"/>
        <w:tblW w:w="8471" w:type="dxa"/>
        <w:tblInd w:w="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5119"/>
        <w:gridCol w:w="1826"/>
      </w:tblGrid>
      <w:tr w14:paraId="0DA2C8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1" w:hRule="atLeast"/>
        </w:trPr>
        <w:tc>
          <w:tcPr>
            <w:tcW w:w="1526" w:type="dxa"/>
            <w:shd w:val="clear" w:color="auto" w:fill="C0C0C0"/>
          </w:tcPr>
          <w:p w14:paraId="7DB232AC">
            <w:pPr>
              <w:spacing w:before="286" w:line="219" w:lineRule="auto"/>
              <w:ind w:left="558"/>
              <w:rPr>
                <w:rFonts w:ascii="宋体" w:hAnsi="宋体" w:eastAsia="宋体" w:cs="宋体"/>
                <w:sz w:val="21"/>
                <w:szCs w:val="21"/>
              </w:rPr>
            </w:pPr>
            <w:r>
              <w:rPr>
                <w:rFonts w:ascii="宋体" w:hAnsi="宋体" w:eastAsia="宋体" w:cs="宋体"/>
                <w:b/>
                <w:bCs/>
                <w:spacing w:val="-6"/>
                <w:sz w:val="21"/>
                <w:szCs w:val="21"/>
              </w:rPr>
              <w:t>角色</w:t>
            </w:r>
          </w:p>
        </w:tc>
        <w:tc>
          <w:tcPr>
            <w:tcW w:w="5119" w:type="dxa"/>
            <w:shd w:val="clear" w:color="auto" w:fill="C0C0C0"/>
          </w:tcPr>
          <w:p w14:paraId="5468DD5F">
            <w:pPr>
              <w:spacing w:before="286" w:line="221" w:lineRule="auto"/>
              <w:ind w:left="2491"/>
              <w:rPr>
                <w:rFonts w:ascii="宋体" w:hAnsi="宋体" w:eastAsia="宋体" w:cs="宋体"/>
                <w:sz w:val="21"/>
                <w:szCs w:val="21"/>
              </w:rPr>
            </w:pPr>
            <w:r>
              <w:rPr>
                <w:rFonts w:ascii="宋体" w:hAnsi="宋体" w:eastAsia="宋体" w:cs="宋体"/>
                <w:b/>
                <w:bCs/>
                <w:spacing w:val="-5"/>
                <w:sz w:val="21"/>
                <w:szCs w:val="21"/>
              </w:rPr>
              <w:t>职责</w:t>
            </w:r>
          </w:p>
        </w:tc>
        <w:tc>
          <w:tcPr>
            <w:tcW w:w="1826" w:type="dxa"/>
            <w:shd w:val="clear" w:color="auto" w:fill="C0C0C0"/>
          </w:tcPr>
          <w:p w14:paraId="285DBEE3">
            <w:pPr>
              <w:spacing w:before="285" w:line="220" w:lineRule="auto"/>
              <w:ind w:left="474"/>
              <w:rPr>
                <w:rFonts w:ascii="宋体" w:hAnsi="宋体" w:eastAsia="宋体" w:cs="宋体"/>
                <w:sz w:val="21"/>
                <w:szCs w:val="21"/>
              </w:rPr>
            </w:pPr>
            <w:r>
              <w:rPr>
                <w:rFonts w:ascii="宋体" w:hAnsi="宋体" w:eastAsia="宋体" w:cs="宋体"/>
                <w:b/>
                <w:bCs/>
                <w:spacing w:val="-6"/>
                <w:sz w:val="21"/>
                <w:szCs w:val="21"/>
              </w:rPr>
              <w:t>责任人</w:t>
            </w:r>
          </w:p>
        </w:tc>
      </w:tr>
      <w:tr w14:paraId="48A70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1526" w:type="dxa"/>
          </w:tcPr>
          <w:p w14:paraId="2722E671">
            <w:pPr>
              <w:pStyle w:val="39"/>
              <w:bidi w:val="0"/>
            </w:pPr>
          </w:p>
          <w:p w14:paraId="722EB826">
            <w:pPr>
              <w:pStyle w:val="39"/>
              <w:bidi w:val="0"/>
            </w:pPr>
            <w:r>
              <w:t>服务级别经理</w:t>
            </w:r>
          </w:p>
        </w:tc>
        <w:tc>
          <w:tcPr>
            <w:tcW w:w="5119" w:type="dxa"/>
          </w:tcPr>
          <w:p w14:paraId="6B85868A">
            <w:pPr>
              <w:pStyle w:val="39"/>
              <w:numPr>
                <w:ilvl w:val="0"/>
                <w:numId w:val="3"/>
              </w:numPr>
              <w:bidi w:val="0"/>
              <w:ind w:left="425" w:leftChars="0" w:hanging="425" w:firstLineChars="0"/>
            </w:pPr>
            <w:r>
              <w:t>编制与更新服务目录</w:t>
            </w:r>
          </w:p>
          <w:p w14:paraId="523A99C1">
            <w:pPr>
              <w:pStyle w:val="39"/>
              <w:numPr>
                <w:ilvl w:val="0"/>
                <w:numId w:val="3"/>
              </w:numPr>
              <w:bidi w:val="0"/>
              <w:ind w:left="425" w:leftChars="0" w:hanging="425" w:firstLineChars="0"/>
            </w:pPr>
            <w:r>
              <w:t>定义和维护一个有效的服务级别管理过程</w:t>
            </w:r>
          </w:p>
        </w:tc>
        <w:tc>
          <w:tcPr>
            <w:tcW w:w="1826" w:type="dxa"/>
          </w:tcPr>
          <w:p w14:paraId="39839DF0">
            <w:pPr>
              <w:pStyle w:val="39"/>
              <w:bidi w:val="0"/>
            </w:pPr>
            <w:r>
              <w:t>运维部经理</w:t>
            </w:r>
          </w:p>
        </w:tc>
      </w:tr>
    </w:tbl>
    <w:p w14:paraId="594D6AE3">
      <w:pPr>
        <w:spacing w:line="91" w:lineRule="auto"/>
        <w:rPr>
          <w:rFonts w:ascii="Arial"/>
          <w:sz w:val="2"/>
        </w:rPr>
      </w:pPr>
    </w:p>
    <w:tbl>
      <w:tblPr>
        <w:tblStyle w:val="24"/>
        <w:tblW w:w="84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5212"/>
        <w:gridCol w:w="1733"/>
      </w:tblGrid>
      <w:tr w14:paraId="6E224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1526" w:type="dxa"/>
            <w:shd w:val="clear" w:color="auto" w:fill="C0C0C0"/>
          </w:tcPr>
          <w:p w14:paraId="406FA482">
            <w:pPr>
              <w:spacing w:before="286" w:line="219" w:lineRule="auto"/>
              <w:ind w:left="558"/>
              <w:rPr>
                <w:rFonts w:ascii="宋体" w:hAnsi="宋体" w:eastAsia="宋体" w:cs="宋体"/>
                <w:sz w:val="21"/>
                <w:szCs w:val="21"/>
              </w:rPr>
            </w:pPr>
            <w:r>
              <w:rPr>
                <w:rFonts w:ascii="宋体" w:hAnsi="宋体" w:eastAsia="宋体" w:cs="宋体"/>
                <w:b/>
                <w:bCs/>
                <w:spacing w:val="-6"/>
                <w:sz w:val="21"/>
                <w:szCs w:val="21"/>
              </w:rPr>
              <w:t>角色</w:t>
            </w:r>
          </w:p>
        </w:tc>
        <w:tc>
          <w:tcPr>
            <w:tcW w:w="5212" w:type="dxa"/>
            <w:shd w:val="clear" w:color="auto" w:fill="C0C0C0"/>
          </w:tcPr>
          <w:p w14:paraId="7347E61B">
            <w:pPr>
              <w:spacing w:before="286" w:line="221" w:lineRule="auto"/>
              <w:ind w:left="2491"/>
              <w:rPr>
                <w:rFonts w:ascii="宋体" w:hAnsi="宋体" w:eastAsia="宋体" w:cs="宋体"/>
                <w:sz w:val="21"/>
                <w:szCs w:val="21"/>
              </w:rPr>
            </w:pPr>
            <w:r>
              <w:rPr>
                <w:rFonts w:ascii="宋体" w:hAnsi="宋体" w:eastAsia="宋体" w:cs="宋体"/>
                <w:b/>
                <w:bCs/>
                <w:spacing w:val="-5"/>
                <w:sz w:val="21"/>
                <w:szCs w:val="21"/>
              </w:rPr>
              <w:t>职责</w:t>
            </w:r>
          </w:p>
        </w:tc>
        <w:tc>
          <w:tcPr>
            <w:tcW w:w="1733" w:type="dxa"/>
            <w:shd w:val="clear" w:color="auto" w:fill="C0C0C0"/>
          </w:tcPr>
          <w:p w14:paraId="3FA5C14D">
            <w:pPr>
              <w:spacing w:before="285" w:line="220" w:lineRule="auto"/>
              <w:ind w:left="474"/>
              <w:rPr>
                <w:rFonts w:ascii="宋体" w:hAnsi="宋体" w:eastAsia="宋体" w:cs="宋体"/>
                <w:sz w:val="21"/>
                <w:szCs w:val="21"/>
              </w:rPr>
            </w:pPr>
            <w:r>
              <w:rPr>
                <w:rFonts w:ascii="宋体" w:hAnsi="宋体" w:eastAsia="宋体" w:cs="宋体"/>
                <w:b/>
                <w:bCs/>
                <w:spacing w:val="-6"/>
                <w:sz w:val="21"/>
                <w:szCs w:val="21"/>
              </w:rPr>
              <w:t>责任人</w:t>
            </w:r>
          </w:p>
        </w:tc>
      </w:tr>
      <w:tr w14:paraId="535B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3" w:hRule="atLeast"/>
        </w:trPr>
        <w:tc>
          <w:tcPr>
            <w:tcW w:w="1526" w:type="dxa"/>
          </w:tcPr>
          <w:p w14:paraId="2979D155">
            <w:pPr>
              <w:pStyle w:val="25"/>
            </w:pPr>
          </w:p>
        </w:tc>
        <w:tc>
          <w:tcPr>
            <w:tcW w:w="5212" w:type="dxa"/>
          </w:tcPr>
          <w:p w14:paraId="50E9CB07">
            <w:pPr>
              <w:pStyle w:val="39"/>
              <w:numPr>
                <w:ilvl w:val="0"/>
                <w:numId w:val="3"/>
              </w:numPr>
              <w:bidi w:val="0"/>
              <w:rPr>
                <w:rFonts w:ascii="宋体" w:hAnsi="宋体" w:eastAsia="宋体" w:cs="宋体"/>
                <w:szCs w:val="24"/>
              </w:rPr>
            </w:pPr>
            <w:r>
              <w:t>跟踪服务级别管理过程，包括监控和评审服务级别</w:t>
            </w:r>
          </w:p>
        </w:tc>
        <w:tc>
          <w:tcPr>
            <w:tcW w:w="1733" w:type="dxa"/>
          </w:tcPr>
          <w:p w14:paraId="52A17545">
            <w:pPr>
              <w:pStyle w:val="25"/>
            </w:pPr>
          </w:p>
        </w:tc>
      </w:tr>
      <w:tr w14:paraId="140BE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7" w:hRule="atLeast"/>
        </w:trPr>
        <w:tc>
          <w:tcPr>
            <w:tcW w:w="1526" w:type="dxa"/>
            <w:vAlign w:val="center"/>
          </w:tcPr>
          <w:p w14:paraId="3D2A6112">
            <w:pPr>
              <w:pStyle w:val="39"/>
              <w:bidi w:val="0"/>
              <w:rPr>
                <w:rFonts w:hint="default"/>
                <w:lang w:val="en-US" w:eastAsia="zh-CN"/>
              </w:rPr>
            </w:pPr>
            <w:r>
              <w:rPr>
                <w:rFonts w:hint="eastAsia"/>
                <w:lang w:val="en-US" w:eastAsia="zh-CN"/>
              </w:rPr>
              <w:t>项目经理</w:t>
            </w:r>
          </w:p>
        </w:tc>
        <w:tc>
          <w:tcPr>
            <w:tcW w:w="5212" w:type="dxa"/>
            <w:vAlign w:val="center"/>
          </w:tcPr>
          <w:p w14:paraId="65C3DBBB">
            <w:pPr>
              <w:pStyle w:val="39"/>
              <w:numPr>
                <w:ilvl w:val="0"/>
                <w:numId w:val="4"/>
              </w:numPr>
              <w:bidi w:val="0"/>
              <w:ind w:left="425" w:leftChars="0" w:hanging="425" w:firstLineChars="0"/>
            </w:pPr>
            <w:r>
              <w:t>识别客户需求，与客户协商谈判，负责签订和维护SLA</w:t>
            </w:r>
          </w:p>
          <w:p w14:paraId="3EA29C11">
            <w:pPr>
              <w:pStyle w:val="39"/>
              <w:numPr>
                <w:ilvl w:val="0"/>
                <w:numId w:val="4"/>
              </w:numPr>
              <w:bidi w:val="0"/>
              <w:ind w:left="425" w:leftChars="0" w:hanging="425" w:firstLineChars="0"/>
            </w:pPr>
            <w:r>
              <w:t>依据SLA完成服务规划，完成服务部署</w:t>
            </w:r>
          </w:p>
          <w:p w14:paraId="0FA32B14">
            <w:pPr>
              <w:pStyle w:val="39"/>
              <w:numPr>
                <w:ilvl w:val="0"/>
                <w:numId w:val="4"/>
              </w:numPr>
              <w:bidi w:val="0"/>
              <w:ind w:left="425" w:leftChars="0" w:hanging="425" w:firstLineChars="0"/>
            </w:pPr>
            <w:r>
              <w:t>监测服务质量，落实服务改进措施</w:t>
            </w:r>
          </w:p>
          <w:p w14:paraId="299E5063">
            <w:pPr>
              <w:pStyle w:val="39"/>
              <w:numPr>
                <w:ilvl w:val="0"/>
                <w:numId w:val="4"/>
              </w:numPr>
              <w:bidi w:val="0"/>
              <w:ind w:left="425" w:leftChars="0" w:hanging="425" w:firstLineChars="0"/>
            </w:pPr>
            <w:r>
              <w:t>同客户进行评价，调整下一周期的SLA</w:t>
            </w:r>
          </w:p>
        </w:tc>
        <w:tc>
          <w:tcPr>
            <w:tcW w:w="1733" w:type="dxa"/>
            <w:vAlign w:val="center"/>
          </w:tcPr>
          <w:p w14:paraId="229011F2">
            <w:pPr>
              <w:pStyle w:val="39"/>
              <w:bidi w:val="0"/>
              <w:rPr>
                <w:rFonts w:hint="default"/>
                <w:lang w:val="en-US" w:eastAsia="zh-CN"/>
              </w:rPr>
            </w:pPr>
            <w:r>
              <w:rPr>
                <w:rFonts w:hint="eastAsia"/>
                <w:lang w:val="en-US" w:eastAsia="zh-CN"/>
              </w:rPr>
              <w:t>运维项目经理</w:t>
            </w:r>
          </w:p>
        </w:tc>
      </w:tr>
    </w:tbl>
    <w:p w14:paraId="6F49510D">
      <w:pPr>
        <w:pStyle w:val="26"/>
        <w:bidi w:val="0"/>
      </w:pPr>
      <w:bookmarkStart w:id="7" w:name="_Toc19163"/>
      <w:r>
        <w:t>服务级别管理流程</w:t>
      </w:r>
      <w:bookmarkEnd w:id="7"/>
    </w:p>
    <w:p w14:paraId="56886203">
      <w:pPr>
        <w:pStyle w:val="28"/>
        <w:bidi w:val="0"/>
      </w:pPr>
      <w:bookmarkStart w:id="8" w:name="bookmark29"/>
      <w:bookmarkEnd w:id="8"/>
      <w:bookmarkStart w:id="9" w:name="_Toc24187"/>
      <w:r>
        <w:t>流程原则</w:t>
      </w:r>
      <w:bookmarkEnd w:id="9"/>
    </w:p>
    <w:p w14:paraId="5517C06D">
      <w:pPr>
        <w:pStyle w:val="29"/>
        <w:bidi w:val="0"/>
      </w:pPr>
      <w:bookmarkStart w:id="10" w:name="bookmark30"/>
      <w:bookmarkEnd w:id="10"/>
      <w:bookmarkStart w:id="11" w:name="_Toc3487"/>
      <w:r>
        <w:t>流程触发条件</w:t>
      </w:r>
      <w:bookmarkEnd w:id="11"/>
    </w:p>
    <w:p w14:paraId="442D32B5">
      <w:pPr>
        <w:pStyle w:val="39"/>
        <w:numPr>
          <w:ilvl w:val="0"/>
          <w:numId w:val="5"/>
        </w:numPr>
        <w:bidi w:val="0"/>
      </w:pPr>
      <w:r>
        <w:t>新的服务被批准时；</w:t>
      </w:r>
    </w:p>
    <w:p w14:paraId="2E6634A1">
      <w:pPr>
        <w:pStyle w:val="39"/>
        <w:numPr>
          <w:ilvl w:val="0"/>
          <w:numId w:val="5"/>
        </w:numPr>
        <w:bidi w:val="0"/>
      </w:pPr>
      <w:r>
        <w:t>变更的服务被批准时；</w:t>
      </w:r>
    </w:p>
    <w:p w14:paraId="5B066C7B">
      <w:pPr>
        <w:pStyle w:val="39"/>
        <w:numPr>
          <w:ilvl w:val="0"/>
          <w:numId w:val="5"/>
        </w:numPr>
        <w:bidi w:val="0"/>
      </w:pPr>
      <w:r>
        <w:t>公司服务战略、运维能力及资源支持产生本质上的变动，需要更新服务级别时。</w:t>
      </w:r>
    </w:p>
    <w:p w14:paraId="406A1660">
      <w:pPr>
        <w:pStyle w:val="29"/>
        <w:bidi w:val="0"/>
      </w:pPr>
      <w:bookmarkStart w:id="12" w:name="_Toc20373"/>
      <w:r>
        <w:t>流程输入</w:t>
      </w:r>
      <w:bookmarkEnd w:id="12"/>
    </w:p>
    <w:p w14:paraId="35CB0677">
      <w:pPr>
        <w:pStyle w:val="39"/>
        <w:numPr>
          <w:ilvl w:val="0"/>
          <w:numId w:val="6"/>
        </w:numPr>
        <w:bidi w:val="0"/>
      </w:pPr>
      <w:r>
        <w:t>客户需求；</w:t>
      </w:r>
    </w:p>
    <w:p w14:paraId="676168CB">
      <w:pPr>
        <w:pStyle w:val="39"/>
        <w:numPr>
          <w:ilvl w:val="0"/>
          <w:numId w:val="6"/>
        </w:numPr>
        <w:bidi w:val="0"/>
      </w:pPr>
      <w:r>
        <w:t>增加新服务情况；</w:t>
      </w:r>
    </w:p>
    <w:p w14:paraId="78EF274B">
      <w:pPr>
        <w:pStyle w:val="39"/>
        <w:numPr>
          <w:ilvl w:val="0"/>
          <w:numId w:val="6"/>
        </w:numPr>
        <w:bidi w:val="0"/>
      </w:pPr>
      <w:r>
        <w:t>服务变更情况；</w:t>
      </w:r>
    </w:p>
    <w:p w14:paraId="572D0C71">
      <w:pPr>
        <w:pStyle w:val="39"/>
        <w:numPr>
          <w:ilvl w:val="0"/>
          <w:numId w:val="6"/>
        </w:numPr>
        <w:bidi w:val="0"/>
      </w:pPr>
      <w:r>
        <w:t>资源支持变动情况；</w:t>
      </w:r>
    </w:p>
    <w:p w14:paraId="714654BD">
      <w:pPr>
        <w:pStyle w:val="39"/>
        <w:numPr>
          <w:ilvl w:val="0"/>
          <w:numId w:val="6"/>
        </w:numPr>
        <w:bidi w:val="0"/>
      </w:pPr>
      <w:r>
        <w:t>运维能力变动情况。</w:t>
      </w:r>
    </w:p>
    <w:p w14:paraId="3DB641B5">
      <w:pPr>
        <w:pStyle w:val="29"/>
        <w:bidi w:val="0"/>
      </w:pPr>
      <w:bookmarkStart w:id="13" w:name="_Toc13118"/>
      <w:r>
        <w:t>流程输出</w:t>
      </w:r>
      <w:bookmarkEnd w:id="13"/>
    </w:p>
    <w:p w14:paraId="545C3548">
      <w:pPr>
        <w:pStyle w:val="39"/>
        <w:numPr>
          <w:ilvl w:val="0"/>
          <w:numId w:val="7"/>
        </w:numPr>
        <w:bidi w:val="0"/>
      </w:pPr>
      <w:r>
        <w:t>服务目录；</w:t>
      </w:r>
    </w:p>
    <w:p w14:paraId="3F538390">
      <w:pPr>
        <w:pStyle w:val="39"/>
        <w:numPr>
          <w:ilvl w:val="0"/>
          <w:numId w:val="7"/>
        </w:numPr>
        <w:bidi w:val="0"/>
      </w:pPr>
      <w:r>
        <w:t>服务级别协议(SLA)；</w:t>
      </w:r>
    </w:p>
    <w:p w14:paraId="622E618F">
      <w:pPr>
        <w:pStyle w:val="39"/>
        <w:numPr>
          <w:ilvl w:val="0"/>
          <w:numId w:val="7"/>
        </w:numPr>
        <w:bidi w:val="0"/>
      </w:pPr>
      <w:r>
        <w:t>服务合同（SC）；</w:t>
      </w:r>
    </w:p>
    <w:p w14:paraId="21090126">
      <w:pPr>
        <w:pStyle w:val="39"/>
        <w:numPr>
          <w:ilvl w:val="0"/>
          <w:numId w:val="7"/>
        </w:numPr>
        <w:bidi w:val="0"/>
      </w:pPr>
      <w:r>
        <w:t>支持合同(UC)；</w:t>
      </w:r>
    </w:p>
    <w:p w14:paraId="7FA8ED4A">
      <w:pPr>
        <w:pStyle w:val="39"/>
        <w:numPr>
          <w:ilvl w:val="0"/>
          <w:numId w:val="7"/>
        </w:numPr>
        <w:bidi w:val="0"/>
      </w:pPr>
      <w:r>
        <w:t>服务报告；</w:t>
      </w:r>
    </w:p>
    <w:p w14:paraId="31475E66">
      <w:pPr>
        <w:pStyle w:val="39"/>
        <w:numPr>
          <w:ilvl w:val="0"/>
          <w:numId w:val="7"/>
        </w:numPr>
        <w:bidi w:val="0"/>
      </w:pPr>
      <w:r>
        <w:t>服务级别评审记录。</w:t>
      </w:r>
    </w:p>
    <w:p w14:paraId="6EADD350">
      <w:pPr>
        <w:pStyle w:val="28"/>
        <w:bidi w:val="0"/>
      </w:pPr>
      <w:bookmarkStart w:id="14" w:name="bookmark1"/>
      <w:bookmarkEnd w:id="14"/>
      <w:bookmarkStart w:id="15" w:name="_Toc1174"/>
      <w:r>
        <w:t>服务级别管理流程图</w:t>
      </w:r>
      <w:bookmarkEnd w:id="15"/>
    </w:p>
    <w:tbl>
      <w:tblPr>
        <w:tblStyle w:val="24"/>
        <w:tblW w:w="9164" w:type="dxa"/>
        <w:tblInd w:w="5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6"/>
        <w:gridCol w:w="1642"/>
        <w:gridCol w:w="1488"/>
        <w:gridCol w:w="1539"/>
        <w:gridCol w:w="2271"/>
        <w:gridCol w:w="1808"/>
      </w:tblGrid>
      <w:tr w14:paraId="0884E8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9164" w:type="dxa"/>
            <w:gridSpan w:val="6"/>
          </w:tcPr>
          <w:p w14:paraId="617723F9">
            <w:pPr>
              <w:spacing w:before="79" w:line="221" w:lineRule="auto"/>
              <w:ind w:left="45"/>
              <w:rPr>
                <w:rFonts w:ascii="宋体" w:hAnsi="宋体" w:eastAsia="宋体" w:cs="宋体"/>
                <w:sz w:val="30"/>
                <w:szCs w:val="30"/>
              </w:rPr>
            </w:pPr>
            <w:r>
              <w:drawing>
                <wp:anchor distT="0" distB="0" distL="0" distR="0" simplePos="0" relativeHeight="251659264" behindDoc="1" locked="0" layoutInCell="1" allowOverlap="1">
                  <wp:simplePos x="0" y="0"/>
                  <wp:positionH relativeFrom="column">
                    <wp:posOffset>4445</wp:posOffset>
                  </wp:positionH>
                  <wp:positionV relativeFrom="paragraph">
                    <wp:posOffset>635</wp:posOffset>
                  </wp:positionV>
                  <wp:extent cx="5805170" cy="523748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7"/>
                          <a:stretch>
                            <a:fillRect/>
                          </a:stretch>
                        </pic:blipFill>
                        <pic:spPr>
                          <a:xfrm>
                            <a:off x="0" y="0"/>
                            <a:ext cx="5804969" cy="5237548"/>
                          </a:xfrm>
                          <a:prstGeom prst="rect">
                            <a:avLst/>
                          </a:prstGeom>
                        </pic:spPr>
                      </pic:pic>
                    </a:graphicData>
                  </a:graphic>
                </wp:anchor>
              </w:drawing>
            </w:r>
            <w:r>
              <w:rPr>
                <w:rFonts w:ascii="宋体" w:hAnsi="宋体" w:eastAsia="宋体" w:cs="宋体"/>
                <w:b/>
                <w:bCs/>
                <w:spacing w:val="-24"/>
                <w:w w:val="93"/>
                <w:sz w:val="30"/>
                <w:szCs w:val="30"/>
              </w:rPr>
              <w:t>服务级别管理流程</w:t>
            </w:r>
          </w:p>
        </w:tc>
      </w:tr>
      <w:tr w14:paraId="00CE75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6" w:hRule="atLeast"/>
        </w:trPr>
        <w:tc>
          <w:tcPr>
            <w:tcW w:w="416" w:type="dxa"/>
            <w:vMerge w:val="restart"/>
            <w:tcBorders>
              <w:top w:val="single" w:color="000000" w:sz="4" w:space="0"/>
              <w:left w:val="single" w:color="000000" w:sz="4" w:space="0"/>
              <w:bottom w:val="nil"/>
              <w:right w:val="single" w:color="000000" w:sz="4" w:space="0"/>
            </w:tcBorders>
            <w:textDirection w:val="btLr"/>
          </w:tcPr>
          <w:p w14:paraId="7AD1DA8A">
            <w:pPr>
              <w:spacing w:before="125" w:line="231" w:lineRule="auto"/>
              <w:ind w:left="1258"/>
              <w:rPr>
                <w:rFonts w:ascii="宋体" w:hAnsi="宋体" w:eastAsia="宋体" w:cs="宋体"/>
                <w:sz w:val="16"/>
                <w:szCs w:val="16"/>
              </w:rPr>
            </w:pPr>
            <w:r>
              <w:rPr>
                <w:rFonts w:ascii="宋体" w:hAnsi="宋体" w:eastAsia="宋体" w:cs="宋体"/>
                <w:spacing w:val="15"/>
                <w:w w:val="116"/>
                <w:sz w:val="16"/>
                <w:szCs w:val="16"/>
              </w:rPr>
              <w:t>服务级别定义阶段</w:t>
            </w:r>
          </w:p>
        </w:tc>
        <w:tc>
          <w:tcPr>
            <w:tcW w:w="1642" w:type="dxa"/>
            <w:tcBorders>
              <w:left w:val="single" w:color="000000" w:sz="4" w:space="0"/>
            </w:tcBorders>
          </w:tcPr>
          <w:p w14:paraId="6FA5C1C1">
            <w:pPr>
              <w:spacing w:before="182" w:line="221" w:lineRule="auto"/>
              <w:ind w:left="648"/>
              <w:rPr>
                <w:rFonts w:ascii="宋体" w:hAnsi="宋体" w:eastAsia="宋体" w:cs="宋体"/>
                <w:sz w:val="20"/>
                <w:szCs w:val="20"/>
              </w:rPr>
            </w:pPr>
            <w:r>
              <w:rPr>
                <w:rFonts w:ascii="宋体" w:hAnsi="宋体" w:eastAsia="宋体" w:cs="宋体"/>
                <w:spacing w:val="-13"/>
                <w:w w:val="97"/>
                <w:sz w:val="20"/>
                <w:szCs w:val="20"/>
              </w:rPr>
              <w:t>输入</w:t>
            </w:r>
          </w:p>
        </w:tc>
        <w:tc>
          <w:tcPr>
            <w:tcW w:w="3027" w:type="dxa"/>
            <w:gridSpan w:val="2"/>
          </w:tcPr>
          <w:p w14:paraId="61ED1B57">
            <w:pPr>
              <w:spacing w:before="181" w:line="222" w:lineRule="auto"/>
              <w:ind w:left="1179"/>
              <w:rPr>
                <w:rFonts w:ascii="宋体" w:hAnsi="宋体" w:eastAsia="宋体" w:cs="宋体"/>
                <w:sz w:val="20"/>
                <w:szCs w:val="20"/>
              </w:rPr>
            </w:pPr>
            <w:r>
              <w:rPr>
                <w:rFonts w:hint="eastAsia" w:ascii="宋体" w:hAnsi="宋体" w:cs="宋体"/>
                <w:spacing w:val="-26"/>
                <w:sz w:val="20"/>
                <w:szCs w:val="20"/>
                <w:lang w:val="en-US" w:eastAsia="zh-CN"/>
              </w:rPr>
              <w:t>运维</w:t>
            </w:r>
            <w:r>
              <w:rPr>
                <w:rFonts w:ascii="宋体" w:hAnsi="宋体" w:eastAsia="宋体" w:cs="宋体"/>
                <w:spacing w:val="-26"/>
                <w:sz w:val="20"/>
                <w:szCs w:val="20"/>
              </w:rPr>
              <w:t>项目经理</w:t>
            </w:r>
          </w:p>
        </w:tc>
        <w:tc>
          <w:tcPr>
            <w:tcW w:w="2271" w:type="dxa"/>
          </w:tcPr>
          <w:p w14:paraId="2897CDBC">
            <w:pPr>
              <w:spacing w:before="182" w:line="221" w:lineRule="auto"/>
              <w:ind w:left="630"/>
              <w:rPr>
                <w:rFonts w:ascii="宋体" w:hAnsi="宋体" w:eastAsia="宋体" w:cs="宋体"/>
                <w:sz w:val="20"/>
                <w:szCs w:val="20"/>
              </w:rPr>
            </w:pPr>
            <w:r>
              <w:rPr>
                <w:rFonts w:ascii="宋体" w:hAnsi="宋体" w:eastAsia="宋体" w:cs="宋体"/>
                <w:spacing w:val="-17"/>
                <w:w w:val="95"/>
                <w:sz w:val="20"/>
                <w:szCs w:val="20"/>
              </w:rPr>
              <w:t>服务级别经理</w:t>
            </w:r>
          </w:p>
        </w:tc>
        <w:tc>
          <w:tcPr>
            <w:tcW w:w="1808" w:type="dxa"/>
          </w:tcPr>
          <w:p w14:paraId="70D8DC6B">
            <w:pPr>
              <w:spacing w:before="182" w:line="221" w:lineRule="auto"/>
              <w:ind w:left="732"/>
              <w:rPr>
                <w:rFonts w:ascii="宋体" w:hAnsi="宋体" w:eastAsia="宋体" w:cs="宋体"/>
                <w:sz w:val="20"/>
                <w:szCs w:val="20"/>
              </w:rPr>
            </w:pPr>
            <w:r>
              <w:rPr>
                <w:rFonts w:ascii="宋体" w:hAnsi="宋体" w:eastAsia="宋体" w:cs="宋体"/>
                <w:spacing w:val="-19"/>
                <w:sz w:val="20"/>
                <w:szCs w:val="20"/>
              </w:rPr>
              <w:t>输出</w:t>
            </w:r>
          </w:p>
        </w:tc>
      </w:tr>
      <w:tr w14:paraId="0E4B5E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9" w:hRule="atLeast"/>
        </w:trPr>
        <w:tc>
          <w:tcPr>
            <w:tcW w:w="416" w:type="dxa"/>
            <w:vMerge w:val="continue"/>
            <w:tcBorders>
              <w:top w:val="nil"/>
              <w:left w:val="single" w:color="000000" w:sz="4" w:space="0"/>
              <w:bottom w:val="nil"/>
              <w:right w:val="single" w:color="000000" w:sz="4" w:space="0"/>
            </w:tcBorders>
            <w:textDirection w:val="btLr"/>
          </w:tcPr>
          <w:p w14:paraId="6EFCEE5C">
            <w:pPr>
              <w:pStyle w:val="25"/>
            </w:pPr>
          </w:p>
        </w:tc>
        <w:tc>
          <w:tcPr>
            <w:tcW w:w="1642" w:type="dxa"/>
            <w:vMerge w:val="restart"/>
            <w:tcBorders>
              <w:left w:val="single" w:color="000000" w:sz="4" w:space="0"/>
              <w:bottom w:val="nil"/>
            </w:tcBorders>
          </w:tcPr>
          <w:p w14:paraId="195CC936">
            <w:pPr>
              <w:pStyle w:val="25"/>
              <w:spacing w:line="357" w:lineRule="auto"/>
            </w:pPr>
          </w:p>
          <w:p w14:paraId="75E314B6">
            <w:pPr>
              <w:pStyle w:val="25"/>
              <w:spacing w:line="358" w:lineRule="auto"/>
            </w:pPr>
          </w:p>
          <w:p w14:paraId="4817315B">
            <w:pPr>
              <w:spacing w:before="43" w:line="227" w:lineRule="auto"/>
              <w:ind w:left="591"/>
              <w:rPr>
                <w:rFonts w:ascii="宋体" w:hAnsi="宋体" w:eastAsia="宋体" w:cs="宋体"/>
                <w:sz w:val="13"/>
                <w:szCs w:val="13"/>
              </w:rPr>
            </w:pPr>
            <w:r>
              <w:rPr>
                <w:rFonts w:ascii="宋体" w:hAnsi="宋体" w:eastAsia="宋体" w:cs="宋体"/>
                <w:spacing w:val="-13"/>
                <w:w w:val="99"/>
                <w:sz w:val="13"/>
                <w:szCs w:val="13"/>
              </w:rPr>
              <w:t>客户需求</w:t>
            </w:r>
          </w:p>
          <w:p w14:paraId="42879758">
            <w:pPr>
              <w:spacing w:before="17" w:line="226" w:lineRule="auto"/>
              <w:ind w:left="590"/>
              <w:rPr>
                <w:rFonts w:ascii="宋体" w:hAnsi="宋体" w:eastAsia="宋体" w:cs="宋体"/>
                <w:sz w:val="13"/>
                <w:szCs w:val="13"/>
              </w:rPr>
            </w:pPr>
            <w:r>
              <w:rPr>
                <w:rFonts w:ascii="宋体" w:hAnsi="宋体" w:eastAsia="宋体" w:cs="宋体"/>
                <w:spacing w:val="-10"/>
                <w:w w:val="97"/>
                <w:sz w:val="13"/>
                <w:szCs w:val="13"/>
              </w:rPr>
              <w:t>服务变更</w:t>
            </w:r>
          </w:p>
          <w:p w14:paraId="688360BC">
            <w:pPr>
              <w:spacing w:before="18" w:line="226" w:lineRule="auto"/>
              <w:ind w:left="477"/>
              <w:rPr>
                <w:rFonts w:ascii="宋体" w:hAnsi="宋体" w:eastAsia="宋体" w:cs="宋体"/>
                <w:sz w:val="13"/>
                <w:szCs w:val="13"/>
              </w:rPr>
            </w:pPr>
            <w:r>
              <w:rPr>
                <w:rFonts w:ascii="宋体" w:hAnsi="宋体" w:eastAsia="宋体" w:cs="宋体"/>
                <w:spacing w:val="-11"/>
                <w:w w:val="97"/>
                <w:sz w:val="13"/>
                <w:szCs w:val="13"/>
              </w:rPr>
              <w:t>服务能力变动</w:t>
            </w:r>
          </w:p>
          <w:p w14:paraId="30E13468">
            <w:pPr>
              <w:spacing w:before="17" w:line="252" w:lineRule="auto"/>
              <w:ind w:left="589" w:right="482" w:hanging="108"/>
              <w:rPr>
                <w:rFonts w:ascii="宋体" w:hAnsi="宋体" w:eastAsia="宋体" w:cs="宋体"/>
                <w:sz w:val="13"/>
                <w:szCs w:val="13"/>
              </w:rPr>
            </w:pPr>
            <w:r>
              <w:rPr>
                <w:rFonts w:ascii="宋体" w:hAnsi="宋体" w:eastAsia="宋体" w:cs="宋体"/>
                <w:spacing w:val="-11"/>
                <w:w w:val="94"/>
                <w:sz w:val="13"/>
                <w:szCs w:val="13"/>
              </w:rPr>
              <w:t>资源支持变动</w:t>
            </w:r>
            <w:r>
              <w:rPr>
                <w:rFonts w:ascii="宋体" w:hAnsi="宋体" w:eastAsia="宋体" w:cs="宋体"/>
                <w:spacing w:val="-10"/>
                <w:w w:val="97"/>
                <w:sz w:val="13"/>
                <w:szCs w:val="13"/>
              </w:rPr>
              <w:t>服务增加</w:t>
            </w:r>
          </w:p>
          <w:p w14:paraId="282068E1">
            <w:pPr>
              <w:spacing w:line="226" w:lineRule="auto"/>
              <w:ind w:left="421"/>
              <w:rPr>
                <w:rFonts w:ascii="宋体" w:hAnsi="宋体" w:eastAsia="宋体" w:cs="宋体"/>
                <w:sz w:val="13"/>
                <w:szCs w:val="13"/>
              </w:rPr>
            </w:pPr>
            <w:r>
              <w:rPr>
                <w:rFonts w:ascii="宋体" w:hAnsi="宋体" w:eastAsia="宋体" w:cs="宋体"/>
                <w:spacing w:val="-16"/>
                <w:sz w:val="13"/>
                <w:szCs w:val="13"/>
              </w:rPr>
              <w:t>组织级服务目录</w:t>
            </w:r>
          </w:p>
        </w:tc>
        <w:tc>
          <w:tcPr>
            <w:tcW w:w="3027" w:type="dxa"/>
            <w:gridSpan w:val="2"/>
            <w:tcBorders>
              <w:bottom w:val="nil"/>
            </w:tcBorders>
          </w:tcPr>
          <w:p w14:paraId="6EF6713C">
            <w:pPr>
              <w:pStyle w:val="25"/>
              <w:spacing w:line="297" w:lineRule="auto"/>
            </w:pPr>
          </w:p>
          <w:p w14:paraId="3FD3EA88">
            <w:pPr>
              <w:pStyle w:val="25"/>
              <w:spacing w:line="298" w:lineRule="auto"/>
            </w:pPr>
          </w:p>
          <w:p w14:paraId="4A035339">
            <w:pPr>
              <w:spacing w:before="42" w:line="227" w:lineRule="auto"/>
              <w:ind w:left="1887"/>
              <w:rPr>
                <w:rFonts w:ascii="宋体" w:hAnsi="宋体" w:eastAsia="宋体" w:cs="宋体"/>
                <w:sz w:val="13"/>
                <w:szCs w:val="13"/>
              </w:rPr>
            </w:pPr>
            <w:r>
              <w:rPr>
                <w:rFonts w:ascii="宋体" w:hAnsi="宋体" w:eastAsia="宋体" w:cs="宋体"/>
                <w:spacing w:val="-12"/>
                <w:w w:val="97"/>
                <w:sz w:val="13"/>
                <w:szCs w:val="13"/>
              </w:rPr>
              <w:t>识别客户需求</w:t>
            </w:r>
          </w:p>
          <w:p w14:paraId="0888C71D">
            <w:pPr>
              <w:pStyle w:val="25"/>
              <w:spacing w:line="253" w:lineRule="auto"/>
            </w:pPr>
          </w:p>
          <w:p w14:paraId="73EE7371">
            <w:pPr>
              <w:pStyle w:val="25"/>
              <w:spacing w:line="254" w:lineRule="auto"/>
            </w:pPr>
          </w:p>
          <w:p w14:paraId="28C39CF9">
            <w:pPr>
              <w:spacing w:before="42" w:line="226" w:lineRule="auto"/>
              <w:ind w:left="1889"/>
              <w:rPr>
                <w:rFonts w:ascii="宋体" w:hAnsi="宋体" w:eastAsia="宋体" w:cs="宋体"/>
                <w:sz w:val="13"/>
                <w:szCs w:val="13"/>
              </w:rPr>
            </w:pPr>
            <w:r>
              <w:rPr>
                <w:rFonts w:ascii="宋体" w:hAnsi="宋体" w:eastAsia="宋体" w:cs="宋体"/>
                <w:spacing w:val="-12"/>
                <w:w w:val="97"/>
                <w:sz w:val="13"/>
                <w:szCs w:val="13"/>
              </w:rPr>
              <w:t>定义服务级别</w:t>
            </w:r>
          </w:p>
          <w:p w14:paraId="0D9EF11F">
            <w:pPr>
              <w:spacing w:before="117" w:line="227" w:lineRule="auto"/>
              <w:ind w:left="405"/>
              <w:rPr>
                <w:rFonts w:ascii="宋体" w:hAnsi="宋体" w:eastAsia="宋体" w:cs="宋体"/>
                <w:sz w:val="13"/>
                <w:szCs w:val="13"/>
              </w:rPr>
            </w:pPr>
            <w:r>
              <w:rPr>
                <w:rFonts w:ascii="宋体" w:hAnsi="宋体" w:eastAsia="宋体" w:cs="宋体"/>
                <w:spacing w:val="-13"/>
                <w:w w:val="98"/>
                <w:sz w:val="13"/>
                <w:szCs w:val="13"/>
              </w:rPr>
              <w:t>调整下一周期的</w:t>
            </w:r>
          </w:p>
          <w:p w14:paraId="1D060A10">
            <w:pPr>
              <w:spacing w:before="23" w:line="187" w:lineRule="auto"/>
              <w:ind w:left="716"/>
              <w:rPr>
                <w:rFonts w:ascii="宋体" w:hAnsi="宋体" w:eastAsia="宋体" w:cs="宋体"/>
                <w:sz w:val="13"/>
                <w:szCs w:val="13"/>
              </w:rPr>
            </w:pPr>
            <w:r>
              <w:rPr>
                <w:rFonts w:ascii="宋体" w:hAnsi="宋体" w:eastAsia="宋体" w:cs="宋体"/>
                <w:spacing w:val="-8"/>
                <w:sz w:val="13"/>
                <w:szCs w:val="13"/>
              </w:rPr>
              <w:t>SLA</w:t>
            </w:r>
          </w:p>
        </w:tc>
        <w:tc>
          <w:tcPr>
            <w:tcW w:w="2271" w:type="dxa"/>
            <w:vMerge w:val="restart"/>
            <w:tcBorders>
              <w:bottom w:val="nil"/>
            </w:tcBorders>
          </w:tcPr>
          <w:p w14:paraId="32B99165">
            <w:pPr>
              <w:pStyle w:val="25"/>
            </w:pPr>
          </w:p>
        </w:tc>
        <w:tc>
          <w:tcPr>
            <w:tcW w:w="1808" w:type="dxa"/>
            <w:vMerge w:val="restart"/>
            <w:tcBorders>
              <w:bottom w:val="nil"/>
            </w:tcBorders>
          </w:tcPr>
          <w:p w14:paraId="12567F67">
            <w:pPr>
              <w:pStyle w:val="25"/>
              <w:spacing w:line="269" w:lineRule="auto"/>
            </w:pPr>
          </w:p>
          <w:p w14:paraId="14BCC8CF">
            <w:pPr>
              <w:pStyle w:val="25"/>
              <w:spacing w:line="269" w:lineRule="auto"/>
            </w:pPr>
          </w:p>
          <w:p w14:paraId="6E43C7D3">
            <w:pPr>
              <w:spacing w:before="43" w:line="226" w:lineRule="auto"/>
              <w:ind w:left="481"/>
              <w:rPr>
                <w:rFonts w:ascii="宋体" w:hAnsi="宋体" w:eastAsia="宋体" w:cs="宋体"/>
                <w:sz w:val="13"/>
                <w:szCs w:val="13"/>
              </w:rPr>
            </w:pPr>
            <w:r>
              <w:rPr>
                <w:rFonts w:ascii="宋体" w:hAnsi="宋体" w:eastAsia="宋体" w:cs="宋体"/>
                <w:spacing w:val="-16"/>
                <w:sz w:val="13"/>
                <w:szCs w:val="13"/>
              </w:rPr>
              <w:t>项目级服务目录</w:t>
            </w:r>
          </w:p>
          <w:p w14:paraId="30D20FE7">
            <w:pPr>
              <w:pStyle w:val="25"/>
              <w:spacing w:line="255" w:lineRule="auto"/>
            </w:pPr>
          </w:p>
          <w:p w14:paraId="11D56CB4">
            <w:pPr>
              <w:pStyle w:val="25"/>
              <w:spacing w:line="256" w:lineRule="auto"/>
            </w:pPr>
          </w:p>
          <w:p w14:paraId="18E14BEC">
            <w:pPr>
              <w:spacing w:before="42" w:line="226" w:lineRule="auto"/>
              <w:ind w:left="536"/>
              <w:rPr>
                <w:rFonts w:ascii="宋体" w:hAnsi="宋体" w:eastAsia="宋体" w:cs="宋体"/>
                <w:sz w:val="13"/>
                <w:szCs w:val="13"/>
              </w:rPr>
            </w:pPr>
            <w:r>
              <w:rPr>
                <w:rFonts w:ascii="宋体" w:hAnsi="宋体" w:eastAsia="宋体" w:cs="宋体"/>
                <w:spacing w:val="-11"/>
                <w:w w:val="97"/>
                <w:sz w:val="13"/>
                <w:szCs w:val="13"/>
              </w:rPr>
              <w:t>服务级别协议</w:t>
            </w:r>
          </w:p>
          <w:p w14:paraId="485808D0">
            <w:pPr>
              <w:pStyle w:val="25"/>
              <w:spacing w:line="279" w:lineRule="auto"/>
            </w:pPr>
          </w:p>
          <w:p w14:paraId="0587585A">
            <w:pPr>
              <w:spacing w:before="42" w:line="226" w:lineRule="auto"/>
              <w:ind w:firstLine="612" w:firstLineChars="600"/>
              <w:rPr>
                <w:rFonts w:ascii="宋体" w:hAnsi="宋体" w:eastAsia="宋体" w:cs="宋体"/>
                <w:spacing w:val="-14"/>
                <w:sz w:val="13"/>
                <w:szCs w:val="13"/>
              </w:rPr>
            </w:pPr>
          </w:p>
          <w:p w14:paraId="253A0E7B">
            <w:pPr>
              <w:spacing w:before="42" w:line="226" w:lineRule="auto"/>
              <w:ind w:firstLine="612" w:firstLineChars="600"/>
              <w:rPr>
                <w:rFonts w:ascii="宋体" w:hAnsi="宋体" w:eastAsia="宋体" w:cs="宋体"/>
                <w:sz w:val="13"/>
                <w:szCs w:val="13"/>
              </w:rPr>
            </w:pPr>
            <w:r>
              <w:rPr>
                <w:rFonts w:ascii="宋体" w:hAnsi="宋体" w:eastAsia="宋体" w:cs="宋体"/>
                <w:spacing w:val="-14"/>
                <w:sz w:val="13"/>
                <w:szCs w:val="13"/>
              </w:rPr>
              <w:t>服务合同</w:t>
            </w:r>
          </w:p>
          <w:p w14:paraId="3122D43E">
            <w:pPr>
              <w:pStyle w:val="25"/>
              <w:spacing w:line="267" w:lineRule="auto"/>
            </w:pPr>
          </w:p>
          <w:p w14:paraId="037D89F3">
            <w:pPr>
              <w:spacing w:before="42" w:line="226" w:lineRule="auto"/>
              <w:ind w:firstLine="612" w:firstLineChars="600"/>
              <w:rPr>
                <w:rFonts w:ascii="宋体" w:hAnsi="宋体" w:eastAsia="宋体" w:cs="宋体"/>
                <w:spacing w:val="-14"/>
                <w:sz w:val="13"/>
                <w:szCs w:val="13"/>
              </w:rPr>
            </w:pPr>
          </w:p>
          <w:p w14:paraId="191B7ADE">
            <w:pPr>
              <w:spacing w:before="42" w:line="226" w:lineRule="auto"/>
              <w:ind w:firstLine="612" w:firstLineChars="600"/>
              <w:rPr>
                <w:rFonts w:ascii="宋体" w:hAnsi="宋体" w:eastAsia="宋体" w:cs="宋体"/>
                <w:sz w:val="13"/>
                <w:szCs w:val="13"/>
              </w:rPr>
            </w:pPr>
            <w:r>
              <w:rPr>
                <w:rFonts w:ascii="宋体" w:hAnsi="宋体" w:eastAsia="宋体" w:cs="宋体"/>
                <w:spacing w:val="-14"/>
                <w:sz w:val="13"/>
                <w:szCs w:val="13"/>
              </w:rPr>
              <w:t>支持合同</w:t>
            </w:r>
          </w:p>
        </w:tc>
      </w:tr>
      <w:tr w14:paraId="2ED67F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23" w:hRule="atLeast"/>
        </w:trPr>
        <w:tc>
          <w:tcPr>
            <w:tcW w:w="416" w:type="dxa"/>
            <w:vMerge w:val="continue"/>
            <w:tcBorders>
              <w:top w:val="nil"/>
              <w:left w:val="single" w:color="000000" w:sz="4" w:space="0"/>
              <w:bottom w:val="dashed" w:color="000000" w:sz="14" w:space="0"/>
              <w:right w:val="single" w:color="000000" w:sz="4" w:space="0"/>
            </w:tcBorders>
            <w:textDirection w:val="btLr"/>
          </w:tcPr>
          <w:p w14:paraId="0B655B62">
            <w:pPr>
              <w:pStyle w:val="25"/>
            </w:pPr>
          </w:p>
        </w:tc>
        <w:tc>
          <w:tcPr>
            <w:tcW w:w="1642" w:type="dxa"/>
            <w:vMerge w:val="continue"/>
            <w:tcBorders>
              <w:top w:val="nil"/>
              <w:left w:val="single" w:color="000000" w:sz="4" w:space="0"/>
              <w:bottom w:val="dashed" w:color="000000" w:sz="14" w:space="0"/>
            </w:tcBorders>
          </w:tcPr>
          <w:p w14:paraId="2CB50B40">
            <w:pPr>
              <w:pStyle w:val="25"/>
            </w:pPr>
          </w:p>
        </w:tc>
        <w:tc>
          <w:tcPr>
            <w:tcW w:w="1488" w:type="dxa"/>
            <w:tcBorders>
              <w:top w:val="nil"/>
              <w:bottom w:val="dashed" w:color="000000" w:sz="14" w:space="0"/>
              <w:right w:val="nil"/>
            </w:tcBorders>
          </w:tcPr>
          <w:p w14:paraId="04A3AA8F">
            <w:pPr>
              <w:pStyle w:val="25"/>
              <w:spacing w:line="349" w:lineRule="auto"/>
            </w:pPr>
          </w:p>
          <w:p w14:paraId="59CE7BD1">
            <w:pPr>
              <w:spacing w:before="42" w:line="225" w:lineRule="auto"/>
              <w:ind w:left="415"/>
              <w:rPr>
                <w:rFonts w:ascii="宋体" w:hAnsi="宋体" w:eastAsia="宋体" w:cs="宋体"/>
                <w:sz w:val="13"/>
                <w:szCs w:val="13"/>
              </w:rPr>
            </w:pPr>
            <w:r>
              <w:rPr>
                <w:rFonts w:ascii="宋体" w:hAnsi="宋体" w:eastAsia="宋体" w:cs="宋体"/>
                <w:spacing w:val="-11"/>
                <w:w w:val="95"/>
                <w:sz w:val="13"/>
                <w:szCs w:val="13"/>
              </w:rPr>
              <w:t>同客户进行评价</w:t>
            </w:r>
          </w:p>
        </w:tc>
        <w:tc>
          <w:tcPr>
            <w:tcW w:w="1539" w:type="dxa"/>
            <w:tcBorders>
              <w:top w:val="nil"/>
              <w:left w:val="nil"/>
              <w:bottom w:val="dashed" w:color="000000" w:sz="14" w:space="0"/>
            </w:tcBorders>
          </w:tcPr>
          <w:p w14:paraId="4E27EC21">
            <w:pPr>
              <w:pStyle w:val="25"/>
              <w:spacing w:line="244" w:lineRule="auto"/>
            </w:pPr>
          </w:p>
          <w:p w14:paraId="36DE9CC5">
            <w:pPr>
              <w:spacing w:before="43" w:line="231" w:lineRule="auto"/>
              <w:ind w:left="289" w:right="347" w:firstLine="27"/>
              <w:rPr>
                <w:rFonts w:ascii="宋体" w:hAnsi="宋体" w:eastAsia="宋体" w:cs="宋体"/>
                <w:sz w:val="13"/>
                <w:szCs w:val="13"/>
              </w:rPr>
            </w:pPr>
            <w:r>
              <w:rPr>
                <w:rFonts w:ascii="宋体" w:hAnsi="宋体" w:eastAsia="宋体" w:cs="宋体"/>
                <w:spacing w:val="-12"/>
                <w:sz w:val="13"/>
                <w:szCs w:val="13"/>
              </w:rPr>
              <w:t>SLA签约：协商、</w:t>
            </w:r>
            <w:r>
              <w:rPr>
                <w:rFonts w:ascii="宋体" w:hAnsi="宋体" w:eastAsia="宋体" w:cs="宋体"/>
                <w:spacing w:val="-14"/>
                <w:w w:val="97"/>
                <w:sz w:val="13"/>
                <w:szCs w:val="13"/>
              </w:rPr>
              <w:t>草拟、修订、终止</w:t>
            </w:r>
          </w:p>
        </w:tc>
        <w:tc>
          <w:tcPr>
            <w:tcW w:w="2271" w:type="dxa"/>
            <w:vMerge w:val="continue"/>
            <w:tcBorders>
              <w:top w:val="nil"/>
              <w:bottom w:val="dashed" w:color="000000" w:sz="14" w:space="0"/>
            </w:tcBorders>
          </w:tcPr>
          <w:p w14:paraId="78B6EB8B">
            <w:pPr>
              <w:pStyle w:val="25"/>
            </w:pPr>
          </w:p>
        </w:tc>
        <w:tc>
          <w:tcPr>
            <w:tcW w:w="1808" w:type="dxa"/>
            <w:vMerge w:val="continue"/>
            <w:tcBorders>
              <w:top w:val="nil"/>
              <w:bottom w:val="dashed" w:color="000000" w:sz="14" w:space="0"/>
            </w:tcBorders>
          </w:tcPr>
          <w:p w14:paraId="5BC9397D">
            <w:pPr>
              <w:pStyle w:val="25"/>
            </w:pPr>
          </w:p>
        </w:tc>
      </w:tr>
      <w:tr w14:paraId="4410A2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53" w:hRule="atLeast"/>
        </w:trPr>
        <w:tc>
          <w:tcPr>
            <w:tcW w:w="416" w:type="dxa"/>
            <w:tcBorders>
              <w:top w:val="dashed" w:color="000000" w:sz="14" w:space="0"/>
              <w:left w:val="single" w:color="000000" w:sz="4" w:space="0"/>
              <w:bottom w:val="dashed" w:color="000000" w:sz="14" w:space="0"/>
              <w:right w:val="single" w:color="000000" w:sz="4" w:space="0"/>
            </w:tcBorders>
            <w:textDirection w:val="btLr"/>
          </w:tcPr>
          <w:p w14:paraId="2FD20A21">
            <w:pPr>
              <w:spacing w:before="125" w:line="231" w:lineRule="auto"/>
              <w:ind w:left="94"/>
              <w:rPr>
                <w:rFonts w:ascii="宋体" w:hAnsi="宋体" w:eastAsia="宋体" w:cs="宋体"/>
                <w:sz w:val="16"/>
                <w:szCs w:val="16"/>
              </w:rPr>
            </w:pPr>
            <w:r>
              <w:rPr>
                <w:rFonts w:ascii="宋体" w:hAnsi="宋体" w:eastAsia="宋体" w:cs="宋体"/>
                <w:spacing w:val="15"/>
                <w:w w:val="116"/>
                <w:sz w:val="16"/>
                <w:szCs w:val="16"/>
              </w:rPr>
              <w:t>服务级别监控阶段</w:t>
            </w:r>
          </w:p>
        </w:tc>
        <w:tc>
          <w:tcPr>
            <w:tcW w:w="1642" w:type="dxa"/>
            <w:tcBorders>
              <w:top w:val="dashed" w:color="000000" w:sz="14" w:space="0"/>
              <w:left w:val="single" w:color="000000" w:sz="4" w:space="0"/>
              <w:bottom w:val="dashed" w:color="000000" w:sz="14" w:space="0"/>
            </w:tcBorders>
          </w:tcPr>
          <w:p w14:paraId="437D3857">
            <w:pPr>
              <w:pStyle w:val="25"/>
            </w:pPr>
          </w:p>
        </w:tc>
        <w:tc>
          <w:tcPr>
            <w:tcW w:w="3027" w:type="dxa"/>
            <w:gridSpan w:val="2"/>
            <w:tcBorders>
              <w:top w:val="dashed" w:color="000000" w:sz="14" w:space="0"/>
              <w:bottom w:val="dashed" w:color="000000" w:sz="14" w:space="0"/>
            </w:tcBorders>
          </w:tcPr>
          <w:p w14:paraId="64A4A892">
            <w:pPr>
              <w:pStyle w:val="25"/>
            </w:pPr>
          </w:p>
        </w:tc>
        <w:tc>
          <w:tcPr>
            <w:tcW w:w="2271" w:type="dxa"/>
            <w:tcBorders>
              <w:top w:val="dashed" w:color="000000" w:sz="14" w:space="0"/>
              <w:bottom w:val="dashed" w:color="000000" w:sz="14" w:space="0"/>
            </w:tcBorders>
          </w:tcPr>
          <w:p w14:paraId="05CAFA53">
            <w:pPr>
              <w:pStyle w:val="25"/>
              <w:spacing w:line="342" w:lineRule="auto"/>
            </w:pPr>
          </w:p>
          <w:p w14:paraId="0FB496BA">
            <w:pPr>
              <w:pStyle w:val="25"/>
              <w:spacing w:line="342" w:lineRule="auto"/>
            </w:pPr>
          </w:p>
          <w:p w14:paraId="00B5DCA1">
            <w:pPr>
              <w:spacing w:before="42" w:line="226" w:lineRule="auto"/>
              <w:ind w:left="942"/>
              <w:rPr>
                <w:rFonts w:ascii="宋体" w:hAnsi="宋体" w:eastAsia="宋体" w:cs="宋体"/>
                <w:sz w:val="13"/>
                <w:szCs w:val="13"/>
              </w:rPr>
            </w:pPr>
            <w:r>
              <w:rPr>
                <w:rFonts w:ascii="宋体" w:hAnsi="宋体" w:eastAsia="宋体" w:cs="宋体"/>
                <w:spacing w:val="-10"/>
                <w:w w:val="96"/>
                <w:sz w:val="13"/>
                <w:szCs w:val="13"/>
              </w:rPr>
              <w:t>服务级别监控</w:t>
            </w:r>
          </w:p>
        </w:tc>
        <w:tc>
          <w:tcPr>
            <w:tcW w:w="1808" w:type="dxa"/>
            <w:tcBorders>
              <w:top w:val="dashed" w:color="000000" w:sz="14" w:space="0"/>
              <w:bottom w:val="dashed" w:color="000000" w:sz="14" w:space="0"/>
            </w:tcBorders>
          </w:tcPr>
          <w:p w14:paraId="30F8158D">
            <w:pPr>
              <w:pStyle w:val="25"/>
              <w:spacing w:line="315" w:lineRule="auto"/>
            </w:pPr>
          </w:p>
          <w:p w14:paraId="23F44186">
            <w:pPr>
              <w:pStyle w:val="25"/>
              <w:spacing w:line="316" w:lineRule="auto"/>
            </w:pPr>
          </w:p>
          <w:p w14:paraId="3763F0BA">
            <w:pPr>
              <w:spacing w:before="42" w:line="225" w:lineRule="auto"/>
              <w:ind w:left="674"/>
              <w:rPr>
                <w:rFonts w:ascii="宋体" w:hAnsi="宋体" w:eastAsia="宋体" w:cs="宋体"/>
                <w:sz w:val="13"/>
                <w:szCs w:val="13"/>
              </w:rPr>
            </w:pPr>
            <w:r>
              <w:rPr>
                <w:rFonts w:ascii="宋体" w:hAnsi="宋体" w:eastAsia="宋体" w:cs="宋体"/>
                <w:spacing w:val="-10"/>
                <w:w w:val="97"/>
                <w:sz w:val="13"/>
                <w:szCs w:val="13"/>
              </w:rPr>
              <w:t>服务报告</w:t>
            </w:r>
          </w:p>
        </w:tc>
      </w:tr>
      <w:tr w14:paraId="1655BF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31" w:hRule="atLeast"/>
        </w:trPr>
        <w:tc>
          <w:tcPr>
            <w:tcW w:w="416" w:type="dxa"/>
            <w:tcBorders>
              <w:top w:val="dashed" w:color="000000" w:sz="14" w:space="0"/>
              <w:left w:val="single" w:color="000000" w:sz="4" w:space="0"/>
              <w:bottom w:val="single" w:color="000000" w:sz="4" w:space="0"/>
              <w:right w:val="single" w:color="000000" w:sz="4" w:space="0"/>
            </w:tcBorders>
            <w:textDirection w:val="btLr"/>
          </w:tcPr>
          <w:p w14:paraId="7649D64C">
            <w:pPr>
              <w:spacing w:before="125" w:line="231" w:lineRule="auto"/>
              <w:ind w:left="136"/>
              <w:rPr>
                <w:rFonts w:ascii="宋体" w:hAnsi="宋体" w:eastAsia="宋体" w:cs="宋体"/>
                <w:sz w:val="16"/>
                <w:szCs w:val="16"/>
              </w:rPr>
            </w:pPr>
            <w:r>
              <w:rPr>
                <w:rFonts w:ascii="宋体" w:hAnsi="宋体" w:eastAsia="宋体" w:cs="宋体"/>
                <w:spacing w:val="15"/>
                <w:w w:val="116"/>
                <w:sz w:val="16"/>
                <w:szCs w:val="16"/>
              </w:rPr>
              <w:t>服务级别评审阶段</w:t>
            </w:r>
          </w:p>
        </w:tc>
        <w:tc>
          <w:tcPr>
            <w:tcW w:w="1642" w:type="dxa"/>
            <w:tcBorders>
              <w:top w:val="dashed" w:color="000000" w:sz="14" w:space="0"/>
              <w:left w:val="single" w:color="000000" w:sz="4" w:space="0"/>
            </w:tcBorders>
          </w:tcPr>
          <w:p w14:paraId="3EA2D57F">
            <w:pPr>
              <w:pStyle w:val="25"/>
            </w:pPr>
          </w:p>
        </w:tc>
        <w:tc>
          <w:tcPr>
            <w:tcW w:w="3027" w:type="dxa"/>
            <w:gridSpan w:val="2"/>
            <w:tcBorders>
              <w:top w:val="dashed" w:color="000000" w:sz="14" w:space="0"/>
            </w:tcBorders>
          </w:tcPr>
          <w:p w14:paraId="65FB6074">
            <w:pPr>
              <w:pStyle w:val="25"/>
            </w:pPr>
          </w:p>
        </w:tc>
        <w:tc>
          <w:tcPr>
            <w:tcW w:w="2271" w:type="dxa"/>
            <w:tcBorders>
              <w:top w:val="dashed" w:color="000000" w:sz="14" w:space="0"/>
            </w:tcBorders>
          </w:tcPr>
          <w:p w14:paraId="4F2DAF9E">
            <w:pPr>
              <w:pStyle w:val="25"/>
              <w:spacing w:line="284" w:lineRule="auto"/>
            </w:pPr>
          </w:p>
          <w:p w14:paraId="5D2A8FC2">
            <w:pPr>
              <w:pStyle w:val="25"/>
              <w:spacing w:line="284" w:lineRule="auto"/>
            </w:pPr>
          </w:p>
          <w:p w14:paraId="5F3499B3">
            <w:pPr>
              <w:pStyle w:val="25"/>
              <w:spacing w:line="284" w:lineRule="auto"/>
            </w:pPr>
          </w:p>
          <w:p w14:paraId="18009F46">
            <w:pPr>
              <w:spacing w:before="43" w:line="226" w:lineRule="auto"/>
              <w:ind w:left="942"/>
              <w:rPr>
                <w:rFonts w:ascii="宋体" w:hAnsi="宋体" w:eastAsia="宋体" w:cs="宋体"/>
                <w:sz w:val="13"/>
                <w:szCs w:val="13"/>
              </w:rPr>
            </w:pPr>
            <w:r>
              <w:rPr>
                <w:rFonts w:ascii="宋体" w:hAnsi="宋体" w:eastAsia="宋体" w:cs="宋体"/>
                <w:spacing w:val="-12"/>
                <w:w w:val="97"/>
                <w:sz w:val="13"/>
                <w:szCs w:val="13"/>
              </w:rPr>
              <w:t>服务级别评审</w:t>
            </w:r>
          </w:p>
        </w:tc>
        <w:tc>
          <w:tcPr>
            <w:tcW w:w="1808" w:type="dxa"/>
            <w:tcBorders>
              <w:top w:val="dashed" w:color="000000" w:sz="14" w:space="0"/>
            </w:tcBorders>
          </w:tcPr>
          <w:p w14:paraId="7258DBC9">
            <w:pPr>
              <w:pStyle w:val="25"/>
              <w:spacing w:line="266" w:lineRule="auto"/>
            </w:pPr>
          </w:p>
          <w:p w14:paraId="467507F0">
            <w:pPr>
              <w:pStyle w:val="25"/>
              <w:spacing w:line="267" w:lineRule="auto"/>
            </w:pPr>
          </w:p>
          <w:p w14:paraId="53755CA5">
            <w:pPr>
              <w:pStyle w:val="25"/>
              <w:spacing w:line="267" w:lineRule="auto"/>
            </w:pPr>
          </w:p>
          <w:p w14:paraId="799891BB">
            <w:pPr>
              <w:spacing w:before="42" w:line="226" w:lineRule="auto"/>
              <w:ind w:left="448"/>
              <w:rPr>
                <w:rFonts w:ascii="宋体" w:hAnsi="宋体" w:eastAsia="宋体" w:cs="宋体"/>
                <w:sz w:val="13"/>
                <w:szCs w:val="13"/>
              </w:rPr>
            </w:pPr>
            <w:r>
              <w:rPr>
                <w:rFonts w:ascii="宋体" w:hAnsi="宋体" w:eastAsia="宋体" w:cs="宋体"/>
                <w:spacing w:val="-11"/>
                <w:w w:val="96"/>
                <w:sz w:val="13"/>
                <w:szCs w:val="13"/>
              </w:rPr>
              <w:t>服务级别评审记录</w:t>
            </w:r>
          </w:p>
        </w:tc>
      </w:tr>
    </w:tbl>
    <w:p w14:paraId="58426857">
      <w:pPr>
        <w:spacing w:before="156" w:line="220" w:lineRule="auto"/>
        <w:ind w:left="3105"/>
        <w:rPr>
          <w:rFonts w:ascii="宋体" w:hAnsi="宋体" w:eastAsia="宋体" w:cs="宋体"/>
          <w:sz w:val="18"/>
          <w:szCs w:val="18"/>
        </w:rPr>
      </w:pPr>
      <w:r>
        <w:rPr>
          <w:rFonts w:ascii="宋体" w:hAnsi="宋体" w:eastAsia="宋体" w:cs="宋体"/>
          <w:b/>
          <w:bCs/>
          <w:spacing w:val="-4"/>
          <w:sz w:val="18"/>
          <w:szCs w:val="18"/>
        </w:rPr>
        <w:t>图</w:t>
      </w:r>
      <w:r>
        <w:rPr>
          <w:rFonts w:ascii="宋体" w:hAnsi="宋体" w:eastAsia="宋体" w:cs="宋体"/>
          <w:spacing w:val="-26"/>
          <w:sz w:val="18"/>
          <w:szCs w:val="18"/>
        </w:rPr>
        <w:t xml:space="preserve"> </w:t>
      </w:r>
      <w:r>
        <w:rPr>
          <w:rFonts w:ascii="Calibri Light" w:hAnsi="Calibri Light" w:eastAsia="Calibri Light" w:cs="Calibri Light"/>
          <w:b/>
          <w:bCs/>
          <w:spacing w:val="-4"/>
          <w:sz w:val="18"/>
          <w:szCs w:val="18"/>
        </w:rPr>
        <w:t>5-1</w:t>
      </w:r>
      <w:r>
        <w:rPr>
          <w:rFonts w:ascii="Calibri Light" w:hAnsi="Calibri Light" w:eastAsia="Calibri Light" w:cs="Calibri Light"/>
          <w:spacing w:val="-4"/>
          <w:sz w:val="18"/>
          <w:szCs w:val="18"/>
        </w:rPr>
        <w:t xml:space="preserve">  </w:t>
      </w:r>
      <w:r>
        <w:rPr>
          <w:rFonts w:ascii="宋体" w:hAnsi="宋体" w:eastAsia="宋体" w:cs="宋体"/>
          <w:b/>
          <w:bCs/>
          <w:spacing w:val="-4"/>
          <w:sz w:val="18"/>
          <w:szCs w:val="18"/>
        </w:rPr>
        <w:t>服务级别管理流程图</w:t>
      </w:r>
    </w:p>
    <w:p w14:paraId="4EEF1369">
      <w:pPr>
        <w:pStyle w:val="28"/>
        <w:bidi w:val="0"/>
      </w:pPr>
      <w:bookmarkStart w:id="16" w:name="_Toc28866"/>
      <w:r>
        <w:t>活动说明</w:t>
      </w:r>
      <w:bookmarkEnd w:id="16"/>
    </w:p>
    <w:p w14:paraId="5A7F7E8F">
      <w:pPr>
        <w:pStyle w:val="29"/>
        <w:bidi w:val="0"/>
      </w:pPr>
      <w:bookmarkStart w:id="17" w:name="_Toc19470"/>
      <w:r>
        <w:t>识别客户需求</w:t>
      </w:r>
      <w:bookmarkEnd w:id="17"/>
    </w:p>
    <w:p w14:paraId="16B896CB">
      <w:pPr>
        <w:pStyle w:val="27"/>
        <w:bidi w:val="0"/>
      </w:pPr>
      <w:r>
        <w:rPr>
          <w:rFonts w:hint="eastAsia"/>
          <w:lang w:val="en-US" w:eastAsia="zh-CN"/>
        </w:rPr>
        <w:t>运维</w:t>
      </w:r>
      <w:r>
        <w:t>项目经理通过与客户沟通（如会议、访谈等方式）收集客户对服务管理和质量的要求和期望，进行描述和整理，形成《会议纪要》。</w:t>
      </w:r>
    </w:p>
    <w:p w14:paraId="638801B4">
      <w:pPr>
        <w:pStyle w:val="29"/>
        <w:bidi w:val="0"/>
      </w:pPr>
      <w:bookmarkStart w:id="18" w:name="_Toc22891"/>
      <w:r>
        <w:t>定义服务级别</w:t>
      </w:r>
      <w:bookmarkEnd w:id="18"/>
    </w:p>
    <w:p w14:paraId="77D9D20D">
      <w:pPr>
        <w:pStyle w:val="27"/>
        <w:bidi w:val="0"/>
      </w:pPr>
      <w:r>
        <w:rPr>
          <w:rFonts w:hint="eastAsia"/>
          <w:lang w:val="en-US" w:eastAsia="zh-CN"/>
        </w:rPr>
        <w:t>运维</w:t>
      </w:r>
      <w:r>
        <w:t>项目经理通过根据客户需求进行服务需求和期望进行详细分析，形成《服务级别协议》草案，和客户进行确认，以满足客户的要求。常规的 SLA 中所包含的内容：</w:t>
      </w:r>
    </w:p>
    <w:p w14:paraId="4CD86C4B">
      <w:pPr>
        <w:pStyle w:val="39"/>
        <w:numPr>
          <w:ilvl w:val="0"/>
          <w:numId w:val="8"/>
        </w:numPr>
        <w:bidi w:val="0"/>
      </w:pPr>
      <w:r>
        <w:t>服务概述；</w:t>
      </w:r>
    </w:p>
    <w:p w14:paraId="4B5AC2FA">
      <w:pPr>
        <w:pStyle w:val="39"/>
        <w:numPr>
          <w:ilvl w:val="0"/>
          <w:numId w:val="8"/>
        </w:numPr>
        <w:bidi w:val="0"/>
      </w:pPr>
      <w:r>
        <w:t>服务周期和服务时间；</w:t>
      </w:r>
    </w:p>
    <w:p w14:paraId="740D623A">
      <w:pPr>
        <w:pStyle w:val="39"/>
        <w:numPr>
          <w:ilvl w:val="0"/>
          <w:numId w:val="8"/>
        </w:numPr>
        <w:bidi w:val="0"/>
      </w:pPr>
      <w:r>
        <w:t>服务范围；</w:t>
      </w:r>
    </w:p>
    <w:p w14:paraId="49C1557C">
      <w:pPr>
        <w:pStyle w:val="39"/>
        <w:numPr>
          <w:ilvl w:val="0"/>
          <w:numId w:val="8"/>
        </w:numPr>
        <w:bidi w:val="0"/>
      </w:pPr>
      <w:r>
        <w:t>双方职责和义务；</w:t>
      </w:r>
    </w:p>
    <w:p w14:paraId="2CB65046">
      <w:pPr>
        <w:pStyle w:val="39"/>
        <w:numPr>
          <w:ilvl w:val="0"/>
          <w:numId w:val="8"/>
        </w:numPr>
        <w:bidi w:val="0"/>
      </w:pPr>
      <w:r>
        <w:t>考核指标（即服务要达到的目标，如响应时间、可用性等）；</w:t>
      </w:r>
    </w:p>
    <w:p w14:paraId="5610804E">
      <w:pPr>
        <w:pStyle w:val="39"/>
        <w:numPr>
          <w:ilvl w:val="0"/>
          <w:numId w:val="8"/>
        </w:numPr>
        <w:bidi w:val="0"/>
      </w:pPr>
      <w:r>
        <w:t>服务费用；</w:t>
      </w:r>
    </w:p>
    <w:p w14:paraId="4BBB6185">
      <w:pPr>
        <w:pStyle w:val="39"/>
        <w:numPr>
          <w:ilvl w:val="0"/>
          <w:numId w:val="8"/>
        </w:numPr>
        <w:bidi w:val="0"/>
      </w:pPr>
      <w:r>
        <w:t>设备清单。</w:t>
      </w:r>
    </w:p>
    <w:p w14:paraId="02C88309">
      <w:pPr>
        <w:pStyle w:val="29"/>
        <w:bidi w:val="0"/>
      </w:pPr>
      <w:bookmarkStart w:id="19" w:name="_Toc6021"/>
      <w:r>
        <w:t>SLA的签订</w:t>
      </w:r>
      <w:bookmarkEnd w:id="19"/>
    </w:p>
    <w:p w14:paraId="45425ECE">
      <w:pPr>
        <w:pStyle w:val="27"/>
        <w:bidi w:val="0"/>
      </w:pPr>
      <w:r>
        <w:rPr>
          <w:rFonts w:hint="eastAsia"/>
          <w:lang w:val="en-US" w:eastAsia="zh-CN"/>
        </w:rPr>
        <w:t>运维</w:t>
      </w:r>
      <w:r>
        <w:t>项目经理根据服务级别协议提出详细的项目级服务目录。</w:t>
      </w:r>
    </w:p>
    <w:p w14:paraId="4AF9F37E">
      <w:pPr>
        <w:pStyle w:val="27"/>
        <w:bidi w:val="0"/>
      </w:pPr>
      <w:r>
        <w:t>项目级服务目录尽量避免技术术语，而使用一些符合相关业务的术语；尽量从客户的角度看待问题。通过协商、草拟、修订，完成SLA的签订。</w:t>
      </w:r>
    </w:p>
    <w:p w14:paraId="727D8BF3">
      <w:pPr>
        <w:pStyle w:val="29"/>
        <w:bidi w:val="0"/>
      </w:pPr>
      <w:bookmarkStart w:id="20" w:name="_Toc7896"/>
      <w:r>
        <w:t>SLA的实施和监控</w:t>
      </w:r>
      <w:bookmarkEnd w:id="20"/>
    </w:p>
    <w:p w14:paraId="5C6D9E69">
      <w:pPr>
        <w:pStyle w:val="27"/>
        <w:bidi w:val="0"/>
      </w:pPr>
      <w:r>
        <w:t>服务级别协议签署并开通服务之后，由服务级别经理建立和监测机制，并按照确立的监控机制制定《服务级别管理监控记录表》以对我方提供的运维服务进行相关数据采集，判断服务过程中是否存在违背服务级别协议的内容，如有，请记录。</w:t>
      </w:r>
    </w:p>
    <w:p w14:paraId="25BF1023">
      <w:pPr>
        <w:pStyle w:val="29"/>
        <w:bidi w:val="0"/>
      </w:pPr>
      <w:bookmarkStart w:id="21" w:name="_Toc10089"/>
      <w:r>
        <w:t>服务级别评审</w:t>
      </w:r>
      <w:bookmarkEnd w:id="21"/>
    </w:p>
    <w:p w14:paraId="25691AEE">
      <w:pPr>
        <w:pStyle w:val="27"/>
        <w:bidi w:val="0"/>
      </w:pPr>
      <w:r>
        <w:t>服务级别经理依据服务级别管理监控，组织召开 SLA 评审会议，回顾和总结检查服务级别的履行状况，形成服务改进方案和措施，形成《服务级别评审表》，同客户进行评价，并调整下一服务周期的SLA。</w:t>
      </w:r>
    </w:p>
    <w:p w14:paraId="2A388DFD">
      <w:pPr>
        <w:pStyle w:val="29"/>
        <w:bidi w:val="0"/>
        <w:rPr>
          <w:rFonts w:hint="eastAsia"/>
          <w:lang w:val="en-US" w:eastAsia="zh-CN"/>
        </w:rPr>
      </w:pPr>
      <w:bookmarkStart w:id="22" w:name="_Toc18377"/>
      <w:r>
        <w:rPr>
          <w:rFonts w:hint="eastAsia"/>
          <w:lang w:val="en-US" w:eastAsia="zh-CN"/>
        </w:rPr>
        <w:t>服务级别改进</w:t>
      </w:r>
      <w:bookmarkEnd w:id="22"/>
    </w:p>
    <w:p w14:paraId="6699C188">
      <w:pPr>
        <w:pStyle w:val="27"/>
        <w:bidi w:val="0"/>
        <w:rPr>
          <w:rFonts w:hint="default"/>
          <w:lang w:val="en-US" w:eastAsia="zh-CN"/>
        </w:rPr>
      </w:pPr>
      <w:r>
        <w:rPr>
          <w:rFonts w:hint="default"/>
          <w:lang w:val="en-US" w:eastAsia="zh-CN"/>
        </w:rPr>
        <w:t>服务级别评审后，如发现服务未达到协议约定水平或存在改进空间，应采取系统性改进措施，确保服务持续符合或超越客户期望。改进措施包括以下环节：</w:t>
      </w:r>
    </w:p>
    <w:p w14:paraId="25F77569">
      <w:pPr>
        <w:pStyle w:val="40"/>
        <w:bidi w:val="0"/>
        <w:rPr>
          <w:rFonts w:hint="default"/>
          <w:lang w:val="en-US" w:eastAsia="zh-CN"/>
        </w:rPr>
      </w:pPr>
      <w:r>
        <w:rPr>
          <w:rFonts w:hint="default"/>
          <w:lang w:val="en-US" w:eastAsia="zh-CN"/>
        </w:rPr>
        <w:t>改进需求识别</w:t>
      </w:r>
    </w:p>
    <w:p w14:paraId="2FABE4EC">
      <w:pPr>
        <w:pStyle w:val="27"/>
        <w:bidi w:val="0"/>
        <w:rPr>
          <w:rFonts w:hint="default"/>
          <w:lang w:val="en-US" w:eastAsia="zh-CN"/>
        </w:rPr>
      </w:pPr>
      <w:r>
        <w:rPr>
          <w:rFonts w:hint="default"/>
          <w:lang w:val="en-US" w:eastAsia="zh-CN"/>
        </w:rPr>
        <w:t>基于《服务级别评审表》和服务监控数据，识别未达标的服务项、客户反馈问题及潜在提升点。</w:t>
      </w:r>
    </w:p>
    <w:p w14:paraId="2A4D6B55">
      <w:pPr>
        <w:pStyle w:val="40"/>
        <w:bidi w:val="0"/>
        <w:rPr>
          <w:rFonts w:hint="default"/>
          <w:lang w:val="en-US" w:eastAsia="zh-CN"/>
        </w:rPr>
      </w:pPr>
      <w:r>
        <w:rPr>
          <w:rFonts w:hint="default"/>
          <w:lang w:val="en-US" w:eastAsia="zh-CN"/>
        </w:rPr>
        <w:t>制定改进措施</w:t>
      </w:r>
    </w:p>
    <w:p w14:paraId="1EFA9DE5">
      <w:pPr>
        <w:pStyle w:val="27"/>
        <w:bidi w:val="0"/>
        <w:rPr>
          <w:rFonts w:hint="default"/>
          <w:lang w:val="en-US" w:eastAsia="zh-CN"/>
        </w:rPr>
      </w:pPr>
      <w:r>
        <w:rPr>
          <w:rFonts w:hint="default"/>
          <w:lang w:val="en-US" w:eastAsia="zh-CN"/>
        </w:rPr>
        <w:t>服务级别经理组织相关团队（如运维、项目、技术支持等）制定具体的改进计划，内容应包括：</w:t>
      </w:r>
    </w:p>
    <w:p w14:paraId="6A5FB093">
      <w:pPr>
        <w:pStyle w:val="27"/>
        <w:numPr>
          <w:ilvl w:val="0"/>
          <w:numId w:val="9"/>
        </w:numPr>
        <w:bidi w:val="0"/>
        <w:ind w:left="425" w:leftChars="0" w:hanging="425" w:firstLineChars="0"/>
        <w:rPr>
          <w:rFonts w:hint="default"/>
          <w:lang w:val="en-US" w:eastAsia="zh-CN"/>
        </w:rPr>
      </w:pPr>
      <w:r>
        <w:rPr>
          <w:rFonts w:hint="default"/>
          <w:lang w:val="en-US" w:eastAsia="zh-CN"/>
        </w:rPr>
        <w:t>改进目标；</w:t>
      </w:r>
    </w:p>
    <w:p w14:paraId="339F5573">
      <w:pPr>
        <w:pStyle w:val="27"/>
        <w:numPr>
          <w:ilvl w:val="0"/>
          <w:numId w:val="9"/>
        </w:numPr>
        <w:bidi w:val="0"/>
        <w:ind w:left="425" w:leftChars="0" w:hanging="425" w:firstLineChars="0"/>
        <w:rPr>
          <w:rFonts w:hint="default"/>
          <w:lang w:val="en-US" w:eastAsia="zh-CN"/>
        </w:rPr>
      </w:pPr>
      <w:r>
        <w:rPr>
          <w:rFonts w:hint="default"/>
          <w:lang w:val="en-US" w:eastAsia="zh-CN"/>
        </w:rPr>
        <w:t>具体行动项；</w:t>
      </w:r>
    </w:p>
    <w:p w14:paraId="3F1CBB76">
      <w:pPr>
        <w:pStyle w:val="27"/>
        <w:numPr>
          <w:ilvl w:val="0"/>
          <w:numId w:val="9"/>
        </w:numPr>
        <w:bidi w:val="0"/>
        <w:ind w:left="425" w:leftChars="0" w:hanging="425" w:firstLineChars="0"/>
        <w:rPr>
          <w:rFonts w:hint="default"/>
          <w:lang w:val="en-US" w:eastAsia="zh-CN"/>
        </w:rPr>
      </w:pPr>
      <w:r>
        <w:rPr>
          <w:rFonts w:hint="default"/>
          <w:lang w:val="en-US" w:eastAsia="zh-CN"/>
        </w:rPr>
        <w:t>责任人；</w:t>
      </w:r>
    </w:p>
    <w:p w14:paraId="1B5D64F0">
      <w:pPr>
        <w:pStyle w:val="27"/>
        <w:numPr>
          <w:ilvl w:val="0"/>
          <w:numId w:val="9"/>
        </w:numPr>
        <w:bidi w:val="0"/>
        <w:ind w:left="425" w:leftChars="0" w:hanging="425" w:firstLineChars="0"/>
        <w:rPr>
          <w:rFonts w:hint="default"/>
          <w:lang w:val="en-US" w:eastAsia="zh-CN"/>
        </w:rPr>
      </w:pPr>
      <w:r>
        <w:rPr>
          <w:rFonts w:hint="default"/>
          <w:lang w:val="en-US" w:eastAsia="zh-CN"/>
        </w:rPr>
        <w:t>完成时间；</w:t>
      </w:r>
    </w:p>
    <w:p w14:paraId="02ED4C18">
      <w:pPr>
        <w:pStyle w:val="27"/>
        <w:numPr>
          <w:ilvl w:val="0"/>
          <w:numId w:val="9"/>
        </w:numPr>
        <w:bidi w:val="0"/>
        <w:ind w:left="425" w:leftChars="0" w:hanging="425" w:firstLineChars="0"/>
        <w:rPr>
          <w:rFonts w:hint="default"/>
          <w:lang w:val="en-US" w:eastAsia="zh-CN"/>
        </w:rPr>
      </w:pPr>
      <w:r>
        <w:rPr>
          <w:rFonts w:hint="default"/>
          <w:lang w:val="en-US" w:eastAsia="zh-CN"/>
        </w:rPr>
        <w:t>所需资源。</w:t>
      </w:r>
    </w:p>
    <w:p w14:paraId="388DD4AE">
      <w:pPr>
        <w:pStyle w:val="40"/>
        <w:bidi w:val="0"/>
        <w:rPr>
          <w:rFonts w:hint="default"/>
          <w:lang w:val="en-US" w:eastAsia="zh-CN"/>
        </w:rPr>
      </w:pPr>
      <w:r>
        <w:rPr>
          <w:rFonts w:hint="default"/>
          <w:lang w:val="en-US" w:eastAsia="zh-CN"/>
        </w:rPr>
        <w:t>措施实施与跟踪</w:t>
      </w:r>
    </w:p>
    <w:p w14:paraId="6805A197">
      <w:pPr>
        <w:pStyle w:val="27"/>
        <w:bidi w:val="0"/>
        <w:rPr>
          <w:rFonts w:hint="default"/>
          <w:lang w:val="en-US" w:eastAsia="zh-CN"/>
        </w:rPr>
      </w:pPr>
      <w:r>
        <w:rPr>
          <w:rFonts w:hint="default"/>
          <w:lang w:val="en-US" w:eastAsia="zh-CN"/>
        </w:rPr>
        <w:t>运维项目经理负责推动改进措施的执行，服务级别经理负责跟踪进度，并在《服务级别管理监控记录表》中记录改进状态。</w:t>
      </w:r>
    </w:p>
    <w:p w14:paraId="38106C75">
      <w:pPr>
        <w:pStyle w:val="40"/>
        <w:bidi w:val="0"/>
        <w:rPr>
          <w:rFonts w:hint="default"/>
          <w:lang w:val="en-US" w:eastAsia="zh-CN"/>
        </w:rPr>
      </w:pPr>
      <w:r>
        <w:rPr>
          <w:rFonts w:hint="default"/>
          <w:lang w:val="en-US" w:eastAsia="zh-CN"/>
        </w:rPr>
        <w:t>效果验证</w:t>
      </w:r>
    </w:p>
    <w:p w14:paraId="0AD0C9E7">
      <w:pPr>
        <w:pStyle w:val="27"/>
        <w:bidi w:val="0"/>
        <w:rPr>
          <w:rFonts w:hint="default"/>
          <w:lang w:val="en-US" w:eastAsia="zh-CN"/>
        </w:rPr>
      </w:pPr>
      <w:r>
        <w:rPr>
          <w:rFonts w:hint="default"/>
          <w:lang w:val="en-US" w:eastAsia="zh-CN"/>
        </w:rPr>
        <w:t>改进措施完成后，通过下一周期的服务级别监控数据及客户反馈进行效果验证，确保改进有效并可持续。</w:t>
      </w:r>
    </w:p>
    <w:p w14:paraId="0A390A35">
      <w:pPr>
        <w:pStyle w:val="27"/>
        <w:bidi w:val="0"/>
        <w:rPr>
          <w:rFonts w:hint="default"/>
          <w:lang w:val="en-US" w:eastAsia="zh-CN"/>
        </w:rPr>
      </w:pPr>
      <w:r>
        <w:rPr>
          <w:rFonts w:hint="default"/>
          <w:lang w:val="en-US" w:eastAsia="zh-CN"/>
        </w:rPr>
        <w:t>更新服务协议</w:t>
      </w:r>
    </w:p>
    <w:p w14:paraId="3D1F6849">
      <w:pPr>
        <w:pStyle w:val="27"/>
        <w:bidi w:val="0"/>
        <w:rPr>
          <w:rFonts w:hint="default"/>
          <w:lang w:val="en-US" w:eastAsia="zh-CN"/>
        </w:rPr>
      </w:pPr>
      <w:r>
        <w:rPr>
          <w:rFonts w:hint="default"/>
          <w:lang w:val="en-US" w:eastAsia="zh-CN"/>
        </w:rPr>
        <w:t>如改进涉及服务级别调整，应通过变更管理流程更新SLA，并重新与客户确认。</w:t>
      </w:r>
    </w:p>
    <w:p w14:paraId="4A55AE78">
      <w:pPr>
        <w:pStyle w:val="28"/>
        <w:bidi w:val="0"/>
      </w:pPr>
      <w:bookmarkStart w:id="23" w:name="_Toc14177"/>
      <w:r>
        <w:t>关键成功因素</w:t>
      </w:r>
      <w:bookmarkEnd w:id="23"/>
    </w:p>
    <w:p w14:paraId="0F356D1A">
      <w:pPr>
        <w:pStyle w:val="39"/>
        <w:numPr>
          <w:ilvl w:val="0"/>
          <w:numId w:val="10"/>
        </w:numPr>
        <w:bidi w:val="0"/>
      </w:pPr>
      <w:r>
        <w:t>了解服务内容</w:t>
      </w:r>
    </w:p>
    <w:p w14:paraId="37F78F7B">
      <w:pPr>
        <w:pStyle w:val="27"/>
        <w:bidi w:val="0"/>
      </w:pPr>
      <w:r>
        <w:t>服务提供方充分了解它所能提供的各种服务，以及相关的优先权和业务重要程度；</w:t>
      </w:r>
    </w:p>
    <w:p w14:paraId="6F5AB37A">
      <w:pPr>
        <w:pStyle w:val="39"/>
        <w:numPr>
          <w:ilvl w:val="0"/>
          <w:numId w:val="10"/>
        </w:numPr>
        <w:bidi w:val="0"/>
      </w:pPr>
      <w:r>
        <w:t>确定服务范围、服务对象和服务内容</w:t>
      </w:r>
    </w:p>
    <w:p w14:paraId="288BC4DD">
      <w:pPr>
        <w:pStyle w:val="27"/>
        <w:bidi w:val="0"/>
      </w:pPr>
      <w:r>
        <w:t>参考服务目录，但是对于不同的用户，具体的服务级别设定又要有针对性</w:t>
      </w:r>
      <w:r>
        <w:rPr>
          <w:rFonts w:hint="eastAsia"/>
          <w:lang w:eastAsia="zh-CN"/>
        </w:rPr>
        <w:t>。</w:t>
      </w:r>
      <w:r>
        <w:t>和独立性；</w:t>
      </w:r>
    </w:p>
    <w:p w14:paraId="023A9424">
      <w:pPr>
        <w:pStyle w:val="27"/>
        <w:bidi w:val="0"/>
      </w:pPr>
      <w:r>
        <w:t>定义服务级别目标</w:t>
      </w:r>
    </w:p>
    <w:p w14:paraId="6F1EA86F">
      <w:pPr>
        <w:pStyle w:val="27"/>
        <w:numPr>
          <w:ilvl w:val="0"/>
          <w:numId w:val="10"/>
        </w:numPr>
        <w:bidi w:val="0"/>
        <w:ind w:left="425" w:leftChars="0" w:hanging="425" w:firstLineChars="0"/>
      </w:pPr>
      <w:r>
        <w:rPr>
          <w:rStyle w:val="42"/>
        </w:rPr>
        <w:t>在服务级别设定的过程中，服务提供方和客户需要仔细的推敲指定合适的服</w:t>
      </w:r>
      <w:r>
        <w:t>务目标，既要考虑到客户的需求，又要监督到经济效益和成本因素，力求服务级别可行；</w:t>
      </w:r>
    </w:p>
    <w:p w14:paraId="70A14195">
      <w:pPr>
        <w:pStyle w:val="39"/>
        <w:numPr>
          <w:ilvl w:val="0"/>
          <w:numId w:val="10"/>
        </w:numPr>
        <w:bidi w:val="0"/>
      </w:pPr>
      <w:r>
        <w:t>明确双方职责</w:t>
      </w:r>
    </w:p>
    <w:p w14:paraId="6AFE58B6">
      <w:pPr>
        <w:pStyle w:val="27"/>
        <w:bidi w:val="0"/>
      </w:pPr>
      <w:r>
        <w:t>就服务本身而言，并不是单方面的工作，许多服务级别设定后在实施过程中失败，其原因就是因为忽略了客户在服务提供过程中的角色，以及相应的权利、义务、职责等。经过双方确认，除了在服务提供方任命专人对口客户，在客户方亦需要有专人负责对服务提供方进行监督；</w:t>
      </w:r>
    </w:p>
    <w:p w14:paraId="488C7A59">
      <w:pPr>
        <w:pStyle w:val="39"/>
        <w:numPr>
          <w:ilvl w:val="0"/>
          <w:numId w:val="10"/>
        </w:numPr>
        <w:bidi w:val="0"/>
      </w:pPr>
      <w:r>
        <w:t>对服务级别设定的评审和修改</w:t>
      </w:r>
    </w:p>
    <w:p w14:paraId="41304E4D">
      <w:pPr>
        <w:pStyle w:val="27"/>
        <w:bidi w:val="0"/>
      </w:pPr>
      <w:r>
        <w:t>服务级别设定后需要在公司内部进行评审，评审过程除应召集服务过程相关方，还应有质量管理人员，必要时还需邀请法务人员和财务人员进行评审；</w:t>
      </w:r>
    </w:p>
    <w:p w14:paraId="44377ACC">
      <w:pPr>
        <w:pStyle w:val="39"/>
        <w:numPr>
          <w:ilvl w:val="0"/>
          <w:numId w:val="10"/>
        </w:numPr>
        <w:bidi w:val="0"/>
      </w:pPr>
      <w:r>
        <w:t>服务级别谈判和沟通</w:t>
      </w:r>
    </w:p>
    <w:p w14:paraId="3169FA77">
      <w:pPr>
        <w:pStyle w:val="27"/>
        <w:bidi w:val="0"/>
      </w:pPr>
      <w:r>
        <w:t>在最终形成文档的 SLA中，每个细节都是经过谈判、双方同意并被记录在案的。及时的沟通服务级别设定的每项内容，对整个服务级别管理过程有着重要作用。</w:t>
      </w:r>
    </w:p>
    <w:p w14:paraId="7619D046">
      <w:pPr>
        <w:pStyle w:val="28"/>
        <w:bidi w:val="0"/>
      </w:pPr>
      <w:bookmarkStart w:id="24" w:name="_Toc14756"/>
      <w:r>
        <w:t>可能存在的风险</w:t>
      </w:r>
      <w:bookmarkEnd w:id="24"/>
    </w:p>
    <w:p w14:paraId="485D2D14">
      <w:pPr>
        <w:pStyle w:val="27"/>
        <w:bidi w:val="0"/>
      </w:pPr>
      <w:r>
        <w:t>在实施服务级别管理的过程中，下列问题值得关注：</w:t>
      </w:r>
    </w:p>
    <w:p w14:paraId="5A5F601D">
      <w:pPr>
        <w:pStyle w:val="39"/>
        <w:numPr>
          <w:ilvl w:val="0"/>
          <w:numId w:val="11"/>
        </w:numPr>
        <w:bidi w:val="0"/>
        <w:ind w:left="425" w:leftChars="0" w:hanging="425" w:firstLineChars="0"/>
      </w:pPr>
      <w:r>
        <w:t>未充分考虑客户需求，导致服务级别偏离；</w:t>
      </w:r>
    </w:p>
    <w:p w14:paraId="3F77A2A4">
      <w:pPr>
        <w:pStyle w:val="39"/>
        <w:numPr>
          <w:ilvl w:val="0"/>
          <w:numId w:val="11"/>
        </w:numPr>
        <w:bidi w:val="0"/>
        <w:ind w:left="425" w:leftChars="0" w:hanging="425" w:firstLineChars="0"/>
      </w:pPr>
      <w:r>
        <w:t>没有验证服务目标是否可实现，在签约前没有对这些服务目标进行核实；</w:t>
      </w:r>
    </w:p>
    <w:p w14:paraId="6DB20742">
      <w:pPr>
        <w:pStyle w:val="39"/>
        <w:numPr>
          <w:ilvl w:val="0"/>
          <w:numId w:val="11"/>
        </w:numPr>
        <w:bidi w:val="0"/>
        <w:ind w:left="425" w:leftChars="0" w:hanging="425" w:firstLineChars="0"/>
      </w:pPr>
      <w:r>
        <w:t>对服务级别管理重视不够，投入的资源和时间太少；</w:t>
      </w:r>
    </w:p>
    <w:p w14:paraId="488BB939">
      <w:pPr>
        <w:pStyle w:val="39"/>
        <w:numPr>
          <w:ilvl w:val="0"/>
          <w:numId w:val="11"/>
        </w:numPr>
        <w:bidi w:val="0"/>
        <w:ind w:left="425" w:leftChars="0" w:hanging="425" w:firstLineChars="0"/>
      </w:pPr>
      <w:r>
        <w:t>服务协议没有得到足够的运营级别协议或支持合同的支持；</w:t>
      </w:r>
    </w:p>
    <w:p w14:paraId="187EE8EB">
      <w:pPr>
        <w:pStyle w:val="39"/>
        <w:numPr>
          <w:ilvl w:val="0"/>
          <w:numId w:val="11"/>
        </w:numPr>
        <w:bidi w:val="0"/>
        <w:ind w:left="425" w:leftChars="0" w:hanging="425" w:firstLineChars="0"/>
      </w:pPr>
      <w:r>
        <w:t>各方的责任定义不明确，从而可能会导致各方都推卸责任；</w:t>
      </w:r>
    </w:p>
    <w:p w14:paraId="147DC905">
      <w:pPr>
        <w:pStyle w:val="39"/>
        <w:numPr>
          <w:ilvl w:val="0"/>
          <w:numId w:val="11"/>
        </w:numPr>
        <w:bidi w:val="0"/>
        <w:ind w:left="425" w:leftChars="0" w:hanging="425" w:firstLineChars="0"/>
      </w:pPr>
      <w:r>
        <w:t>SLA根据IT而不是结合业务需求来签订，尤其在业务方不清楚其业务需求时更是如此；</w:t>
      </w:r>
    </w:p>
    <w:p w14:paraId="43CCBC44">
      <w:pPr>
        <w:pStyle w:val="39"/>
        <w:numPr>
          <w:ilvl w:val="0"/>
          <w:numId w:val="11"/>
        </w:numPr>
        <w:bidi w:val="0"/>
        <w:ind w:left="425" w:leftChars="0" w:hanging="425" w:firstLineChars="0"/>
      </w:pPr>
      <w:r>
        <w:t>SLA太长，不够简洁，对关键业务或流程关注不够；</w:t>
      </w:r>
    </w:p>
    <w:p w14:paraId="1DB21C6B">
      <w:pPr>
        <w:pStyle w:val="39"/>
        <w:numPr>
          <w:ilvl w:val="0"/>
          <w:numId w:val="11"/>
        </w:numPr>
        <w:bidi w:val="0"/>
        <w:ind w:left="425" w:leftChars="0" w:hanging="425" w:firstLineChars="0"/>
      </w:pPr>
      <w:r>
        <w:t>拟提供的服务级别未能很好地传递给客户或客户有拒绝变化的抵触情绪；</w:t>
      </w:r>
    </w:p>
    <w:p w14:paraId="6D024037">
      <w:pPr>
        <w:pStyle w:val="39"/>
        <w:numPr>
          <w:ilvl w:val="0"/>
          <w:numId w:val="11"/>
        </w:numPr>
        <w:bidi w:val="0"/>
        <w:ind w:left="425" w:leftChars="0" w:hanging="425" w:firstLineChars="0"/>
      </w:pPr>
      <w:r>
        <w:t>服务级别管理未能与完整的服务周期相结合。</w:t>
      </w:r>
    </w:p>
    <w:p w14:paraId="19680737">
      <w:pPr>
        <w:pStyle w:val="27"/>
        <w:bidi w:val="0"/>
      </w:pPr>
      <w:r>
        <w:t>服务级别管理中出现的上述任何问题都可能导致服务级别管理的失败。因此，有必要提前确认这些问题并进行适当的监控，以确保服务级别管理流程成功地实施。</w:t>
      </w:r>
    </w:p>
    <w:p w14:paraId="3B83A939">
      <w:pPr>
        <w:pStyle w:val="28"/>
        <w:bidi w:val="0"/>
      </w:pPr>
      <w:bookmarkStart w:id="25" w:name="_Toc13864"/>
      <w:r>
        <w:t>与其他流程的关系</w:t>
      </w:r>
      <w:bookmarkEnd w:id="25"/>
    </w:p>
    <w:p w14:paraId="75809994">
      <w:pPr>
        <w:pStyle w:val="29"/>
        <w:bidi w:val="0"/>
      </w:pPr>
      <w:bookmarkStart w:id="26" w:name="bookmark31"/>
      <w:bookmarkEnd w:id="26"/>
      <w:bookmarkStart w:id="27" w:name="_Toc4958"/>
      <w:r>
        <w:t>与事件管理和问题管理</w:t>
      </w:r>
      <w:bookmarkEnd w:id="27"/>
    </w:p>
    <w:p w14:paraId="6C30D07A">
      <w:pPr>
        <w:pStyle w:val="39"/>
        <w:numPr>
          <w:ilvl w:val="0"/>
          <w:numId w:val="12"/>
        </w:numPr>
        <w:bidi w:val="0"/>
        <w:ind w:left="425" w:leftChars="0" w:hanging="425" w:firstLineChars="0"/>
      </w:pPr>
      <w:r>
        <w:t>事件管理过程中，在接受客户上报或主动监控上报的故障时，服务人员需要依据SLA对事件进行识别判断，属于服务级别范围内的故障应尽快解决，对于协议范围外的事件原则上不提供服务，但应与客户沟通以取得客户理解。</w:t>
      </w:r>
    </w:p>
    <w:p w14:paraId="49C8A664">
      <w:pPr>
        <w:pStyle w:val="39"/>
        <w:numPr>
          <w:ilvl w:val="0"/>
          <w:numId w:val="12"/>
        </w:numPr>
        <w:bidi w:val="0"/>
        <w:ind w:left="425" w:leftChars="0" w:hanging="425" w:firstLineChars="0"/>
      </w:pPr>
      <w:r>
        <w:t>事件优先级顺序的判断，应参照 SLA 中所约定的标准，应保证现有故障的处理时间满足SLA中所约定的时间要求。</w:t>
      </w:r>
    </w:p>
    <w:p w14:paraId="081BEF18">
      <w:pPr>
        <w:pStyle w:val="39"/>
        <w:numPr>
          <w:ilvl w:val="0"/>
          <w:numId w:val="12"/>
        </w:numPr>
        <w:bidi w:val="0"/>
        <w:ind w:left="425" w:leftChars="0" w:hanging="425" w:firstLineChars="0"/>
      </w:pPr>
      <w:r>
        <w:t>问题管理过程中，通过采取永久性或彻底的措施，确保该类故障不再重复发生，以求达到 SLA 协议中约定的可用性等指标的目标。</w:t>
      </w:r>
    </w:p>
    <w:p w14:paraId="63FCCFB4">
      <w:pPr>
        <w:pStyle w:val="29"/>
        <w:bidi w:val="0"/>
      </w:pPr>
      <w:bookmarkStart w:id="28" w:name="_Toc11623"/>
      <w:r>
        <w:t>与变更管理和发布管理</w:t>
      </w:r>
      <w:bookmarkEnd w:id="28"/>
    </w:p>
    <w:p w14:paraId="72F6DFFB">
      <w:pPr>
        <w:pStyle w:val="39"/>
        <w:numPr>
          <w:ilvl w:val="0"/>
          <w:numId w:val="13"/>
        </w:numPr>
        <w:bidi w:val="0"/>
        <w:ind w:left="425" w:leftChars="0" w:hanging="425" w:firstLineChars="0"/>
      </w:pPr>
      <w:r>
        <w:t>变更管理过程中，将提供与服务级别协议相关的服务信息。</w:t>
      </w:r>
    </w:p>
    <w:p w14:paraId="12444A1B">
      <w:pPr>
        <w:pStyle w:val="39"/>
        <w:numPr>
          <w:ilvl w:val="0"/>
          <w:numId w:val="13"/>
        </w:numPr>
        <w:bidi w:val="0"/>
        <w:ind w:left="425" w:leftChars="0" w:hanging="425" w:firstLineChars="0"/>
      </w:pPr>
      <w:r>
        <w:t>变更管理过程对配置项的变更评估，应充分参考对相关的运维服务及服务级别的保障。</w:t>
      </w:r>
    </w:p>
    <w:p w14:paraId="78D56EB1">
      <w:pPr>
        <w:pStyle w:val="39"/>
        <w:numPr>
          <w:ilvl w:val="0"/>
          <w:numId w:val="13"/>
        </w:numPr>
        <w:bidi w:val="0"/>
        <w:ind w:left="425" w:leftChars="0" w:hanging="425" w:firstLineChars="0"/>
      </w:pPr>
      <w:r>
        <w:t>任何对服务、服务级别以及 SLA 的变更，都应通过变更管理来进行控制。</w:t>
      </w:r>
    </w:p>
    <w:p w14:paraId="444746FF">
      <w:pPr>
        <w:pStyle w:val="29"/>
        <w:bidi w:val="0"/>
      </w:pPr>
      <w:bookmarkStart w:id="29" w:name="_Toc3196"/>
      <w:r>
        <w:t>与配置管理</w:t>
      </w:r>
      <w:bookmarkEnd w:id="29"/>
    </w:p>
    <w:p w14:paraId="15F4E949">
      <w:pPr>
        <w:pStyle w:val="27"/>
        <w:bidi w:val="0"/>
      </w:pPr>
      <w:r>
        <w:t>配置管理可将服务级别协议（SLA）作为配置项进行统一记录和管理，则当发生对SLA的变更时，配置管理库中对应 SLA 配置项的记录也应保持同步更新。</w:t>
      </w:r>
    </w:p>
    <w:p w14:paraId="7A41B8CA">
      <w:pPr>
        <w:pStyle w:val="28"/>
        <w:bidi w:val="0"/>
      </w:pPr>
      <w:bookmarkStart w:id="30" w:name="_Toc24863"/>
      <w:r>
        <w:t>考核指标</w:t>
      </w:r>
      <w:bookmarkEnd w:id="30"/>
    </w:p>
    <w:tbl>
      <w:tblPr>
        <w:tblStyle w:val="24"/>
        <w:tblW w:w="8297" w:type="dxa"/>
        <w:tblInd w:w="13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7"/>
        <w:gridCol w:w="1337"/>
        <w:gridCol w:w="3545"/>
        <w:gridCol w:w="1344"/>
        <w:gridCol w:w="1344"/>
      </w:tblGrid>
      <w:tr w14:paraId="218D31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3" w:hRule="atLeast"/>
        </w:trPr>
        <w:tc>
          <w:tcPr>
            <w:tcW w:w="727" w:type="dxa"/>
            <w:tcBorders>
              <w:top w:val="single" w:color="000000" w:sz="6" w:space="0"/>
              <w:left w:val="single" w:color="000000" w:sz="6" w:space="0"/>
              <w:bottom w:val="single" w:color="000000" w:sz="6" w:space="0"/>
            </w:tcBorders>
            <w:shd w:val="clear" w:color="auto" w:fill="C0C0C0"/>
          </w:tcPr>
          <w:p w14:paraId="1BE48332">
            <w:pPr>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序号</w:t>
            </w:r>
          </w:p>
        </w:tc>
        <w:tc>
          <w:tcPr>
            <w:tcW w:w="1337" w:type="dxa"/>
            <w:tcBorders>
              <w:top w:val="single" w:color="000000" w:sz="6" w:space="0"/>
              <w:bottom w:val="single" w:color="000000" w:sz="6" w:space="0"/>
            </w:tcBorders>
            <w:shd w:val="clear" w:color="auto" w:fill="C0C0C0"/>
          </w:tcPr>
          <w:p w14:paraId="220BAC45">
            <w:pPr>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衡量指标</w:t>
            </w:r>
          </w:p>
        </w:tc>
        <w:tc>
          <w:tcPr>
            <w:tcW w:w="3545" w:type="dxa"/>
            <w:tcBorders>
              <w:top w:val="single" w:color="000000" w:sz="6" w:space="0"/>
              <w:bottom w:val="single" w:color="000000" w:sz="6" w:space="0"/>
              <w:right w:val="single" w:color="000000" w:sz="6" w:space="0"/>
            </w:tcBorders>
            <w:shd w:val="clear" w:color="auto" w:fill="C0C0C0"/>
          </w:tcPr>
          <w:p w14:paraId="0C8B45E4">
            <w:pPr>
              <w:spacing w:before="205" w:line="221" w:lineRule="auto"/>
              <w:ind w:left="195"/>
              <w:rPr>
                <w:rFonts w:ascii="宋体" w:hAnsi="宋体" w:eastAsia="宋体" w:cs="宋体"/>
                <w:b/>
                <w:bCs/>
                <w:spacing w:val="-7"/>
                <w:sz w:val="24"/>
                <w:szCs w:val="24"/>
              </w:rPr>
            </w:pPr>
            <w:r>
              <w:rPr>
                <w:rFonts w:ascii="宋体" w:hAnsi="宋体" w:eastAsia="宋体" w:cs="宋体"/>
                <w:b/>
                <w:bCs/>
                <w:spacing w:val="-7"/>
                <w:sz w:val="24"/>
                <w:szCs w:val="24"/>
              </w:rPr>
              <w:t>指标计算说明</w:t>
            </w:r>
          </w:p>
        </w:tc>
        <w:tc>
          <w:tcPr>
            <w:tcW w:w="1344" w:type="dxa"/>
            <w:tcBorders>
              <w:top w:val="single" w:color="000000" w:sz="6" w:space="0"/>
              <w:bottom w:val="single" w:color="000000" w:sz="6" w:space="0"/>
              <w:right w:val="single" w:color="000000" w:sz="6" w:space="0"/>
            </w:tcBorders>
            <w:shd w:val="clear" w:color="auto" w:fill="C0C0C0"/>
          </w:tcPr>
          <w:p w14:paraId="1FDCEA83">
            <w:pPr>
              <w:spacing w:before="205" w:line="221" w:lineRule="auto"/>
              <w:ind w:left="195"/>
              <w:rPr>
                <w:rFonts w:hint="default" w:ascii="宋体" w:hAnsi="宋体" w:eastAsia="宋体" w:cs="宋体"/>
                <w:b/>
                <w:bCs/>
                <w:spacing w:val="-7"/>
                <w:sz w:val="24"/>
                <w:szCs w:val="24"/>
                <w:lang w:val="en-US" w:eastAsia="zh-CN"/>
              </w:rPr>
            </w:pPr>
            <w:r>
              <w:rPr>
                <w:rFonts w:hint="eastAsia" w:ascii="宋体" w:hAnsi="宋体" w:eastAsia="宋体" w:cs="宋体"/>
                <w:b/>
                <w:bCs/>
                <w:spacing w:val="-7"/>
                <w:sz w:val="24"/>
                <w:szCs w:val="24"/>
                <w:lang w:val="en-US" w:eastAsia="zh-CN"/>
              </w:rPr>
              <w:t>考核频次</w:t>
            </w:r>
          </w:p>
        </w:tc>
        <w:tc>
          <w:tcPr>
            <w:tcW w:w="1344" w:type="dxa"/>
            <w:tcBorders>
              <w:top w:val="single" w:color="000000" w:sz="6" w:space="0"/>
              <w:bottom w:val="single" w:color="000000" w:sz="6" w:space="0"/>
              <w:right w:val="single" w:color="000000" w:sz="6" w:space="0"/>
            </w:tcBorders>
            <w:shd w:val="clear" w:color="auto" w:fill="C0C0C0"/>
          </w:tcPr>
          <w:p w14:paraId="1D8ABA3A">
            <w:pPr>
              <w:spacing w:before="205" w:line="221" w:lineRule="auto"/>
              <w:ind w:left="195"/>
              <w:rPr>
                <w:rFonts w:hint="default" w:ascii="宋体" w:hAnsi="宋体" w:eastAsia="宋体" w:cs="宋体"/>
                <w:b/>
                <w:bCs/>
                <w:spacing w:val="-7"/>
                <w:sz w:val="24"/>
                <w:szCs w:val="24"/>
                <w:lang w:val="en-US" w:eastAsia="zh-CN"/>
              </w:rPr>
            </w:pPr>
            <w:r>
              <w:rPr>
                <w:rFonts w:hint="eastAsia" w:ascii="宋体" w:hAnsi="宋体" w:cs="宋体"/>
                <w:b/>
                <w:bCs/>
                <w:spacing w:val="-7"/>
                <w:sz w:val="24"/>
                <w:szCs w:val="24"/>
                <w:lang w:val="en-US" w:eastAsia="zh-CN"/>
              </w:rPr>
              <w:t>目标值</w:t>
            </w:r>
          </w:p>
        </w:tc>
      </w:tr>
      <w:tr w14:paraId="3C0DC2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27" w:type="dxa"/>
            <w:tcBorders>
              <w:top w:val="single" w:color="000000" w:sz="6" w:space="0"/>
              <w:left w:val="single" w:color="000000" w:sz="6" w:space="0"/>
            </w:tcBorders>
          </w:tcPr>
          <w:p w14:paraId="14C22299">
            <w:pPr>
              <w:spacing w:before="194" w:line="219" w:lineRule="auto"/>
              <w:ind w:left="123"/>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1</w:t>
            </w:r>
          </w:p>
        </w:tc>
        <w:tc>
          <w:tcPr>
            <w:tcW w:w="1337" w:type="dxa"/>
            <w:tcBorders>
              <w:top w:val="single" w:color="000000" w:sz="6" w:space="0"/>
            </w:tcBorders>
          </w:tcPr>
          <w:p w14:paraId="26FF1D69">
            <w:pPr>
              <w:spacing w:before="194" w:line="219" w:lineRule="auto"/>
              <w:ind w:left="123"/>
              <w:rPr>
                <w:rFonts w:hint="default" w:ascii="宋体" w:hAnsi="宋体" w:eastAsia="宋体" w:cs="宋体"/>
                <w:spacing w:val="-2"/>
                <w:sz w:val="24"/>
                <w:szCs w:val="24"/>
                <w:lang w:val="en-US" w:eastAsia="zh-CN"/>
              </w:rPr>
            </w:pPr>
            <w:r>
              <w:rPr>
                <w:rFonts w:hint="eastAsia"/>
                <w:spacing w:val="-2"/>
                <w:sz w:val="18"/>
                <w:szCs w:val="18"/>
                <w:lang w:val="en-US" w:eastAsia="zh-CN"/>
              </w:rPr>
              <w:t>SLA达成率</w:t>
            </w:r>
          </w:p>
        </w:tc>
        <w:tc>
          <w:tcPr>
            <w:tcW w:w="3545" w:type="dxa"/>
            <w:tcBorders>
              <w:top w:val="single" w:color="000000" w:sz="6" w:space="0"/>
              <w:right w:val="single" w:color="000000" w:sz="6" w:space="0"/>
            </w:tcBorders>
          </w:tcPr>
          <w:p w14:paraId="4C512E55">
            <w:pPr>
              <w:pStyle w:val="25"/>
              <w:spacing w:before="59" w:line="220" w:lineRule="auto"/>
              <w:ind w:left="113"/>
              <w:rPr>
                <w:sz w:val="18"/>
                <w:szCs w:val="18"/>
              </w:rPr>
            </w:pPr>
            <w:r>
              <w:rPr>
                <w:spacing w:val="-2"/>
                <w:sz w:val="18"/>
                <w:szCs w:val="18"/>
              </w:rPr>
              <w:t>（满足服务级别事件数/事件总数）</w:t>
            </w:r>
          </w:p>
          <w:p w14:paraId="5EA8C9C9">
            <w:pPr>
              <w:spacing w:before="194" w:line="219" w:lineRule="auto"/>
              <w:ind w:left="123"/>
              <w:rPr>
                <w:rFonts w:hint="default" w:ascii="宋体" w:hAnsi="宋体" w:eastAsia="宋体" w:cs="宋体"/>
                <w:spacing w:val="-2"/>
                <w:sz w:val="24"/>
                <w:szCs w:val="24"/>
                <w:lang w:val="en-US" w:eastAsia="zh-CN"/>
              </w:rPr>
            </w:pPr>
            <w:r>
              <w:rPr>
                <w:spacing w:val="-2"/>
                <w:sz w:val="18"/>
                <w:szCs w:val="18"/>
              </w:rPr>
              <w:t>*100%</w:t>
            </w:r>
          </w:p>
        </w:tc>
        <w:tc>
          <w:tcPr>
            <w:tcW w:w="1344" w:type="dxa"/>
            <w:tcBorders>
              <w:top w:val="single" w:color="000000" w:sz="6" w:space="0"/>
              <w:right w:val="single" w:color="000000" w:sz="6" w:space="0"/>
            </w:tcBorders>
          </w:tcPr>
          <w:p w14:paraId="6A477911">
            <w:pPr>
              <w:spacing w:before="194" w:line="219" w:lineRule="auto"/>
              <w:ind w:left="123"/>
              <w:rPr>
                <w:rFonts w:hint="eastAsia" w:ascii="宋体" w:hAnsi="宋体" w:eastAsia="宋体" w:cs="宋体"/>
                <w:spacing w:val="-2"/>
                <w:sz w:val="24"/>
                <w:szCs w:val="24"/>
                <w:lang w:val="en-US" w:eastAsia="zh-CN"/>
              </w:rPr>
            </w:pPr>
            <w:r>
              <w:rPr>
                <w:rFonts w:hint="eastAsia"/>
                <w:spacing w:val="-2"/>
                <w:sz w:val="18"/>
                <w:szCs w:val="18"/>
                <w:lang w:val="en-US" w:eastAsia="zh-CN"/>
              </w:rPr>
              <w:t>按季度</w:t>
            </w:r>
          </w:p>
        </w:tc>
        <w:tc>
          <w:tcPr>
            <w:tcW w:w="1344" w:type="dxa"/>
            <w:tcBorders>
              <w:top w:val="single" w:color="000000" w:sz="6" w:space="0"/>
              <w:right w:val="single" w:color="000000" w:sz="6" w:space="0"/>
            </w:tcBorders>
          </w:tcPr>
          <w:p w14:paraId="442D2595">
            <w:pPr>
              <w:spacing w:before="194" w:line="219" w:lineRule="auto"/>
              <w:ind w:left="123"/>
              <w:rPr>
                <w:rFonts w:hint="default"/>
                <w:spacing w:val="-2"/>
                <w:sz w:val="18"/>
                <w:szCs w:val="18"/>
                <w:lang w:val="en-US" w:eastAsia="zh-CN"/>
              </w:rPr>
            </w:pPr>
            <w:r>
              <w:rPr>
                <w:rFonts w:hint="eastAsia"/>
                <w:spacing w:val="-2"/>
                <w:sz w:val="18"/>
                <w:szCs w:val="18"/>
                <w:lang w:val="en-US" w:eastAsia="zh-CN"/>
              </w:rPr>
              <w:t>≥90%</w:t>
            </w:r>
            <w:bookmarkStart w:id="35" w:name="_GoBack"/>
            <w:bookmarkEnd w:id="35"/>
          </w:p>
        </w:tc>
      </w:tr>
    </w:tbl>
    <w:p w14:paraId="654FB5DC">
      <w:pPr>
        <w:pStyle w:val="28"/>
        <w:bidi w:val="0"/>
      </w:pPr>
      <w:bookmarkStart w:id="31" w:name="_Toc24899"/>
      <w:r>
        <w:t>相关政策</w:t>
      </w:r>
      <w:bookmarkEnd w:id="31"/>
    </w:p>
    <w:p w14:paraId="7B383251">
      <w:pPr>
        <w:pStyle w:val="29"/>
        <w:bidi w:val="0"/>
      </w:pPr>
      <w:bookmarkStart w:id="32" w:name="_Toc11169"/>
      <w:r>
        <w:t>常规方针</w:t>
      </w:r>
      <w:bookmarkEnd w:id="32"/>
    </w:p>
    <w:p w14:paraId="340DE105">
      <w:pPr>
        <w:pStyle w:val="39"/>
        <w:numPr>
          <w:ilvl w:val="0"/>
          <w:numId w:val="14"/>
        </w:numPr>
        <w:bidi w:val="0"/>
        <w:ind w:left="425" w:leftChars="0" w:hanging="425" w:firstLineChars="0"/>
      </w:pPr>
      <w:r>
        <w:t>服务范围和相应服务级别目标、工作量应得到相关各方的认同，并被记录。每项服务应在服务级别协议（SLA）中被定义、认可和记录。</w:t>
      </w:r>
    </w:p>
    <w:p w14:paraId="7315450C">
      <w:pPr>
        <w:pStyle w:val="39"/>
        <w:numPr>
          <w:ilvl w:val="0"/>
          <w:numId w:val="14"/>
        </w:numPr>
        <w:bidi w:val="0"/>
        <w:ind w:left="425" w:leftChars="0" w:hanging="425" w:firstLineChars="0"/>
      </w:pPr>
      <w:r>
        <w:t>服务级别协议的变更应置于变更管理控制之下。</w:t>
      </w:r>
    </w:p>
    <w:p w14:paraId="3DC816F8">
      <w:pPr>
        <w:pStyle w:val="39"/>
        <w:numPr>
          <w:ilvl w:val="0"/>
          <w:numId w:val="14"/>
        </w:numPr>
        <w:bidi w:val="0"/>
        <w:ind w:left="425" w:leftChars="0" w:hanging="425" w:firstLineChars="0"/>
      </w:pPr>
      <w:r>
        <w:t>服务级别协议应定期得到相关各方检查，以确保其及时更新和有效。</w:t>
      </w:r>
    </w:p>
    <w:p w14:paraId="32322034">
      <w:pPr>
        <w:pStyle w:val="39"/>
        <w:numPr>
          <w:ilvl w:val="0"/>
          <w:numId w:val="14"/>
        </w:numPr>
        <w:bidi w:val="0"/>
        <w:ind w:left="425" w:leftChars="0" w:hanging="425" w:firstLineChars="0"/>
      </w:pPr>
      <w:r>
        <w:t>定期（每</w:t>
      </w:r>
      <w:r>
        <w:rPr>
          <w:rFonts w:hint="eastAsia"/>
          <w:lang w:val="en-US" w:eastAsia="zh-CN"/>
        </w:rPr>
        <w:t>季度</w:t>
      </w:r>
      <w:r>
        <w:t>）进行服务级别管理的评审，跟踪、协调和沟通服务级别管理活动，进行服务级别管理过程的改进，提升服务交付质量。</w:t>
      </w:r>
    </w:p>
    <w:p w14:paraId="75F28148">
      <w:pPr>
        <w:pStyle w:val="29"/>
        <w:bidi w:val="0"/>
      </w:pPr>
      <w:bookmarkStart w:id="33" w:name="_Toc23896"/>
      <w:r>
        <w:t>责任人方针</w:t>
      </w:r>
      <w:bookmarkEnd w:id="33"/>
    </w:p>
    <w:p w14:paraId="2C4370D9">
      <w:pPr>
        <w:pStyle w:val="27"/>
        <w:bidi w:val="0"/>
      </w:pPr>
      <w:r>
        <w:t>高效管理服务级别的一个关键要素，就是任命一个合适的责任人，以确保任何时候服务级别协议的有效执行。我们制定的该流程中，服务需求识别和签订的责任人被指派给</w:t>
      </w:r>
      <w:r>
        <w:rPr>
          <w:rFonts w:hint="eastAsia"/>
          <w:lang w:val="en-US" w:eastAsia="zh-CN"/>
        </w:rPr>
        <w:t>运维</w:t>
      </w:r>
      <w:r>
        <w:t>项目经理，服务级别协议监控和评审的责任人被指派给服务级别经理。</w:t>
      </w:r>
    </w:p>
    <w:p w14:paraId="5F5F7C65">
      <w:pPr>
        <w:pStyle w:val="26"/>
        <w:bidi w:val="0"/>
      </w:pPr>
      <w:bookmarkStart w:id="34" w:name="_Toc562"/>
      <w:r>
        <w:t>相关文件及模板</w:t>
      </w:r>
      <w:bookmarkEnd w:id="34"/>
    </w:p>
    <w:p w14:paraId="5B70980D">
      <w:pPr>
        <w:spacing w:before="141" w:line="220" w:lineRule="auto"/>
        <w:ind w:left="181"/>
        <w:rPr>
          <w:rFonts w:ascii="宋体" w:hAnsi="宋体" w:eastAsia="宋体" w:cs="宋体"/>
          <w:sz w:val="24"/>
          <w:szCs w:val="24"/>
        </w:rPr>
      </w:pPr>
      <w:r>
        <w:rPr>
          <w:rFonts w:ascii="宋体" w:hAnsi="宋体" w:eastAsia="宋体" w:cs="宋体"/>
          <w:spacing w:val="-1"/>
          <w:sz w:val="24"/>
          <w:szCs w:val="24"/>
        </w:rPr>
        <w:t>《</w:t>
      </w:r>
      <w:r>
        <w:rPr>
          <w:rFonts w:hint="eastAsia" w:ascii="宋体" w:hAnsi="宋体" w:eastAsia="宋体" w:cs="宋体"/>
          <w:spacing w:val="-1"/>
          <w:sz w:val="24"/>
          <w:szCs w:val="24"/>
        </w:rPr>
        <w:t>公司运行维护服务目录</w:t>
      </w:r>
      <w:r>
        <w:rPr>
          <w:rFonts w:ascii="宋体" w:hAnsi="宋体" w:eastAsia="宋体" w:cs="宋体"/>
          <w:spacing w:val="-1"/>
          <w:sz w:val="24"/>
          <w:szCs w:val="24"/>
        </w:rPr>
        <w:t>》</w:t>
      </w:r>
    </w:p>
    <w:p w14:paraId="123252CA">
      <w:pPr>
        <w:spacing w:before="182" w:line="220" w:lineRule="auto"/>
        <w:ind w:left="181"/>
        <w:rPr>
          <w:rFonts w:ascii="宋体" w:hAnsi="宋体" w:eastAsia="宋体" w:cs="宋体"/>
          <w:sz w:val="24"/>
          <w:szCs w:val="24"/>
        </w:rPr>
      </w:pPr>
      <w:r>
        <w:rPr>
          <w:rFonts w:hint="eastAsia" w:ascii="宋体" w:hAnsi="宋体" w:eastAsia="宋体" w:cs="宋体"/>
          <w:spacing w:val="-1"/>
          <w:sz w:val="24"/>
          <w:szCs w:val="24"/>
        </w:rPr>
        <w:t>《服务级别管理程序》</w:t>
      </w:r>
    </w:p>
    <w:sectPr>
      <w:footerReference r:id="rId5" w:type="default"/>
      <w:pgSz w:w="11906" w:h="16839"/>
      <w:pgMar w:top="1431" w:right="1653" w:bottom="1373"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CB432">
    <w:pPr>
      <w:spacing w:line="165" w:lineRule="auto"/>
      <w:ind w:left="4130"/>
      <w:rPr>
        <w:rFonts w:ascii="Calibri" w:hAnsi="Calibri" w:eastAsia="Calibri" w:cs="Calibri"/>
        <w:sz w:val="18"/>
        <w:szCs w:val="18"/>
      </w:rPr>
    </w:pPr>
    <w:r>
      <w:rPr>
        <w:rFonts w:ascii="Calibri" w:hAnsi="Calibri" w:eastAsia="Calibri" w:cs="Calibri"/>
        <w:sz w:val="18"/>
        <w:szCs w:val="18"/>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8F1FCB75"/>
    <w:multiLevelType w:val="singleLevel"/>
    <w:tmpl w:val="8F1FCB75"/>
    <w:lvl w:ilvl="0" w:tentative="0">
      <w:start w:val="1"/>
      <w:numFmt w:val="decimal"/>
      <w:lvlText w:val="%1."/>
      <w:lvlJc w:val="left"/>
      <w:pPr>
        <w:ind w:left="425" w:hanging="425"/>
      </w:pPr>
      <w:rPr>
        <w:rFonts w:hint="default"/>
      </w:rPr>
    </w:lvl>
  </w:abstractNum>
  <w:abstractNum w:abstractNumId="2">
    <w:nsid w:val="A7365F51"/>
    <w:multiLevelType w:val="singleLevel"/>
    <w:tmpl w:val="A7365F51"/>
    <w:lvl w:ilvl="0" w:tentative="0">
      <w:start w:val="1"/>
      <w:numFmt w:val="decimal"/>
      <w:lvlText w:val="%1."/>
      <w:lvlJc w:val="left"/>
      <w:pPr>
        <w:ind w:left="425" w:hanging="425"/>
      </w:pPr>
      <w:rPr>
        <w:rFonts w:hint="default"/>
      </w:rPr>
    </w:lvl>
  </w:abstractNum>
  <w:abstractNum w:abstractNumId="3">
    <w:nsid w:val="AD5C2DBB"/>
    <w:multiLevelType w:val="singleLevel"/>
    <w:tmpl w:val="AD5C2DBB"/>
    <w:lvl w:ilvl="0" w:tentative="0">
      <w:start w:val="1"/>
      <w:numFmt w:val="decimal"/>
      <w:lvlText w:val="%1."/>
      <w:lvlJc w:val="left"/>
      <w:pPr>
        <w:ind w:left="425" w:hanging="425"/>
      </w:pPr>
      <w:rPr>
        <w:rFonts w:hint="default"/>
      </w:rPr>
    </w:lvl>
  </w:abstractNum>
  <w:abstractNum w:abstractNumId="4">
    <w:nsid w:val="BBA2B121"/>
    <w:multiLevelType w:val="singleLevel"/>
    <w:tmpl w:val="BBA2B121"/>
    <w:lvl w:ilvl="0" w:tentative="0">
      <w:start w:val="1"/>
      <w:numFmt w:val="decimal"/>
      <w:lvlText w:val="%1."/>
      <w:lvlJc w:val="left"/>
      <w:pPr>
        <w:ind w:left="425" w:hanging="425"/>
      </w:pPr>
      <w:rPr>
        <w:rFonts w:hint="default"/>
      </w:rPr>
    </w:lvl>
  </w:abstractNum>
  <w:abstractNum w:abstractNumId="5">
    <w:nsid w:val="CCE8DBF5"/>
    <w:multiLevelType w:val="singleLevel"/>
    <w:tmpl w:val="CCE8DBF5"/>
    <w:lvl w:ilvl="0" w:tentative="0">
      <w:start w:val="1"/>
      <w:numFmt w:val="decimal"/>
      <w:lvlText w:val="%1."/>
      <w:lvlJc w:val="left"/>
      <w:pPr>
        <w:ind w:left="425" w:hanging="425"/>
      </w:pPr>
      <w:rPr>
        <w:rFonts w:hint="default"/>
      </w:rPr>
    </w:lvl>
  </w:abstractNum>
  <w:abstractNum w:abstractNumId="6">
    <w:nsid w:val="DE9F8646"/>
    <w:multiLevelType w:val="singleLevel"/>
    <w:tmpl w:val="DE9F8646"/>
    <w:lvl w:ilvl="0" w:tentative="0">
      <w:start w:val="1"/>
      <w:numFmt w:val="decimal"/>
      <w:lvlText w:val="%1."/>
      <w:lvlJc w:val="left"/>
      <w:pPr>
        <w:ind w:left="425" w:hanging="425"/>
      </w:pPr>
      <w:rPr>
        <w:rFonts w:hint="default"/>
      </w:rPr>
    </w:lvl>
  </w:abstractNum>
  <w:abstractNum w:abstractNumId="7">
    <w:nsid w:val="E08F7544"/>
    <w:multiLevelType w:val="singleLevel"/>
    <w:tmpl w:val="E08F7544"/>
    <w:lvl w:ilvl="0" w:tentative="0">
      <w:start w:val="1"/>
      <w:numFmt w:val="decimal"/>
      <w:lvlText w:val="%1."/>
      <w:lvlJc w:val="left"/>
      <w:pPr>
        <w:ind w:left="425" w:hanging="425"/>
      </w:pPr>
      <w:rPr>
        <w:rFonts w:hint="default"/>
      </w:rPr>
    </w:lvl>
  </w:abstractNum>
  <w:abstractNum w:abstractNumId="8">
    <w:nsid w:val="F2380E6E"/>
    <w:multiLevelType w:val="singleLevel"/>
    <w:tmpl w:val="F2380E6E"/>
    <w:lvl w:ilvl="0" w:tentative="0">
      <w:start w:val="1"/>
      <w:numFmt w:val="decimal"/>
      <w:lvlText w:val="%1."/>
      <w:lvlJc w:val="left"/>
      <w:pPr>
        <w:ind w:left="425" w:hanging="425"/>
      </w:pPr>
      <w:rPr>
        <w:rFonts w:hint="default"/>
      </w:rPr>
    </w:lvl>
  </w:abstractNum>
  <w:abstractNum w:abstractNumId="9">
    <w:nsid w:val="F9617557"/>
    <w:multiLevelType w:val="singleLevel"/>
    <w:tmpl w:val="F9617557"/>
    <w:lvl w:ilvl="0" w:tentative="0">
      <w:start w:val="1"/>
      <w:numFmt w:val="decimal"/>
      <w:lvlText w:val="%1."/>
      <w:lvlJc w:val="left"/>
      <w:pPr>
        <w:ind w:left="425" w:hanging="425"/>
      </w:pPr>
      <w:rPr>
        <w:rFonts w:hint="default"/>
      </w:rPr>
    </w:lvl>
  </w:abstractNum>
  <w:abstractNum w:abstractNumId="10">
    <w:nsid w:val="248586F2"/>
    <w:multiLevelType w:val="singleLevel"/>
    <w:tmpl w:val="248586F2"/>
    <w:lvl w:ilvl="0" w:tentative="0">
      <w:start w:val="1"/>
      <w:numFmt w:val="decimal"/>
      <w:lvlText w:val="%1."/>
      <w:lvlJc w:val="left"/>
      <w:pPr>
        <w:ind w:left="425" w:hanging="425"/>
      </w:pPr>
      <w:rPr>
        <w:rFonts w:hint="default"/>
      </w:rPr>
    </w:lvl>
  </w:abstractNum>
  <w:abstractNum w:abstractNumId="11">
    <w:nsid w:val="3A927302"/>
    <w:multiLevelType w:val="singleLevel"/>
    <w:tmpl w:val="3A927302"/>
    <w:lvl w:ilvl="0" w:tentative="0">
      <w:start w:val="1"/>
      <w:numFmt w:val="decimal"/>
      <w:lvlText w:val="%1."/>
      <w:lvlJc w:val="left"/>
      <w:pPr>
        <w:ind w:left="425" w:hanging="425"/>
      </w:pPr>
      <w:rPr>
        <w:rFonts w:hint="default"/>
      </w:rPr>
    </w:lvl>
  </w:abstractNum>
  <w:abstractNum w:abstractNumId="12">
    <w:nsid w:val="5F0D4C11"/>
    <w:multiLevelType w:val="singleLevel"/>
    <w:tmpl w:val="5F0D4C11"/>
    <w:lvl w:ilvl="0" w:tentative="0">
      <w:start w:val="1"/>
      <w:numFmt w:val="decimal"/>
      <w:lvlText w:val="%1."/>
      <w:lvlJc w:val="left"/>
      <w:pPr>
        <w:ind w:left="425" w:hanging="425"/>
      </w:pPr>
      <w:rPr>
        <w:rFonts w:hint="default"/>
      </w:rPr>
    </w:lvl>
  </w:abstractNum>
  <w:abstractNum w:abstractNumId="13">
    <w:nsid w:val="698335A7"/>
    <w:multiLevelType w:val="singleLevel"/>
    <w:tmpl w:val="698335A7"/>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7"/>
  </w:num>
  <w:num w:numId="5">
    <w:abstractNumId w:val="8"/>
  </w:num>
  <w:num w:numId="6">
    <w:abstractNumId w:val="10"/>
  </w:num>
  <w:num w:numId="7">
    <w:abstractNumId w:val="12"/>
  </w:num>
  <w:num w:numId="8">
    <w:abstractNumId w:val="11"/>
  </w:num>
  <w:num w:numId="9">
    <w:abstractNumId w:val="9"/>
  </w:num>
  <w:num w:numId="10">
    <w:abstractNumId w:val="5"/>
  </w:num>
  <w:num w:numId="11">
    <w:abstractNumId w:val="6"/>
  </w:num>
  <w:num w:numId="12">
    <w:abstractNumId w:val="13"/>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8705A9"/>
    <w:rsid w:val="0167398B"/>
    <w:rsid w:val="04510922"/>
    <w:rsid w:val="08DA7138"/>
    <w:rsid w:val="090D0F93"/>
    <w:rsid w:val="09584C25"/>
    <w:rsid w:val="10EE63DD"/>
    <w:rsid w:val="111A2909"/>
    <w:rsid w:val="115C5723"/>
    <w:rsid w:val="11E132E5"/>
    <w:rsid w:val="16D90A24"/>
    <w:rsid w:val="16E71CED"/>
    <w:rsid w:val="175F08EE"/>
    <w:rsid w:val="17AD3841"/>
    <w:rsid w:val="1B2A7AAB"/>
    <w:rsid w:val="1EF67CA4"/>
    <w:rsid w:val="1F932B36"/>
    <w:rsid w:val="1FA71B7A"/>
    <w:rsid w:val="244244E1"/>
    <w:rsid w:val="24B16D08"/>
    <w:rsid w:val="267E6EFD"/>
    <w:rsid w:val="29982084"/>
    <w:rsid w:val="2A351FC9"/>
    <w:rsid w:val="2A8B1BE9"/>
    <w:rsid w:val="2B966A97"/>
    <w:rsid w:val="2C5524AE"/>
    <w:rsid w:val="2C563A15"/>
    <w:rsid w:val="2EDD678B"/>
    <w:rsid w:val="32052280"/>
    <w:rsid w:val="33E34843"/>
    <w:rsid w:val="39CE38A0"/>
    <w:rsid w:val="3BA42B0A"/>
    <w:rsid w:val="3BB2282E"/>
    <w:rsid w:val="3C4458E9"/>
    <w:rsid w:val="3CF74EBC"/>
    <w:rsid w:val="3E157CEF"/>
    <w:rsid w:val="3EC712FD"/>
    <w:rsid w:val="3FE63459"/>
    <w:rsid w:val="41E53E7C"/>
    <w:rsid w:val="42B21C15"/>
    <w:rsid w:val="43227841"/>
    <w:rsid w:val="44AB4F09"/>
    <w:rsid w:val="4513234C"/>
    <w:rsid w:val="455F7AA2"/>
    <w:rsid w:val="45AF27D7"/>
    <w:rsid w:val="4A6022F2"/>
    <w:rsid w:val="4A8B0324"/>
    <w:rsid w:val="4AAE7501"/>
    <w:rsid w:val="4DA4025D"/>
    <w:rsid w:val="4E612ADD"/>
    <w:rsid w:val="4EAB6D81"/>
    <w:rsid w:val="4FA21BB6"/>
    <w:rsid w:val="50F934A0"/>
    <w:rsid w:val="53C65804"/>
    <w:rsid w:val="544E6D9A"/>
    <w:rsid w:val="56D26326"/>
    <w:rsid w:val="57875362"/>
    <w:rsid w:val="659B647C"/>
    <w:rsid w:val="706D6F95"/>
    <w:rsid w:val="70F27898"/>
    <w:rsid w:val="72F0605A"/>
    <w:rsid w:val="754C1F07"/>
    <w:rsid w:val="7763043E"/>
    <w:rsid w:val="78476811"/>
    <w:rsid w:val="7BA401AB"/>
    <w:rsid w:val="7DEB1D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link w:val="42"/>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 w:type="character" w:customStyle="1" w:styleId="42">
    <w:name w:val="柴_正文_无缩进 Char"/>
    <w:link w:val="39"/>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3650</Words>
  <Characters>3859</Characters>
  <Lines>0</Lines>
  <Paragraphs>0</Paragraphs>
  <TotalTime>1</TotalTime>
  <ScaleCrop>false</ScaleCrop>
  <LinksUpToDate>false</LinksUpToDate>
  <CharactersWithSpaces>3996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2025-08-21T04:26:00Z</dcterms:created>
  <dc:creator>谢永刚</dc:creator>
  <cp:lastModifiedBy>郝宇</cp:lastModifiedBy>
  <dcterms:modified xsi:type="dcterms:W3CDTF">2026-01-03T19:38:17Z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2025-08-27T11:01:54Z</vt:filetime>
  </property>
  <property fmtid="{D5CDD505-2E9C-101B-9397-08002B2CF9AE}" pid="3" name="CRO">
    <vt:lpwstr>wqlLaW5nc29mdCBQREYgdG8gV1BTIDExNQ</vt:lpwstr>
  </property>
  <property fmtid="{D5CDD505-2E9C-101B-9397-08002B2CF9AE}" pid="4" name="ICV">
    <vt:lpwstr>5247E785F6E44B04BCFFB03B33F09DF1_12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