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9D77">
      <w:pPr>
        <w:pStyle w:val="35"/>
        <w:bidi w:val="0"/>
        <w:rPr>
          <w:rFonts w:hint="default"/>
          <w:lang w:val="en-US" w:eastAsia="zh-CN"/>
        </w:rPr>
      </w:pPr>
      <w:bookmarkStart w:id="0" w:name="_Toc23232"/>
      <w:r>
        <w:rPr>
          <w:rFonts w:hint="eastAsia"/>
          <w:lang w:val="en-US" w:eastAsia="zh-CN"/>
        </w:rPr>
        <w:t>容量管理策略</w:t>
      </w:r>
      <w:bookmarkEnd w:id="0"/>
    </w:p>
    <w:p w14:paraId="7564DCC6">
      <w:pPr>
        <w:pStyle w:val="36"/>
        <w:bidi w:val="0"/>
      </w:pPr>
      <w:bookmarkStart w:id="1" w:name="_Toc4394"/>
      <w:r>
        <w:t>甘肃国邦信息科技有限公司</w:t>
      </w:r>
      <w:bookmarkEnd w:id="1"/>
    </w:p>
    <w:p w14:paraId="19E21E8E">
      <w:pPr>
        <w:bidi w:val="0"/>
        <w:jc w:val="center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57A624FB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2657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4521140A">
      <w:pPr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587EE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39094E1">
            <w:pPr>
              <w:pStyle w:val="29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50CF6562">
            <w:pPr>
              <w:pStyle w:val="29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容量管理策略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RLGL</w:t>
            </w:r>
            <w:r>
              <w:rPr>
                <w:spacing w:val="-1"/>
              </w:rPr>
              <w:t>）</w:t>
            </w:r>
          </w:p>
        </w:tc>
      </w:tr>
      <w:tr w14:paraId="2247C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51C8C86C">
            <w:pPr>
              <w:pStyle w:val="29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25B0236A">
            <w:pPr>
              <w:pStyle w:val="29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CED8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5AA8290B">
            <w:pPr>
              <w:pStyle w:val="29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5C2024EA">
            <w:pPr>
              <w:pStyle w:val="29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17E02FC0">
            <w:pPr>
              <w:pStyle w:val="29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3D2425E">
            <w:pPr>
              <w:pStyle w:val="29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05ACA889">
            <w:pPr>
              <w:pStyle w:val="29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19ACA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21D9BFA">
            <w:pPr>
              <w:pStyle w:val="29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76388BBB">
            <w:pPr>
              <w:pStyle w:val="29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33DB9C5E">
            <w:pPr>
              <w:pStyle w:val="29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CCEA9CB">
            <w:pPr>
              <w:pStyle w:val="29"/>
              <w:spacing w:before="134" w:line="220" w:lineRule="auto"/>
              <w:ind w:left="480"/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4D035B17">
            <w:pPr>
              <w:pStyle w:val="29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45726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0324B95">
            <w:pPr>
              <w:pStyle w:val="29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769AC157">
            <w:pPr>
              <w:pStyle w:val="29"/>
              <w:spacing w:before="164"/>
              <w:ind w:left="361"/>
            </w:pPr>
          </w:p>
        </w:tc>
        <w:tc>
          <w:tcPr>
            <w:tcW w:w="2302" w:type="dxa"/>
          </w:tcPr>
          <w:p w14:paraId="08D8FD1E">
            <w:pPr>
              <w:pStyle w:val="29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355FB0E4">
            <w:pPr>
              <w:pStyle w:val="29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38A7E548">
            <w:pPr>
              <w:pStyle w:val="29"/>
              <w:spacing w:before="134" w:line="220" w:lineRule="auto"/>
              <w:ind w:left="672"/>
            </w:pPr>
          </w:p>
        </w:tc>
      </w:tr>
      <w:tr w14:paraId="664C6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862E32A">
            <w:pPr>
              <w:pStyle w:val="29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695E999B">
            <w:pPr>
              <w:pStyle w:val="29"/>
              <w:spacing w:before="165"/>
              <w:ind w:left="361"/>
            </w:pPr>
          </w:p>
        </w:tc>
        <w:tc>
          <w:tcPr>
            <w:tcW w:w="2302" w:type="dxa"/>
          </w:tcPr>
          <w:p w14:paraId="4B4B07C1">
            <w:pPr>
              <w:pStyle w:val="29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64116BA2">
            <w:pPr>
              <w:pStyle w:val="29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49049447">
            <w:pPr>
              <w:pStyle w:val="29"/>
              <w:spacing w:before="135" w:line="220" w:lineRule="auto"/>
              <w:ind w:left="672"/>
            </w:pPr>
          </w:p>
        </w:tc>
      </w:tr>
      <w:tr w14:paraId="5F296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67F1F17">
            <w:pPr>
              <w:pStyle w:val="29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5B88F9B7">
            <w:pPr>
              <w:pStyle w:val="29"/>
              <w:spacing w:before="166"/>
              <w:ind w:left="361"/>
            </w:pPr>
          </w:p>
        </w:tc>
        <w:tc>
          <w:tcPr>
            <w:tcW w:w="2302" w:type="dxa"/>
          </w:tcPr>
          <w:p w14:paraId="268B467D">
            <w:pPr>
              <w:pStyle w:val="29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359F1A21">
            <w:pPr>
              <w:pStyle w:val="29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107E966F">
            <w:pPr>
              <w:pStyle w:val="29"/>
              <w:spacing w:before="136" w:line="220" w:lineRule="auto"/>
              <w:ind w:left="672"/>
            </w:pPr>
          </w:p>
        </w:tc>
      </w:tr>
      <w:tr w14:paraId="67562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0787ACD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659C22A9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E33C0D2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31E1474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49CCC430">
            <w:pPr>
              <w:rPr>
                <w:rFonts w:ascii="Arial"/>
                <w:sz w:val="21"/>
              </w:rPr>
            </w:pPr>
          </w:p>
        </w:tc>
      </w:tr>
    </w:tbl>
    <w:p w14:paraId="3524549D">
      <w:pPr>
        <w:bidi w:val="0"/>
        <w:rPr>
          <w:rFonts w:hint="eastAsia"/>
        </w:rPr>
      </w:pPr>
    </w:p>
    <w:p w14:paraId="10272A84">
      <w:pPr>
        <w:bidi w:val="0"/>
        <w:spacing w:line="360" w:lineRule="auto"/>
        <w:rPr>
          <w:rFonts w:ascii="宋体" w:hAnsi="宋体"/>
          <w:szCs w:val="21"/>
        </w:rPr>
      </w:pPr>
    </w:p>
    <w:p w14:paraId="4B4FA96C">
      <w:r>
        <w:br w:type="page"/>
      </w:r>
    </w:p>
    <w:sdt>
      <w:sdtPr>
        <w:rPr>
          <w:rFonts w:ascii="宋体" w:hAnsi="宋体" w:eastAsia="宋体" w:cs="Times New Roman"/>
          <w:kern w:val="2"/>
          <w:sz w:val="28"/>
          <w:szCs w:val="28"/>
          <w:lang w:val="en-US" w:eastAsia="zh-CN" w:bidi="ar-SA"/>
        </w:rPr>
        <w:id w:val="14746505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38B3A5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2981AEE1">
          <w:pPr>
            <w:pStyle w:val="17"/>
            <w:tabs>
              <w:tab w:val="right" w:leader="dot" w:pos="8306"/>
            </w:tabs>
          </w:pPr>
          <w:bookmarkStart w:id="18" w:name="_GoBack"/>
          <w:bookmarkEnd w:id="18"/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_Toc23232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容量管理策略</w:t>
          </w:r>
          <w:r>
            <w:tab/>
          </w:r>
          <w:r>
            <w:fldChar w:fldCharType="begin"/>
          </w:r>
          <w:r>
            <w:instrText xml:space="preserve"> PAGEREF _Toc23232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D91F1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_Toc4394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_Toc4394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613AC2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_Toc12657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_Toc12657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D0E8D8C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_Toc18365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_Toc18365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288F9A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_Toc6753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_Toc6753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FDB8D0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_Toc12553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8BDB332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_Toc5068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_Toc5068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55580A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_Toc16387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8D45E02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_Toc9164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_Toc9164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998618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_Toc19798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管理流程</w:t>
          </w:r>
          <w:r>
            <w:tab/>
          </w:r>
          <w:r>
            <w:fldChar w:fldCharType="begin"/>
          </w:r>
          <w:r>
            <w:instrText xml:space="preserve"> PAGEREF _Toc19798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F6484F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_Toc26484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184FDA0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_Toc21655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</w:t>
          </w:r>
          <w:r>
            <w:tab/>
          </w:r>
          <w:r>
            <w:fldChar w:fldCharType="begin"/>
          </w:r>
          <w:r>
            <w:instrText xml:space="preserve"> PAGEREF _Toc21655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4125F99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_Toc7082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容量分析和评估</w:t>
          </w:r>
          <w:r>
            <w:tab/>
          </w:r>
          <w:r>
            <w:fldChar w:fldCharType="begin"/>
          </w:r>
          <w:r>
            <w:instrText xml:space="preserve"> PAGEREF _Toc7082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CB62FB0">
          <w:pPr>
            <w:pStyle w:val="18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_Toc6185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容量优化</w:t>
          </w:r>
          <w:r>
            <w:tab/>
          </w:r>
          <w:r>
            <w:fldChar w:fldCharType="begin"/>
          </w:r>
          <w:r>
            <w:instrText xml:space="preserve"> PAGEREF _Toc6185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9276E8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_Toc30199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管理原则</w:t>
          </w:r>
          <w:r>
            <w:tab/>
          </w:r>
          <w:r>
            <w:fldChar w:fldCharType="begin"/>
          </w:r>
          <w:r>
            <w:instrText xml:space="preserve"> PAGEREF _Toc30199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EEEA1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_Toc18783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关键指标</w:t>
          </w:r>
          <w:r>
            <w:tab/>
          </w:r>
          <w:r>
            <w:fldChar w:fldCharType="begin"/>
          </w:r>
          <w:r>
            <w:instrText xml:space="preserve"> PAGEREF _Toc18783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53F74E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_Toc5281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与其他流程的关系</w:t>
          </w:r>
          <w:r>
            <w:tab/>
          </w:r>
          <w:r>
            <w:fldChar w:fldCharType="begin"/>
          </w:r>
          <w:r>
            <w:instrText xml:space="preserve"> PAGEREF _Toc5281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04AE2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_Toc32414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相关记录文件</w:t>
          </w:r>
          <w:r>
            <w:tab/>
          </w:r>
          <w:r>
            <w:fldChar w:fldCharType="begin"/>
          </w:r>
          <w:r>
            <w:instrText xml:space="preserve"> PAGEREF _Toc32414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D6B4F7E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7DE9DAED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C5ABC21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br w:type="page"/>
      </w:r>
    </w:p>
    <w:p w14:paraId="3C3F7D42">
      <w:pPr>
        <w:pStyle w:val="30"/>
        <w:bidi w:val="0"/>
        <w:rPr>
          <w:rFonts w:hint="default"/>
          <w:lang w:val="en-US" w:eastAsia="zh-CN"/>
        </w:rPr>
      </w:pPr>
      <w:bookmarkStart w:id="3" w:name="_Toc18365"/>
      <w:r>
        <w:rPr>
          <w:rFonts w:hint="default"/>
          <w:lang w:val="en-US" w:eastAsia="zh-CN"/>
        </w:rPr>
        <w:t>目的</w:t>
      </w:r>
      <w:bookmarkEnd w:id="3"/>
    </w:p>
    <w:p w14:paraId="50734F4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消除客户业务系统容量风险，确保客户业务系统容量能够经济、合理地满足业务需求。</w:t>
      </w:r>
    </w:p>
    <w:p w14:paraId="780190BF">
      <w:pPr>
        <w:pStyle w:val="30"/>
        <w:bidi w:val="0"/>
        <w:rPr>
          <w:rFonts w:hint="default"/>
          <w:lang w:val="en-US" w:eastAsia="zh-CN"/>
        </w:rPr>
      </w:pPr>
      <w:bookmarkStart w:id="4" w:name="_Toc6753"/>
      <w:r>
        <w:rPr>
          <w:rFonts w:hint="default"/>
          <w:lang w:val="en-US" w:eastAsia="zh-CN"/>
        </w:rPr>
        <w:t>适用范围</w:t>
      </w:r>
      <w:bookmarkEnd w:id="4"/>
    </w:p>
    <w:p w14:paraId="442C580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适用于公司运维服务项目容量管理。</w:t>
      </w:r>
    </w:p>
    <w:p w14:paraId="7E08BE26">
      <w:pPr>
        <w:pStyle w:val="30"/>
        <w:bidi w:val="0"/>
        <w:rPr>
          <w:rFonts w:hint="default"/>
          <w:lang w:val="en-US" w:eastAsia="zh-CN"/>
        </w:rPr>
      </w:pPr>
      <w:bookmarkStart w:id="5" w:name="_Toc12553"/>
      <w:r>
        <w:rPr>
          <w:rFonts w:hint="default"/>
          <w:lang w:val="en-US" w:eastAsia="zh-CN"/>
        </w:rPr>
        <w:t>职责</w:t>
      </w:r>
      <w:bookmarkEnd w:id="5"/>
    </w:p>
    <w:p w14:paraId="445E0018">
      <w:pPr>
        <w:pStyle w:val="32"/>
        <w:bidi w:val="0"/>
        <w:rPr>
          <w:rFonts w:hint="default"/>
          <w:lang w:val="en-US" w:eastAsia="zh-CN"/>
        </w:rPr>
      </w:pPr>
      <w:bookmarkStart w:id="6" w:name="_Toc5068"/>
      <w:r>
        <w:rPr>
          <w:rFonts w:hint="eastAsia"/>
          <w:lang w:val="en-US" w:eastAsia="zh-CN"/>
        </w:rPr>
        <w:t>研发部</w:t>
      </w:r>
      <w:bookmarkEnd w:id="6"/>
    </w:p>
    <w:p w14:paraId="05F33B3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负责从技术层面对项目容量计划、容量优化方案进行审批。</w:t>
      </w:r>
    </w:p>
    <w:p w14:paraId="739AD5F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负责指导项目容量监控与优化工作。</w:t>
      </w:r>
    </w:p>
    <w:p w14:paraId="35715682">
      <w:pPr>
        <w:pStyle w:val="32"/>
        <w:bidi w:val="0"/>
        <w:rPr>
          <w:rFonts w:hint="default"/>
          <w:lang w:val="en-US" w:eastAsia="zh-CN"/>
        </w:rPr>
      </w:pPr>
      <w:bookmarkStart w:id="7" w:name="_Toc16387"/>
      <w:r>
        <w:rPr>
          <w:rFonts w:hint="eastAsia"/>
          <w:lang w:val="en-US" w:eastAsia="zh-CN"/>
        </w:rPr>
        <w:t>运维部</w:t>
      </w:r>
      <w:bookmarkEnd w:id="7"/>
    </w:p>
    <w:p w14:paraId="67854E3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负责收集客户业务需求，调查业务系统现状，开展项目容量规划相关工作。</w:t>
      </w:r>
    </w:p>
    <w:p w14:paraId="04C0E34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按照规划开展项目的容量监控工作，收集客户业务需求、业务系统容量数据、项目资源容量数据，必要情况下采取临时措施应对系统容量不足的风险。</w:t>
      </w:r>
    </w:p>
    <w:p w14:paraId="3907178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定期开展容量分析和评估工作，判断系统容量趋势和风险，提出并实施项目容量优化方案。</w:t>
      </w:r>
    </w:p>
    <w:p w14:paraId="7ED65085">
      <w:pPr>
        <w:pStyle w:val="32"/>
        <w:bidi w:val="0"/>
        <w:rPr>
          <w:rFonts w:hint="default"/>
          <w:lang w:val="en-US" w:eastAsia="zh-CN"/>
        </w:rPr>
      </w:pPr>
      <w:bookmarkStart w:id="8" w:name="_Toc9164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8"/>
    </w:p>
    <w:p w14:paraId="1317B63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负责从业务、成本层面对项目容量计划与优化方案进行审批。</w:t>
      </w:r>
    </w:p>
    <w:p w14:paraId="6EE51DA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负责定期对容量管理过程的持续改进工作。</w:t>
      </w:r>
    </w:p>
    <w:p w14:paraId="42FE0FB5">
      <w:pPr>
        <w:pStyle w:val="30"/>
        <w:bidi w:val="0"/>
        <w:rPr>
          <w:rFonts w:hint="default"/>
          <w:lang w:val="en-US" w:eastAsia="zh-CN"/>
        </w:rPr>
      </w:pPr>
      <w:bookmarkStart w:id="9" w:name="_Toc19798"/>
      <w:r>
        <w:rPr>
          <w:rFonts w:hint="default"/>
          <w:lang w:val="en-US" w:eastAsia="zh-CN"/>
        </w:rPr>
        <w:t>管理流程</w:t>
      </w:r>
      <w:bookmarkEnd w:id="9"/>
    </w:p>
    <w:p w14:paraId="140B03F6">
      <w:pPr>
        <w:pStyle w:val="32"/>
        <w:bidi w:val="0"/>
        <w:rPr>
          <w:rFonts w:hint="default"/>
          <w:lang w:val="en-US" w:eastAsia="zh-CN"/>
        </w:rPr>
      </w:pPr>
      <w:bookmarkStart w:id="10" w:name="_Toc26484"/>
      <w:r>
        <w:rPr>
          <w:rFonts w:hint="default"/>
          <w:lang w:val="en-US" w:eastAsia="zh-CN"/>
        </w:rPr>
        <w:t>容量规划</w:t>
      </w:r>
      <w:bookmarkEnd w:id="10"/>
    </w:p>
    <w:p w14:paraId="5A1B3072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项目经理在项目签订后根据系统现状、客户业务需求制定项目《系统容量计划》，包含资产接入标准、性能监控标准等方面。</w:t>
      </w:r>
    </w:p>
    <w:p w14:paraId="75CF4D24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项目经理协同运维工程师从技术、成本、业务的角度对项目《容量计划》进行评审，确保项目具备足够的容量。</w:t>
      </w:r>
    </w:p>
    <w:p w14:paraId="00D64886">
      <w:pPr>
        <w:pStyle w:val="32"/>
        <w:bidi w:val="0"/>
        <w:rPr>
          <w:rFonts w:hint="default"/>
          <w:lang w:val="en-US" w:eastAsia="zh-CN"/>
        </w:rPr>
      </w:pPr>
      <w:bookmarkStart w:id="11" w:name="_Toc21655"/>
      <w:r>
        <w:rPr>
          <w:rFonts w:hint="default"/>
          <w:lang w:val="en-US" w:eastAsia="zh-CN"/>
        </w:rPr>
        <w:t>容量监控</w:t>
      </w:r>
      <w:bookmarkEnd w:id="11"/>
    </w:p>
    <w:p w14:paraId="220F043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项目《容量计划》评审通过后，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项目经理立即按照规划开展容量监控工作，配置相应的资源，安排业务系统容量数据和客户业务需求的收集。</w:t>
      </w:r>
    </w:p>
    <w:p w14:paraId="29FBAB11">
      <w:pPr>
        <w:pStyle w:val="32"/>
        <w:bidi w:val="0"/>
        <w:rPr>
          <w:rFonts w:hint="default"/>
          <w:lang w:val="en-US" w:eastAsia="zh-CN"/>
        </w:rPr>
      </w:pPr>
      <w:bookmarkStart w:id="12" w:name="_Toc7082"/>
      <w:r>
        <w:rPr>
          <w:rFonts w:hint="default"/>
          <w:lang w:val="en-US" w:eastAsia="zh-CN"/>
        </w:rPr>
        <w:t>容量分析和评估</w:t>
      </w:r>
      <w:bookmarkEnd w:id="12"/>
    </w:p>
    <w:p w14:paraId="76CA56C8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项目经理定期对客户业务需求、业务系统容量数据、项目资源容量数据、进行分析和评估，分析容量趋势和变化，识别容量风险。必要情况下采取临时措施应对容量不足的问题。</w:t>
      </w:r>
    </w:p>
    <w:p w14:paraId="4A98594A">
      <w:pPr>
        <w:pStyle w:val="32"/>
        <w:bidi w:val="0"/>
        <w:rPr>
          <w:rFonts w:hint="default"/>
          <w:lang w:val="en-US" w:eastAsia="zh-CN"/>
        </w:rPr>
      </w:pPr>
      <w:bookmarkStart w:id="13" w:name="_Toc6185"/>
      <w:r>
        <w:rPr>
          <w:rFonts w:hint="default"/>
          <w:lang w:val="en-US" w:eastAsia="zh-CN"/>
        </w:rPr>
        <w:t>容量优化</w:t>
      </w:r>
      <w:bookmarkEnd w:id="13"/>
    </w:p>
    <w:p w14:paraId="11480C7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针对容量风险，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项目经理制定相应的《容量优化方案》，明确优化措施和实施计划。</w:t>
      </w:r>
    </w:p>
    <w:p w14:paraId="7F1C5271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项目经理协同运维工程师从业务、技术、成本的角度对项目《容量优化方案》进行评审，在可控的成本范围内提升项目容量。必要情况下，客户服务工程师应当在容量优化后重新评估和更新项目《容量计划》。</w:t>
      </w:r>
    </w:p>
    <w:p w14:paraId="1F4F2ADC">
      <w:pPr>
        <w:pStyle w:val="30"/>
        <w:bidi w:val="0"/>
        <w:rPr>
          <w:rFonts w:hint="default"/>
          <w:lang w:val="en-US" w:eastAsia="zh-CN"/>
        </w:rPr>
      </w:pPr>
      <w:bookmarkStart w:id="14" w:name="_Toc30199"/>
      <w:r>
        <w:rPr>
          <w:rFonts w:hint="default"/>
          <w:lang w:val="en-US" w:eastAsia="zh-CN"/>
        </w:rPr>
        <w:t>管理原则</w:t>
      </w:r>
      <w:bookmarkEnd w:id="14"/>
    </w:p>
    <w:p w14:paraId="066805AD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项目《容量计划》内容应包含核心设备接入指标与阈值、性能关键指标与阈值、系统容量监控计划、工具效能、重要业务节点人员安排等内容。</w:t>
      </w:r>
    </w:p>
    <w:p w14:paraId="3B78101C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应采取相关工具如监控工具开展系统容量的监控工作，提高容量监控效率。</w:t>
      </w:r>
    </w:p>
    <w:p w14:paraId="78D82555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应至少每半年开展一次项目分析和评估工作。</w:t>
      </w:r>
    </w:p>
    <w:p w14:paraId="5E967B36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容量的优化方案应符合预期成本范畴，并在客户许可的情况下实施。</w:t>
      </w:r>
    </w:p>
    <w:p w14:paraId="6653FFF6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当系统容量发生重大调整后，应重新对《容量计划》进行评估和更新。</w:t>
      </w:r>
    </w:p>
    <w:p w14:paraId="46D55407">
      <w:pPr>
        <w:pStyle w:val="43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每年应对容量管理过程进行评估、持续改进。</w:t>
      </w:r>
    </w:p>
    <w:p w14:paraId="62473DF5">
      <w:pPr>
        <w:pStyle w:val="30"/>
        <w:bidi w:val="0"/>
        <w:rPr>
          <w:rFonts w:hint="default"/>
          <w:lang w:val="en-US" w:eastAsia="zh-CN"/>
        </w:rPr>
      </w:pPr>
      <w:bookmarkStart w:id="15" w:name="_Toc18783"/>
      <w:r>
        <w:rPr>
          <w:rFonts w:hint="default"/>
          <w:lang w:val="en-US" w:eastAsia="zh-CN"/>
        </w:rPr>
        <w:t>关键指标</w:t>
      </w:r>
      <w:bookmarkEnd w:id="15"/>
    </w:p>
    <w:tbl>
      <w:tblPr>
        <w:tblStyle w:val="28"/>
        <w:tblW w:w="8328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551"/>
        <w:gridCol w:w="3950"/>
        <w:gridCol w:w="1050"/>
        <w:gridCol w:w="1050"/>
      </w:tblGrid>
      <w:tr w14:paraId="51441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52E6C05A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551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2F4A5CA7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95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6DD922AB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05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65F21281">
            <w:pPr>
              <w:spacing w:before="205" w:line="221" w:lineRule="auto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05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0357830B">
            <w:pPr>
              <w:spacing w:before="205" w:line="221" w:lineRule="auto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6A6BEE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4781A5E1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1" w:type="dxa"/>
            <w:tcBorders>
              <w:top w:val="single" w:color="000000" w:sz="6" w:space="0"/>
            </w:tcBorders>
          </w:tcPr>
          <w:p w14:paraId="1ACD46D6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容量事件次数</w:t>
            </w:r>
          </w:p>
        </w:tc>
        <w:tc>
          <w:tcPr>
            <w:tcW w:w="3950" w:type="dxa"/>
            <w:tcBorders>
              <w:top w:val="single" w:color="000000" w:sz="6" w:space="0"/>
              <w:right w:val="single" w:color="000000" w:sz="6" w:space="0"/>
            </w:tcBorders>
          </w:tcPr>
          <w:p w14:paraId="56F5288B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数量:由于容量原因发生的事件数量</w:t>
            </w:r>
          </w:p>
        </w:tc>
        <w:tc>
          <w:tcPr>
            <w:tcW w:w="1050" w:type="dxa"/>
            <w:tcBorders>
              <w:top w:val="single" w:color="000000" w:sz="6" w:space="0"/>
              <w:right w:val="single" w:color="000000" w:sz="6" w:space="0"/>
            </w:tcBorders>
          </w:tcPr>
          <w:p w14:paraId="0BD6A355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1050" w:type="dxa"/>
            <w:tcBorders>
              <w:top w:val="single" w:color="000000" w:sz="6" w:space="0"/>
              <w:right w:val="single" w:color="000000" w:sz="6" w:space="0"/>
            </w:tcBorders>
          </w:tcPr>
          <w:p w14:paraId="06046EB5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≤2次</w:t>
            </w:r>
          </w:p>
        </w:tc>
      </w:tr>
    </w:tbl>
    <w:p w14:paraId="4C63BC1E">
      <w:pPr>
        <w:pStyle w:val="30"/>
        <w:bidi w:val="0"/>
        <w:rPr>
          <w:rFonts w:hint="default"/>
          <w:lang w:val="en-US" w:eastAsia="zh-CN"/>
        </w:rPr>
      </w:pPr>
      <w:bookmarkStart w:id="16" w:name="_Toc5281"/>
      <w:r>
        <w:rPr>
          <w:rFonts w:hint="default"/>
          <w:lang w:val="en-US" w:eastAsia="zh-CN"/>
        </w:rPr>
        <w:t>与其他流程的关系</w:t>
      </w:r>
      <w:bookmarkEnd w:id="16"/>
    </w:p>
    <w:p w14:paraId="53E3FB85">
      <w:pPr>
        <w:pStyle w:val="4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与事件管理流程的关系：在容量监控活动中，发现业务系统容量不足的情况，通过事件管理流程进行处置。</w:t>
      </w:r>
    </w:p>
    <w:p w14:paraId="4D827077">
      <w:pPr>
        <w:pStyle w:val="4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与问题管理流程的关系：识别出影响系统容量的隐患，可通过问题管理流程进行处置。</w:t>
      </w:r>
    </w:p>
    <w:p w14:paraId="3FFDB9F9">
      <w:pPr>
        <w:pStyle w:val="4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与变更、发布管理流程的关系：系统容量优化的实施可通过变更、发布管理流程进行管控。</w:t>
      </w:r>
    </w:p>
    <w:p w14:paraId="397E37BD">
      <w:pPr>
        <w:pStyle w:val="4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与配置管理流程的关系：配置管理数据库为容量管理提供数据范畴。</w:t>
      </w:r>
    </w:p>
    <w:p w14:paraId="51E241AF">
      <w:pPr>
        <w:pStyle w:val="4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与可用性和连续管理流程的关系：系统容量的提升在一定程度上能够提升业务系统的可用性和连续性。</w:t>
      </w:r>
    </w:p>
    <w:p w14:paraId="461477E7">
      <w:pPr>
        <w:pStyle w:val="30"/>
        <w:bidi w:val="0"/>
        <w:rPr>
          <w:rFonts w:hint="default"/>
          <w:lang w:val="en-US" w:eastAsia="zh-CN"/>
        </w:rPr>
      </w:pPr>
      <w:bookmarkStart w:id="17" w:name="_Toc32414"/>
      <w:r>
        <w:rPr>
          <w:rFonts w:hint="default"/>
          <w:lang w:val="en-US" w:eastAsia="zh-CN"/>
        </w:rPr>
        <w:t>相关记录文件</w:t>
      </w:r>
      <w:bookmarkEnd w:id="17"/>
    </w:p>
    <w:p w14:paraId="5B76CBC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《容量计划》</w:t>
      </w:r>
    </w:p>
    <w:p w14:paraId="4D8D4F7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《容量分析和评估报告》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232D1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6AAC1">
    <w:pPr>
      <w:pStyle w:val="16"/>
      <w:pBdr>
        <w:bottom w:val="single" w:color="auto" w:sz="4" w:space="1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177FD3"/>
    <w:multiLevelType w:val="singleLevel"/>
    <w:tmpl w:val="98177F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CF37B8"/>
    <w:multiLevelType w:val="singleLevel"/>
    <w:tmpl w:val="BCCF37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3B18D39"/>
    <w:multiLevelType w:val="singleLevel"/>
    <w:tmpl w:val="63B18D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814EDA"/>
    <w:rsid w:val="1ADE025A"/>
    <w:rsid w:val="22805D65"/>
    <w:rsid w:val="33577A92"/>
    <w:rsid w:val="38561A88"/>
    <w:rsid w:val="48E15C76"/>
    <w:rsid w:val="4B6B71A0"/>
    <w:rsid w:val="70E46F2A"/>
    <w:rsid w:val="76EE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3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Compact"/>
    <w:basedOn w:val="13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2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5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1384</Words>
  <Characters>1445</Characters>
  <Lines>0</Lines>
  <Paragraphs>0</Paragraphs>
  <TotalTime>0</TotalTime>
  <ScaleCrop>false</ScaleCrop>
  <LinksUpToDate>false</LinksUpToDate>
  <CharactersWithSpaces>1511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2026-01-03T20:04:04Z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