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E0409">
      <w:pPr>
        <w:pStyle w:val="26"/>
        <w:bidi w:val="0"/>
      </w:pPr>
      <w:bookmarkStart w:id="0" w:name="_Toc8879"/>
      <w:r>
        <w:t>可用性计划</w:t>
      </w:r>
      <w:bookmarkEnd w:id="0"/>
    </w:p>
    <w:p w14:paraId="786C1A2F">
      <w:pPr>
        <w:pStyle w:val="27"/>
        <w:bidi w:val="0"/>
      </w:pPr>
      <w:bookmarkStart w:id="1" w:name="_Toc10373"/>
      <w:r>
        <w:t>甘肃国邦信息科技有限公司</w:t>
      </w:r>
      <w:bookmarkEnd w:id="1"/>
    </w:p>
    <w:p w14:paraId="6DE319B3">
      <w:pPr>
        <w:spacing w:before="117" w:line="219" w:lineRule="auto"/>
        <w:jc w:val="center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6C7CFB59">
      <w:r>
        <w:br w:type="page"/>
      </w:r>
    </w:p>
    <w:p w14:paraId="7DEDE57F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469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36409747">
      <w:pPr>
        <w:spacing w:line="16" w:lineRule="exact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204FE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4A68E17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64EABAF2">
            <w:pPr>
              <w:pStyle w:val="25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可用性计划</w:t>
            </w:r>
            <w:r>
              <w:rPr>
                <w:spacing w:val="-1"/>
              </w:rPr>
              <w:t>（GSGB-ITSS-</w:t>
            </w:r>
            <w:r>
              <w:rPr>
                <w:rFonts w:hint="eastAsia" w:eastAsia="宋体"/>
                <w:spacing w:val="-1"/>
                <w:lang w:val="en-US" w:eastAsia="zh-CN"/>
              </w:rPr>
              <w:t>KYXJH</w:t>
            </w:r>
            <w:r>
              <w:rPr>
                <w:spacing w:val="-1"/>
              </w:rPr>
              <w:t>）</w:t>
            </w:r>
          </w:p>
        </w:tc>
      </w:tr>
      <w:tr w14:paraId="4722EF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6A19658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76C6AD81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5AE06E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68E0D088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4982727C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0756ED21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6346F2C8">
            <w:pPr>
              <w:pStyle w:val="25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619BBFBD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7F864C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EA5FDFB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7B51811F">
            <w:pPr>
              <w:pStyle w:val="25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 w14:paraId="7E91D167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74D573C1">
            <w:pPr>
              <w:pStyle w:val="25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57B10CF4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2D2EB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6AD4970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303D3188">
            <w:pPr>
              <w:pStyle w:val="25"/>
              <w:spacing w:before="164"/>
              <w:ind w:left="361"/>
            </w:pPr>
          </w:p>
        </w:tc>
        <w:tc>
          <w:tcPr>
            <w:tcW w:w="2302" w:type="dxa"/>
          </w:tcPr>
          <w:p w14:paraId="25CF3833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23D7D27D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2361D238">
            <w:pPr>
              <w:pStyle w:val="25"/>
              <w:spacing w:before="134" w:line="220" w:lineRule="auto"/>
              <w:ind w:left="672"/>
            </w:pPr>
          </w:p>
        </w:tc>
      </w:tr>
      <w:tr w14:paraId="2C1CB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81F6417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700D4AD8">
            <w:pPr>
              <w:pStyle w:val="25"/>
              <w:spacing w:before="165"/>
              <w:ind w:left="361"/>
            </w:pPr>
          </w:p>
        </w:tc>
        <w:tc>
          <w:tcPr>
            <w:tcW w:w="2302" w:type="dxa"/>
          </w:tcPr>
          <w:p w14:paraId="36C47C98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2DD61249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22E8FE6D">
            <w:pPr>
              <w:pStyle w:val="25"/>
              <w:spacing w:before="135" w:line="220" w:lineRule="auto"/>
              <w:ind w:left="672"/>
            </w:pPr>
          </w:p>
        </w:tc>
      </w:tr>
      <w:tr w14:paraId="3C288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E6FC3CE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2BA2FA3D">
            <w:pPr>
              <w:pStyle w:val="25"/>
              <w:spacing w:before="166"/>
              <w:ind w:left="361"/>
            </w:pPr>
          </w:p>
        </w:tc>
        <w:tc>
          <w:tcPr>
            <w:tcW w:w="2302" w:type="dxa"/>
          </w:tcPr>
          <w:p w14:paraId="4DFCBE8C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71028237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692554B7">
            <w:pPr>
              <w:pStyle w:val="25"/>
              <w:spacing w:before="136" w:line="220" w:lineRule="auto"/>
              <w:ind w:left="672"/>
            </w:pPr>
          </w:p>
        </w:tc>
      </w:tr>
      <w:tr w14:paraId="06349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C490FC6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1CD842F5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1230654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2A212D28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34ACA1F">
            <w:pPr>
              <w:rPr>
                <w:rFonts w:ascii="Arial"/>
                <w:sz w:val="21"/>
              </w:rPr>
            </w:pPr>
          </w:p>
        </w:tc>
      </w:tr>
    </w:tbl>
    <w:p w14:paraId="29122B61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3573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5A3344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FD1D67D">
          <w:pPr>
            <w:pStyle w:val="16"/>
            <w:tabs>
              <w:tab w:val="right" w:leader="dot" w:pos="9743"/>
            </w:tabs>
          </w:pPr>
          <w:bookmarkStart w:id="18" w:name="_GoBack"/>
          <w:bookmarkEnd w:id="18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_Toc8879 </w:instrText>
          </w:r>
          <w:r>
            <w:fldChar w:fldCharType="separate"/>
          </w:r>
          <w:r>
            <w:t>可用性计划</w:t>
          </w:r>
          <w:r>
            <w:tab/>
          </w:r>
          <w:r>
            <w:fldChar w:fldCharType="begin"/>
          </w:r>
          <w:r>
            <w:instrText xml:space="preserve"> PAGEREF _Toc8879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E182F3B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_Toc10373 </w:instrText>
          </w:r>
          <w: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_Toc10373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ED0FD93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_Toc469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_Toc469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B351002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_Toc10075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_Toc10075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467188E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_Toc3225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_Toc3225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194F857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_Toc23771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可用性需求</w:t>
          </w:r>
          <w:r>
            <w:tab/>
          </w:r>
          <w:r>
            <w:fldChar w:fldCharType="begin"/>
          </w:r>
          <w:r>
            <w:instrText xml:space="preserve"> PAGEREF _Toc23771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CEE1E47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_Toc10194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可用性目标与指标</w:t>
          </w:r>
          <w:r>
            <w:tab/>
          </w:r>
          <w:r>
            <w:fldChar w:fldCharType="begin"/>
          </w:r>
          <w:r>
            <w:instrText xml:space="preserve"> PAGEREF _Toc10194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A34D7D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_Toc8354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可用性管理策略</w:t>
          </w:r>
          <w:r>
            <w:tab/>
          </w:r>
          <w:r>
            <w:fldChar w:fldCharType="begin"/>
          </w:r>
          <w:r>
            <w:instrText xml:space="preserve"> PAGEREF _Toc8354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A05C26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_Toc16965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检测与监控机制</w:t>
          </w:r>
          <w:r>
            <w:tab/>
          </w:r>
          <w:r>
            <w:fldChar w:fldCharType="begin"/>
          </w:r>
          <w:r>
            <w:instrText xml:space="preserve"> PAGEREF _Toc16965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C091DF3">
          <w:pPr>
            <w:pStyle w:val="17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_Toc11669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</w:rPr>
            <w:t>人工巡检</w:t>
          </w:r>
          <w:r>
            <w:tab/>
          </w:r>
          <w:r>
            <w:fldChar w:fldCharType="begin"/>
          </w:r>
          <w:r>
            <w:instrText xml:space="preserve"> PAGEREF _Toc11669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2C63F7">
          <w:pPr>
            <w:pStyle w:val="17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_Toc23979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</w:rPr>
            <w:t>自动监控</w:t>
          </w:r>
          <w:r>
            <w:tab/>
          </w:r>
          <w:r>
            <w:fldChar w:fldCharType="begin"/>
          </w:r>
          <w:r>
            <w:instrText xml:space="preserve"> PAGEREF _Toc23979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6A55AC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_Toc3914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维护与优化流程</w:t>
          </w:r>
          <w:r>
            <w:tab/>
          </w:r>
          <w:r>
            <w:fldChar w:fldCharType="begin"/>
          </w:r>
          <w:r>
            <w:instrText xml:space="preserve"> PAGEREF _Toc3914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47F400">
          <w:pPr>
            <w:pStyle w:val="17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_Toc11514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rPr>
              <w:rFonts w:hint="eastAsia"/>
            </w:rPr>
            <w:t>定期维护</w:t>
          </w:r>
          <w:r>
            <w:tab/>
          </w:r>
          <w:r>
            <w:fldChar w:fldCharType="begin"/>
          </w:r>
          <w:r>
            <w:instrText xml:space="preserve"> PAGEREF _Toc11514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ED7D849">
          <w:pPr>
            <w:pStyle w:val="17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_Toc5037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rPr>
              <w:rFonts w:hint="eastAsia"/>
            </w:rPr>
            <w:t>变更管理</w:t>
          </w:r>
          <w:r>
            <w:tab/>
          </w:r>
          <w:r>
            <w:fldChar w:fldCharType="begin"/>
          </w:r>
          <w:r>
            <w:instrText xml:space="preserve"> PAGEREF _Toc5037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0F5F32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_Toc23036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rPr>
              <w:rFonts w:hint="eastAsia"/>
            </w:rPr>
            <w:t>恢复与应急方案</w:t>
          </w:r>
          <w:r>
            <w:tab/>
          </w:r>
          <w:r>
            <w:fldChar w:fldCharType="begin"/>
          </w:r>
          <w:r>
            <w:instrText xml:space="preserve"> PAGEREF _Toc23036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59A486">
          <w:pPr>
            <w:pStyle w:val="17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_Toc10952 </w:instrText>
          </w:r>
          <w:r>
            <w:fldChar w:fldCharType="separate"/>
          </w:r>
          <w:r>
            <w:rPr>
              <w:rFonts w:hint="default"/>
            </w:rPr>
            <w:t xml:space="preserve">8.1. </w:t>
          </w:r>
          <w:r>
            <w:rPr>
              <w:rFonts w:hint="eastAsia"/>
            </w:rPr>
            <w:t>故障分级与响应</w:t>
          </w:r>
          <w:r>
            <w:tab/>
          </w:r>
          <w:r>
            <w:fldChar w:fldCharType="begin"/>
          </w:r>
          <w:r>
            <w:instrText xml:space="preserve"> PAGEREF _Toc10952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57E0FC9">
          <w:pPr>
            <w:pStyle w:val="17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_Toc21611 </w:instrText>
          </w:r>
          <w:r>
            <w:fldChar w:fldCharType="separate"/>
          </w:r>
          <w:r>
            <w:rPr>
              <w:rFonts w:hint="default"/>
            </w:rPr>
            <w:t xml:space="preserve">8.2. </w:t>
          </w:r>
          <w:r>
            <w:rPr>
              <w:rFonts w:hint="eastAsia"/>
            </w:rPr>
            <w:t>恢复流程</w:t>
          </w:r>
          <w:r>
            <w:tab/>
          </w:r>
          <w:r>
            <w:fldChar w:fldCharType="begin"/>
          </w:r>
          <w:r>
            <w:instrText xml:space="preserve"> PAGEREF _Toc21611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A3DC449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_Toc11739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rPr>
              <w:rFonts w:hint="eastAsia"/>
            </w:rPr>
            <w:t>培训与演练</w:t>
          </w:r>
          <w:r>
            <w:tab/>
          </w:r>
          <w:r>
            <w:fldChar w:fldCharType="begin"/>
          </w:r>
          <w:r>
            <w:instrText xml:space="preserve"> PAGEREF _Toc11739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44A3AF8">
          <w:r>
            <w:fldChar w:fldCharType="end"/>
          </w:r>
        </w:p>
      </w:sdtContent>
    </w:sdt>
    <w:p w14:paraId="4F14BEB9">
      <w:r>
        <w:rPr>
          <w:rFonts w:ascii="Arial" w:hAnsi="Arial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D5D835C">
      <w:pPr>
        <w:pStyle w:val="28"/>
        <w:bidi w:val="0"/>
      </w:pPr>
      <w:bookmarkStart w:id="3" w:name="_Toc10075"/>
      <w:r>
        <w:t>目的</w:t>
      </w:r>
      <w:bookmarkEnd w:id="3"/>
    </w:p>
    <w:p w14:paraId="4CA3E8CE">
      <w:pPr>
        <w:pStyle w:val="29"/>
        <w:bidi w:val="0"/>
        <w:rPr>
          <w:rFonts w:hint="default"/>
          <w:lang w:val="en-US" w:eastAsia="zh-CN"/>
        </w:rPr>
      </w:pPr>
      <w:r>
        <w:t>实施可用性计划的目的是</w:t>
      </w:r>
      <w:r>
        <w:rPr>
          <w:rFonts w:hint="eastAsia"/>
          <w:lang w:val="en-US" w:eastAsia="zh-CN"/>
        </w:rPr>
        <w:t>为了系统的提升服务组建的可用性水平，从而降低风险、避免业务中断。</w:t>
      </w:r>
    </w:p>
    <w:p w14:paraId="660E41C1">
      <w:pPr>
        <w:pStyle w:val="28"/>
        <w:bidi w:val="0"/>
      </w:pPr>
      <w:bookmarkStart w:id="4" w:name="_Toc3225"/>
      <w:r>
        <w:t>范围</w:t>
      </w:r>
      <w:bookmarkEnd w:id="4"/>
    </w:p>
    <w:p w14:paraId="4F030600">
      <w:pPr>
        <w:pStyle w:val="29"/>
        <w:bidi w:val="0"/>
      </w:pPr>
      <w:r>
        <w:t>与运维服务工作及运行中需要的设施及系统</w:t>
      </w:r>
    </w:p>
    <w:p w14:paraId="41C8CD75">
      <w:pPr>
        <w:pStyle w:val="28"/>
        <w:bidi w:val="0"/>
      </w:pPr>
      <w:bookmarkStart w:id="5" w:name="_Toc23771"/>
      <w:r>
        <w:t>可用性需求</w:t>
      </w:r>
      <w:bookmarkEnd w:id="5"/>
    </w:p>
    <w:p w14:paraId="36C287B9">
      <w:pPr>
        <w:pStyle w:val="29"/>
        <w:bidi w:val="0"/>
      </w:pPr>
      <w:r>
        <w:t>根据业务需求提出客户的可用性需求，包括系统运行需求和客户服务：</w:t>
      </w:r>
    </w:p>
    <w:p w14:paraId="6B9D3346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可用时间：7*24 小时</w:t>
      </w:r>
    </w:p>
    <w:p w14:paraId="1D267524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宕机时间：服务器维修升级期间，停止服务器需提前通知用户</w:t>
      </w:r>
    </w:p>
    <w:p w14:paraId="4AAE986C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最低绩效：停机检修安排避开高峰期，一般安排在晚上 7 点，维修时间尽量在 12 小时完成。</w:t>
      </w:r>
    </w:p>
    <w:p w14:paraId="72607971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有升级服务发生即要产生可用性报告提交给部门领导。</w:t>
      </w:r>
    </w:p>
    <w:p w14:paraId="26F49A83">
      <w:pPr>
        <w:pStyle w:val="28"/>
        <w:bidi w:val="0"/>
      </w:pPr>
      <w:bookmarkStart w:id="6" w:name="_Toc10194"/>
      <w:r>
        <w:rPr>
          <w:rFonts w:hint="eastAsia"/>
          <w:lang w:val="en-US" w:eastAsia="zh-CN"/>
        </w:rPr>
        <w:t>可用性目标与指标</w:t>
      </w:r>
      <w:bookmarkEnd w:id="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2"/>
        <w:gridCol w:w="1459"/>
        <w:gridCol w:w="6003"/>
      </w:tblGrid>
      <w:tr w14:paraId="7A7FF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84C0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指标项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6A82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B009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3A3EA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C83F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系统可用性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D6A5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 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63EF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按季度统计，计算公式：（可用时间 / 总运行时间）× 100%</w:t>
            </w:r>
          </w:p>
        </w:tc>
      </w:tr>
      <w:tr w14:paraId="12493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4E1C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计划内停机时长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D493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 12小时/次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DD79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系统升级、维护等计划内操作，需提前通知用户并避开业务高峰时段</w:t>
            </w:r>
          </w:p>
        </w:tc>
      </w:tr>
      <w:tr w14:paraId="255A8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6AD1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非计划中断次数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F1F8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 2次/季度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E8D6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因故障、异常等导致的非预期中断</w:t>
            </w:r>
          </w:p>
        </w:tc>
      </w:tr>
      <w:tr w14:paraId="7213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DA8D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故障响应时间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719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 4小时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D64E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从故障报告至工程师到达现场的时间</w:t>
            </w:r>
          </w:p>
        </w:tc>
      </w:tr>
      <w:tr w14:paraId="6AC2D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6D8C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故障恢复时间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BC6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 24小时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F2D3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从故障发生至系统恢复服务的时间</w:t>
            </w:r>
          </w:p>
        </w:tc>
      </w:tr>
    </w:tbl>
    <w:p w14:paraId="0F0D60EA">
      <w:pPr>
        <w:pStyle w:val="28"/>
        <w:bidi w:val="0"/>
      </w:pPr>
      <w:bookmarkStart w:id="7" w:name="_Toc8354"/>
      <w:r>
        <w:rPr>
          <w:rFonts w:hint="eastAsia"/>
          <w:lang w:val="en-US" w:eastAsia="zh-CN"/>
        </w:rPr>
        <w:t>可用性管理策略</w:t>
      </w:r>
      <w:bookmarkEnd w:id="7"/>
    </w:p>
    <w:p w14:paraId="02C7B964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预防为主：通过定期巡检、健康检查、容量规划等措施，预防系统故障。</w:t>
      </w:r>
    </w:p>
    <w:p w14:paraId="7F55BE6A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快速响应：建立分级响应机制，确保故障及时上报与处理。</w:t>
      </w:r>
    </w:p>
    <w:p w14:paraId="74692866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持续优化：基于监控数据与事件分析，持续优化系统架构与配置。</w:t>
      </w:r>
    </w:p>
    <w:p w14:paraId="718697DF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eastAsia"/>
        </w:rPr>
        <w:t>文档化管理：所有维护、变更、故障处理均需记录并归档。</w:t>
      </w:r>
    </w:p>
    <w:p w14:paraId="0E1B0EE9">
      <w:pPr>
        <w:pStyle w:val="28"/>
        <w:bidi w:val="0"/>
        <w:rPr>
          <w:rFonts w:hint="eastAsia"/>
        </w:rPr>
      </w:pPr>
      <w:bookmarkStart w:id="8" w:name="_Toc16965"/>
      <w:r>
        <w:rPr>
          <w:rFonts w:hint="eastAsia"/>
        </w:rPr>
        <w:t>检测与监控机制</w:t>
      </w:r>
      <w:bookmarkEnd w:id="8"/>
    </w:p>
    <w:p w14:paraId="3638BD7C">
      <w:pPr>
        <w:pStyle w:val="30"/>
        <w:bidi w:val="0"/>
        <w:rPr>
          <w:rFonts w:hint="eastAsia"/>
        </w:rPr>
      </w:pPr>
      <w:bookmarkStart w:id="9" w:name="_Toc11669"/>
      <w:r>
        <w:rPr>
          <w:rFonts w:hint="eastAsia"/>
        </w:rPr>
        <w:t>人工巡检</w:t>
      </w:r>
      <w:bookmarkEnd w:id="9"/>
    </w:p>
    <w:p w14:paraId="63B3ECC4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频率：每月至少一次</w:t>
      </w:r>
    </w:p>
    <w:p w14:paraId="07BCD66C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内容：</w:t>
      </w:r>
    </w:p>
    <w:p w14:paraId="1F4CE416">
      <w:pPr>
        <w:pStyle w:val="39"/>
        <w:numPr>
          <w:ilvl w:val="0"/>
          <w:numId w:val="5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硬件状态检查（温度、风扇、电源、指示灯等）</w:t>
      </w:r>
    </w:p>
    <w:p w14:paraId="553E658B">
      <w:pPr>
        <w:pStyle w:val="39"/>
        <w:numPr>
          <w:ilvl w:val="0"/>
          <w:numId w:val="5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系统日志审查（错误日志、性能日志、安全日志）</w:t>
      </w:r>
    </w:p>
    <w:p w14:paraId="255BDE98">
      <w:pPr>
        <w:pStyle w:val="39"/>
        <w:numPr>
          <w:ilvl w:val="0"/>
          <w:numId w:val="5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数据库状态与备份验证</w:t>
      </w:r>
    </w:p>
    <w:p w14:paraId="0F628793">
      <w:pPr>
        <w:pStyle w:val="39"/>
        <w:numPr>
          <w:ilvl w:val="0"/>
          <w:numId w:val="5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网络连通性与带宽使用情况</w:t>
      </w:r>
    </w:p>
    <w:p w14:paraId="2F16B43F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记录：巡检结果登记于《系统巡检记录表》，异常情况立即上报。</w:t>
      </w:r>
    </w:p>
    <w:p w14:paraId="3DFAAF84">
      <w:pPr>
        <w:pStyle w:val="30"/>
        <w:bidi w:val="0"/>
        <w:rPr>
          <w:rFonts w:hint="eastAsia"/>
        </w:rPr>
      </w:pPr>
      <w:bookmarkStart w:id="10" w:name="_Toc23979"/>
      <w:r>
        <w:rPr>
          <w:rFonts w:hint="eastAsia"/>
        </w:rPr>
        <w:t>自动监控</w:t>
      </w:r>
      <w:bookmarkEnd w:id="10"/>
    </w:p>
    <w:p w14:paraId="4D7D53D6">
      <w:pPr>
        <w:pStyle w:val="3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监控工具：部署集中监控系统（如Zabbix、Prometheus等）</w:t>
      </w:r>
    </w:p>
    <w:p w14:paraId="107FAC14">
      <w:pPr>
        <w:pStyle w:val="3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监控范围：</w:t>
      </w:r>
    </w:p>
    <w:p w14:paraId="1EDCCAB6">
      <w:pPr>
        <w:pStyle w:val="39"/>
        <w:numPr>
          <w:ilvl w:val="0"/>
          <w:numId w:val="7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服务器CPU、内存、磁盘使用率</w:t>
      </w:r>
    </w:p>
    <w:p w14:paraId="266BAE1E">
      <w:pPr>
        <w:pStyle w:val="39"/>
        <w:numPr>
          <w:ilvl w:val="0"/>
          <w:numId w:val="7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网络设备状态与流量</w:t>
      </w:r>
    </w:p>
    <w:p w14:paraId="16AD1D1B">
      <w:pPr>
        <w:pStyle w:val="39"/>
        <w:numPr>
          <w:ilvl w:val="0"/>
          <w:numId w:val="7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应用服务端口与进程状态</w:t>
      </w:r>
    </w:p>
    <w:p w14:paraId="3DC906B1">
      <w:pPr>
        <w:pStyle w:val="39"/>
        <w:numPr>
          <w:ilvl w:val="0"/>
          <w:numId w:val="7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数据库连接与性能指标</w:t>
      </w:r>
    </w:p>
    <w:p w14:paraId="695EAD42">
      <w:pPr>
        <w:pStyle w:val="3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告警机制：设置阈值告警，通过邮件、短信、钉钉等方式通知运维人员。</w:t>
      </w:r>
    </w:p>
    <w:p w14:paraId="735C977D">
      <w:pPr>
        <w:pStyle w:val="28"/>
        <w:bidi w:val="0"/>
        <w:rPr>
          <w:rFonts w:hint="eastAsia"/>
        </w:rPr>
      </w:pPr>
      <w:bookmarkStart w:id="11" w:name="_Toc3914"/>
      <w:r>
        <w:rPr>
          <w:rFonts w:hint="eastAsia"/>
        </w:rPr>
        <w:t>维护与优化流程</w:t>
      </w:r>
      <w:bookmarkEnd w:id="11"/>
    </w:p>
    <w:p w14:paraId="08286085">
      <w:pPr>
        <w:pStyle w:val="30"/>
        <w:bidi w:val="0"/>
        <w:rPr>
          <w:rFonts w:hint="eastAsia"/>
        </w:rPr>
      </w:pPr>
      <w:bookmarkStart w:id="12" w:name="_Toc11514"/>
      <w:r>
        <w:rPr>
          <w:rFonts w:hint="eastAsia"/>
        </w:rPr>
        <w:t>定期维护</w:t>
      </w:r>
      <w:bookmarkEnd w:id="12"/>
    </w:p>
    <w:p w14:paraId="00FF5938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系统更新：每月评估并执行安全补丁与系统更新。</w:t>
      </w:r>
    </w:p>
    <w:p w14:paraId="11622A0F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性能调优：每季度进行一次系统性能分析与调优。</w:t>
      </w:r>
    </w:p>
    <w:p w14:paraId="4B9D1965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备份验证：每周验证备份数据的完整性与可恢复性。</w:t>
      </w:r>
    </w:p>
    <w:p w14:paraId="1F98E31C">
      <w:pPr>
        <w:pStyle w:val="30"/>
        <w:bidi w:val="0"/>
        <w:rPr>
          <w:rFonts w:hint="eastAsia"/>
        </w:rPr>
      </w:pPr>
      <w:bookmarkStart w:id="13" w:name="_Toc5037"/>
      <w:r>
        <w:rPr>
          <w:rFonts w:hint="eastAsia"/>
        </w:rPr>
        <w:t>变更管理</w:t>
      </w:r>
      <w:bookmarkEnd w:id="13"/>
    </w:p>
    <w:p w14:paraId="37E189E5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所有可能影响系统可用性的变更（如硬件更换、软件升级、配置调整）必须：</w:t>
      </w:r>
    </w:p>
    <w:p w14:paraId="07BCFC9E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提交变更请求（RFC）</w:t>
      </w:r>
    </w:p>
    <w:p w14:paraId="33F2D054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进行影响评估与风险分析</w:t>
      </w:r>
    </w:p>
    <w:p w14:paraId="0AD428B6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在维护窗口内执行（建议晚间或周末）</w:t>
      </w:r>
    </w:p>
    <w:p w14:paraId="16E1270F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变更后验证系统状态</w:t>
      </w:r>
    </w:p>
    <w:p w14:paraId="04A4B5E0">
      <w:pPr>
        <w:pStyle w:val="28"/>
        <w:bidi w:val="0"/>
        <w:rPr>
          <w:rFonts w:hint="eastAsia"/>
        </w:rPr>
      </w:pPr>
      <w:bookmarkStart w:id="14" w:name="_Toc23036"/>
      <w:r>
        <w:rPr>
          <w:rFonts w:hint="eastAsia"/>
        </w:rPr>
        <w:t>恢复与应急方案</w:t>
      </w:r>
      <w:bookmarkEnd w:id="14"/>
    </w:p>
    <w:p w14:paraId="20BAB0CA">
      <w:pPr>
        <w:pStyle w:val="30"/>
        <w:bidi w:val="0"/>
        <w:rPr>
          <w:rFonts w:hint="eastAsia"/>
        </w:rPr>
      </w:pPr>
      <w:bookmarkStart w:id="15" w:name="_Toc10952"/>
      <w:r>
        <w:rPr>
          <w:rFonts w:hint="eastAsia"/>
        </w:rPr>
        <w:t>故障分级与响应</w:t>
      </w:r>
      <w:bookmarkEnd w:id="15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1644"/>
        <w:gridCol w:w="1119"/>
        <w:gridCol w:w="1915"/>
      </w:tblGrid>
      <w:tr w14:paraId="40A7B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848E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0189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影响范围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DB9E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响应时限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FBF0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升级机制</w:t>
            </w:r>
          </w:p>
        </w:tc>
      </w:tr>
      <w:tr w14:paraId="5674B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A7C9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2D91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系统完全不可用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4B8E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15分钟内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F12D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立即通知技术负责人</w:t>
            </w:r>
          </w:p>
        </w:tc>
      </w:tr>
      <w:tr w14:paraId="28A7B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C3FF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1905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核心功能受影响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98B9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30分钟内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3B00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1小时内上报运维经理</w:t>
            </w:r>
          </w:p>
        </w:tc>
      </w:tr>
      <w:tr w14:paraId="15EC1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C01C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D9C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非核心功能异常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C4A9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2小时内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FF75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日常处理，记录在案</w:t>
            </w:r>
          </w:p>
        </w:tc>
      </w:tr>
    </w:tbl>
    <w:p w14:paraId="2EB6BD5A">
      <w:pPr>
        <w:pStyle w:val="30"/>
        <w:bidi w:val="0"/>
        <w:rPr>
          <w:rFonts w:hint="eastAsia"/>
        </w:rPr>
      </w:pPr>
      <w:bookmarkStart w:id="16" w:name="_Toc21611"/>
      <w:r>
        <w:rPr>
          <w:rFonts w:hint="eastAsia"/>
        </w:rPr>
        <w:t>恢复流程</w:t>
      </w:r>
      <w:bookmarkEnd w:id="16"/>
    </w:p>
    <w:p w14:paraId="17EA2985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定位问题：通过监控与日志快速定位故障点</w:t>
      </w:r>
    </w:p>
    <w:p w14:paraId="0485B62E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临时恢复：如可能，采取临时措施恢复服务</w:t>
      </w:r>
    </w:p>
    <w:p w14:paraId="0FF2E809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根本解决：分析根本原因，实施修复方案</w:t>
      </w:r>
    </w:p>
    <w:p w14:paraId="0B1DBE94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验证与测试：恢复后进行全面功能测试</w:t>
      </w:r>
    </w:p>
    <w:p w14:paraId="2BE034ED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记录与报告：填写《故障处理报告》，归档并组织复盘</w:t>
      </w:r>
    </w:p>
    <w:p w14:paraId="7AA9F33B">
      <w:pPr>
        <w:pStyle w:val="28"/>
        <w:bidi w:val="0"/>
        <w:rPr>
          <w:rFonts w:hint="eastAsia"/>
        </w:rPr>
      </w:pPr>
      <w:bookmarkStart w:id="17" w:name="_Toc11739"/>
      <w:r>
        <w:rPr>
          <w:rFonts w:hint="eastAsia"/>
        </w:rPr>
        <w:t>培训与演练</w:t>
      </w:r>
      <w:bookmarkEnd w:id="17"/>
    </w:p>
    <w:p w14:paraId="58C4CA70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每半年组织一次可用性管理培训，内容涵盖监控工具使用、故障处理流程、恢复操作等。</w:t>
      </w:r>
    </w:p>
    <w:p w14:paraId="2C1138DC">
      <w:pPr>
        <w:pStyle w:val="39"/>
        <w:numPr>
          <w:ilvl w:val="0"/>
          <w:numId w:val="0"/>
        </w:numPr>
        <w:bidi w:val="0"/>
        <w:ind w:leftChars="0"/>
      </w:pPr>
      <w:r>
        <w:rPr>
          <w:rFonts w:hint="eastAsia"/>
        </w:rPr>
        <w:t>每</w:t>
      </w:r>
      <w:r>
        <w:rPr>
          <w:rFonts w:hint="eastAsia"/>
          <w:lang w:val="en-US" w:eastAsia="zh-CN"/>
        </w:rPr>
        <w:t>半</w:t>
      </w:r>
      <w:r>
        <w:rPr>
          <w:rFonts w:hint="eastAsia"/>
        </w:rPr>
        <w:t>年至少开展一次模拟故障演练，检验应急响应与恢复能力。</w:t>
      </w:r>
    </w:p>
    <w:sectPr>
      <w:pgSz w:w="11906" w:h="16838"/>
      <w:pgMar w:top="1431" w:right="1076" w:bottom="0" w:left="10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BF8C570"/>
    <w:multiLevelType w:val="singleLevel"/>
    <w:tmpl w:val="FBF8C5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6F1DA61"/>
    <w:multiLevelType w:val="singleLevel"/>
    <w:tmpl w:val="16F1DA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177D4B9"/>
    <w:multiLevelType w:val="singleLevel"/>
    <w:tmpl w:val="2177D4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BB42A2E"/>
    <w:multiLevelType w:val="singleLevel"/>
    <w:tmpl w:val="4BB42A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4F772FA"/>
    <w:multiLevelType w:val="singleLevel"/>
    <w:tmpl w:val="64F772F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66EFD7F9"/>
    <w:multiLevelType w:val="singleLevel"/>
    <w:tmpl w:val="66EFD7F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F4690B"/>
    <w:rsid w:val="02E34C6C"/>
    <w:rsid w:val="04893C18"/>
    <w:rsid w:val="07886409"/>
    <w:rsid w:val="07DA3499"/>
    <w:rsid w:val="09544EEC"/>
    <w:rsid w:val="0B310B66"/>
    <w:rsid w:val="0D0C53E6"/>
    <w:rsid w:val="0D4A3D75"/>
    <w:rsid w:val="0D926342"/>
    <w:rsid w:val="104B4477"/>
    <w:rsid w:val="10546985"/>
    <w:rsid w:val="13051255"/>
    <w:rsid w:val="213F4A27"/>
    <w:rsid w:val="27201D62"/>
    <w:rsid w:val="2E982B26"/>
    <w:rsid w:val="337C6572"/>
    <w:rsid w:val="348E2A01"/>
    <w:rsid w:val="3524513E"/>
    <w:rsid w:val="36070CBD"/>
    <w:rsid w:val="3D811329"/>
    <w:rsid w:val="449A71A0"/>
    <w:rsid w:val="45CF69D6"/>
    <w:rsid w:val="499441BE"/>
    <w:rsid w:val="4BDF1724"/>
    <w:rsid w:val="50B64A0A"/>
    <w:rsid w:val="52946FDD"/>
    <w:rsid w:val="5A1530F9"/>
    <w:rsid w:val="5BF705DC"/>
    <w:rsid w:val="5F6B3CB5"/>
    <w:rsid w:val="5F906D7E"/>
    <w:rsid w:val="60097209"/>
    <w:rsid w:val="60E76E71"/>
    <w:rsid w:val="67FF35A1"/>
    <w:rsid w:val="69E00902"/>
    <w:rsid w:val="6E443B55"/>
    <w:rsid w:val="76A2766B"/>
    <w:rsid w:val="77AE0952"/>
    <w:rsid w:val="77AE203F"/>
    <w:rsid w:val="7B0501C8"/>
    <w:rsid w:val="7CFE75C5"/>
    <w:rsid w:val="7FAF1E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1355</Words>
  <Characters>1449</Characters>
  <Lines>0</Lines>
  <Paragraphs>0</Paragraphs>
  <TotalTime>53</TotalTime>
  <ScaleCrop>false</ScaleCrop>
  <LinksUpToDate>false</LinksUpToDate>
  <CharactersWithSpaces>1531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2025-08-21T09:28:00Z</dcterms:created>
  <dc:creator>18442</dc:creator>
  <cp:lastModifiedBy>郝宇</cp:lastModifiedBy>
  <dcterms:modified xsi:type="dcterms:W3CDTF">2026-01-04T01:04:16Z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03FC1D43EDCA4F5BBA17BEC7C57D6B1F_12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