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4C56C6">
      <w:pPr>
        <w:pStyle w:val="32"/>
        <w:bidi w:val="0"/>
      </w:pPr>
      <w:bookmarkStart w:id="0" w:name="_Toc29835"/>
      <w:r>
        <w:t>连续性计划</w:t>
      </w:r>
      <w:bookmarkEnd w:id="0"/>
    </w:p>
    <w:p w14:paraId="3A105911">
      <w:pPr>
        <w:pStyle w:val="33"/>
        <w:bidi w:val="0"/>
      </w:pPr>
      <w:bookmarkStart w:id="1" w:name="_Toc5474"/>
      <w:r>
        <w:t>甘肃国邦信息科技有限公司</w:t>
      </w:r>
      <w:bookmarkEnd w:id="1"/>
    </w:p>
    <w:p w14:paraId="5A1C9BB5">
      <w:pPr>
        <w:spacing w:before="275"/>
        <w:jc w:val="center"/>
        <w:rPr>
          <w:rFonts w:hint="eastAsia" w:ascii="宋体" w:hAnsi="宋体" w:eastAsia="宋体" w:cs="宋体"/>
          <w:sz w:val="36"/>
          <w:szCs w:val="36"/>
          <w:lang w:val="en-US" w:eastAsia="zh-CN"/>
        </w:rPr>
      </w:pPr>
      <w:r>
        <w:rPr>
          <w:rFonts w:ascii="宋体" w:hAnsi="宋体" w:eastAsia="宋体" w:cs="宋体"/>
          <w:spacing w:val="-2"/>
          <w:sz w:val="36"/>
          <w:szCs w:val="36"/>
        </w:rPr>
        <w:t>202</w:t>
      </w:r>
      <w:r>
        <w:rPr>
          <w:rFonts w:hint="eastAsia" w:ascii="宋体" w:hAnsi="宋体" w:cs="宋体"/>
          <w:spacing w:val="-2"/>
          <w:sz w:val="36"/>
          <w:szCs w:val="36"/>
          <w:lang w:val="en-US" w:eastAsia="zh-CN"/>
        </w:rPr>
        <w:t>5</w:t>
      </w:r>
      <w:r>
        <w:rPr>
          <w:rFonts w:ascii="宋体" w:hAnsi="宋体" w:eastAsia="宋体" w:cs="宋体"/>
          <w:spacing w:val="-2"/>
          <w:sz w:val="36"/>
          <w:szCs w:val="36"/>
        </w:rPr>
        <w:t>-</w:t>
      </w:r>
      <w:r>
        <w:rPr>
          <w:rFonts w:hint="eastAsia" w:ascii="宋体" w:hAnsi="宋体" w:eastAsia="宋体" w:cs="宋体"/>
          <w:spacing w:val="-2"/>
          <w:sz w:val="36"/>
          <w:szCs w:val="36"/>
          <w:lang w:val="en-US" w:eastAsia="zh-CN"/>
        </w:rPr>
        <w:t>1</w:t>
      </w:r>
      <w:r>
        <w:rPr>
          <w:rFonts w:ascii="宋体" w:hAnsi="宋体" w:eastAsia="宋体" w:cs="宋体"/>
          <w:spacing w:val="-2"/>
          <w:sz w:val="36"/>
          <w:szCs w:val="36"/>
        </w:rPr>
        <w:t>-</w:t>
      </w:r>
      <w:r>
        <w:rPr>
          <w:rFonts w:hint="eastAsia" w:ascii="宋体" w:hAnsi="宋体" w:eastAsia="宋体" w:cs="宋体"/>
          <w:spacing w:val="-2"/>
          <w:sz w:val="36"/>
          <w:szCs w:val="36"/>
          <w:lang w:val="en-US" w:eastAsia="zh-CN"/>
        </w:rPr>
        <w:t>4</w:t>
      </w:r>
    </w:p>
    <w:p w14:paraId="290F5C0B">
      <w:pPr>
        <w:bidi w:val="0"/>
      </w:pPr>
    </w:p>
    <w:p w14:paraId="027B26D7">
      <w:pPr>
        <w:rPr>
          <w:rFonts w:ascii="宋体" w:hAnsi="宋体" w:eastAsia="宋体" w:cs="宋体"/>
          <w:b/>
          <w:bCs/>
          <w:spacing w:val="-10"/>
          <w:sz w:val="52"/>
          <w:szCs w:val="52"/>
        </w:rPr>
      </w:pPr>
      <w:r>
        <w:rPr>
          <w:rFonts w:ascii="宋体" w:hAnsi="宋体" w:eastAsia="宋体" w:cs="宋体"/>
          <w:b/>
          <w:bCs/>
          <w:spacing w:val="-10"/>
          <w:sz w:val="52"/>
          <w:szCs w:val="52"/>
        </w:rPr>
        <w:br w:type="page"/>
      </w:r>
    </w:p>
    <w:p w14:paraId="5A11DC2F">
      <w:pPr>
        <w:spacing w:before="69" w:line="220" w:lineRule="auto"/>
        <w:ind w:left="3954"/>
        <w:outlineLvl w:val="0"/>
        <w:rPr>
          <w:rFonts w:ascii="宋体" w:hAnsi="宋体" w:eastAsia="宋体" w:cs="宋体"/>
          <w:sz w:val="21"/>
          <w:szCs w:val="21"/>
        </w:rPr>
      </w:pPr>
      <w:bookmarkStart w:id="2" w:name="_Toc27517"/>
      <w:r>
        <w:rPr>
          <w:rFonts w:ascii="宋体" w:hAnsi="宋体" w:eastAsia="宋体" w:cs="宋体"/>
          <w:spacing w:val="-2"/>
          <w:sz w:val="21"/>
          <w:szCs w:val="21"/>
        </w:rPr>
        <w:t>文档信息</w:t>
      </w:r>
      <w:bookmarkEnd w:id="2"/>
    </w:p>
    <w:p w14:paraId="7718F6F6">
      <w:pPr>
        <w:spacing w:line="16" w:lineRule="exact"/>
      </w:pPr>
    </w:p>
    <w:tbl>
      <w:tblPr>
        <w:tblStyle w:val="24"/>
        <w:tblW w:w="9071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5"/>
        <w:gridCol w:w="2302"/>
        <w:gridCol w:w="1557"/>
        <w:gridCol w:w="1953"/>
      </w:tblGrid>
      <w:tr w14:paraId="3B245B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704" w:type="dxa"/>
          </w:tcPr>
          <w:p w14:paraId="06B3CE63">
            <w:pPr>
              <w:pStyle w:val="25"/>
              <w:spacing w:before="199" w:line="220" w:lineRule="auto"/>
              <w:ind w:left="225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367" w:type="dxa"/>
            <w:gridSpan w:val="4"/>
          </w:tcPr>
          <w:p w14:paraId="454E1D3C">
            <w:pPr>
              <w:pStyle w:val="25"/>
              <w:spacing w:before="200" w:line="218" w:lineRule="auto"/>
              <w:ind w:left="108"/>
            </w:pPr>
            <w:r>
              <w:rPr>
                <w:rFonts w:hint="eastAsia" w:eastAsia="宋体"/>
                <w:spacing w:val="-1"/>
                <w:lang w:val="en-US" w:eastAsia="zh-CN"/>
              </w:rPr>
              <w:t>连续性计划</w:t>
            </w:r>
            <w:r>
              <w:rPr>
                <w:spacing w:val="-1"/>
              </w:rPr>
              <w:t>（GSGB-ITSS-</w:t>
            </w:r>
            <w:r>
              <w:rPr>
                <w:rFonts w:hint="eastAsia" w:eastAsia="宋体"/>
                <w:spacing w:val="-1"/>
                <w:lang w:val="en-US" w:eastAsia="zh-CN"/>
              </w:rPr>
              <w:t>LXXJH</w:t>
            </w:r>
            <w:r>
              <w:rPr>
                <w:spacing w:val="-1"/>
              </w:rPr>
              <w:t>）</w:t>
            </w:r>
          </w:p>
        </w:tc>
      </w:tr>
      <w:tr w14:paraId="6346E2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4" w:type="dxa"/>
          </w:tcPr>
          <w:p w14:paraId="6E5FFFC3">
            <w:pPr>
              <w:pStyle w:val="25"/>
              <w:spacing w:before="196" w:line="220" w:lineRule="auto"/>
              <w:ind w:left="435"/>
            </w:pPr>
            <w:r>
              <w:rPr>
                <w:spacing w:val="-2"/>
              </w:rPr>
              <w:t>编制单位</w:t>
            </w:r>
          </w:p>
        </w:tc>
        <w:tc>
          <w:tcPr>
            <w:tcW w:w="7367" w:type="dxa"/>
            <w:gridSpan w:val="4"/>
          </w:tcPr>
          <w:p w14:paraId="0016BB16">
            <w:pPr>
              <w:pStyle w:val="25"/>
              <w:spacing w:before="197" w:line="219" w:lineRule="auto"/>
              <w:ind w:left="108"/>
            </w:pPr>
            <w:r>
              <w:rPr>
                <w:spacing w:val="-1"/>
              </w:rPr>
              <w:t>甘肃国邦信息科技有限公司</w:t>
            </w:r>
          </w:p>
        </w:tc>
      </w:tr>
      <w:tr w14:paraId="5B12DA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704" w:type="dxa"/>
          </w:tcPr>
          <w:p w14:paraId="364B33BE">
            <w:pPr>
              <w:pStyle w:val="25"/>
              <w:spacing w:before="199" w:line="219" w:lineRule="auto"/>
              <w:ind w:left="435"/>
            </w:pPr>
            <w:r>
              <w:rPr>
                <w:spacing w:val="-2"/>
              </w:rPr>
              <w:t>文档版本</w:t>
            </w:r>
          </w:p>
        </w:tc>
        <w:tc>
          <w:tcPr>
            <w:tcW w:w="1555" w:type="dxa"/>
          </w:tcPr>
          <w:p w14:paraId="201FBFBB">
            <w:pPr>
              <w:pStyle w:val="25"/>
              <w:spacing w:before="199" w:line="219" w:lineRule="auto"/>
              <w:ind w:left="359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 w14:paraId="0ED82799">
            <w:pPr>
              <w:pStyle w:val="25"/>
              <w:spacing w:before="199" w:line="219" w:lineRule="auto"/>
              <w:ind w:left="735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 w14:paraId="5CA5E712">
            <w:pPr>
              <w:pStyle w:val="25"/>
              <w:spacing w:before="199" w:line="220" w:lineRule="auto"/>
              <w:ind w:left="575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 w14:paraId="1C0BBD86">
            <w:pPr>
              <w:pStyle w:val="25"/>
              <w:spacing w:before="199" w:line="220" w:lineRule="auto"/>
              <w:ind w:left="782"/>
            </w:pPr>
            <w:r>
              <w:rPr>
                <w:spacing w:val="-5"/>
              </w:rPr>
              <w:t>审核</w:t>
            </w:r>
          </w:p>
        </w:tc>
      </w:tr>
      <w:tr w14:paraId="34C7A2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043FAB0D">
            <w:pPr>
              <w:pStyle w:val="25"/>
              <w:spacing w:before="163" w:line="239" w:lineRule="auto"/>
              <w:ind w:left="638"/>
            </w:pPr>
            <w:r>
              <w:rPr>
                <w:spacing w:val="-1"/>
              </w:rPr>
              <w:t>V1.0</w:t>
            </w:r>
          </w:p>
        </w:tc>
        <w:tc>
          <w:tcPr>
            <w:tcW w:w="1555" w:type="dxa"/>
          </w:tcPr>
          <w:p w14:paraId="3D6C8E31">
            <w:pPr>
              <w:pStyle w:val="25"/>
              <w:spacing w:before="163"/>
              <w:ind w:left="361"/>
              <w:rPr>
                <w:rFonts w:hint="eastAsia" w:eastAsia="宋体"/>
                <w:lang w:val="en-US" w:eastAsia="zh-CN"/>
              </w:rPr>
            </w:pPr>
            <w:r>
              <w:rPr>
                <w:spacing w:val="-2"/>
              </w:rPr>
              <w:t>20</w:t>
            </w:r>
            <w:r>
              <w:rPr>
                <w:rFonts w:hint="eastAsia" w:eastAsia="宋体"/>
                <w:spacing w:val="-2"/>
                <w:lang w:val="en-US" w:eastAsia="zh-CN"/>
              </w:rPr>
              <w:t>25</w:t>
            </w:r>
            <w:r>
              <w:rPr>
                <w:spacing w:val="-2"/>
              </w:rPr>
              <w:t>-</w:t>
            </w:r>
            <w:r>
              <w:rPr>
                <w:rFonts w:hint="eastAsia" w:eastAsia="宋体"/>
                <w:spacing w:val="-2"/>
                <w:lang w:val="en-US" w:eastAsia="zh-CN"/>
              </w:rPr>
              <w:t>1</w:t>
            </w:r>
            <w:r>
              <w:rPr>
                <w:spacing w:val="-2"/>
              </w:rPr>
              <w:t>-</w:t>
            </w:r>
            <w:r>
              <w:rPr>
                <w:rFonts w:hint="eastAsia" w:eastAsia="宋体"/>
                <w:spacing w:val="-2"/>
                <w:lang w:val="en-US" w:eastAsia="zh-CN"/>
              </w:rPr>
              <w:t>4</w:t>
            </w:r>
          </w:p>
        </w:tc>
        <w:tc>
          <w:tcPr>
            <w:tcW w:w="2302" w:type="dxa"/>
          </w:tcPr>
          <w:p w14:paraId="33C2CE52">
            <w:pPr>
              <w:pStyle w:val="25"/>
              <w:spacing w:before="133" w:line="219" w:lineRule="auto"/>
              <w:ind w:left="738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 w14:paraId="2C3BF9E0">
            <w:pPr>
              <w:pStyle w:val="25"/>
              <w:spacing w:before="134" w:line="220" w:lineRule="auto"/>
              <w:ind w:left="48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胡葛鹏宇</w:t>
            </w:r>
          </w:p>
        </w:tc>
        <w:tc>
          <w:tcPr>
            <w:tcW w:w="1953" w:type="dxa"/>
          </w:tcPr>
          <w:p w14:paraId="40D1535B">
            <w:pPr>
              <w:pStyle w:val="25"/>
              <w:spacing w:before="133" w:line="220" w:lineRule="auto"/>
              <w:ind w:left="672"/>
            </w:pPr>
            <w:r>
              <w:rPr>
                <w:spacing w:val="-3"/>
              </w:rPr>
              <w:t>黄益溪</w:t>
            </w:r>
          </w:p>
        </w:tc>
      </w:tr>
      <w:tr w14:paraId="208E04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063C3F87">
            <w:pPr>
              <w:pStyle w:val="25"/>
              <w:spacing w:before="164" w:line="239" w:lineRule="auto"/>
              <w:ind w:left="638"/>
            </w:pPr>
          </w:p>
        </w:tc>
        <w:tc>
          <w:tcPr>
            <w:tcW w:w="1555" w:type="dxa"/>
          </w:tcPr>
          <w:p w14:paraId="2221078B">
            <w:pPr>
              <w:pStyle w:val="25"/>
              <w:spacing w:before="164"/>
              <w:ind w:left="361"/>
            </w:pPr>
          </w:p>
        </w:tc>
        <w:tc>
          <w:tcPr>
            <w:tcW w:w="2302" w:type="dxa"/>
          </w:tcPr>
          <w:p w14:paraId="4D8FBCE0">
            <w:pPr>
              <w:pStyle w:val="25"/>
              <w:spacing w:before="134" w:line="219" w:lineRule="auto"/>
              <w:ind w:left="737"/>
            </w:pPr>
          </w:p>
        </w:tc>
        <w:tc>
          <w:tcPr>
            <w:tcW w:w="1557" w:type="dxa"/>
          </w:tcPr>
          <w:p w14:paraId="28E452F6">
            <w:pPr>
              <w:pStyle w:val="25"/>
              <w:spacing w:before="135" w:line="220" w:lineRule="auto"/>
              <w:ind w:left="480"/>
            </w:pPr>
          </w:p>
        </w:tc>
        <w:tc>
          <w:tcPr>
            <w:tcW w:w="1953" w:type="dxa"/>
          </w:tcPr>
          <w:p w14:paraId="4BC272C1">
            <w:pPr>
              <w:pStyle w:val="25"/>
              <w:spacing w:before="134" w:line="220" w:lineRule="auto"/>
              <w:ind w:left="672"/>
            </w:pPr>
          </w:p>
        </w:tc>
      </w:tr>
      <w:tr w14:paraId="61FE26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7568E409">
            <w:pPr>
              <w:pStyle w:val="25"/>
              <w:spacing w:before="165" w:line="239" w:lineRule="auto"/>
              <w:ind w:left="638"/>
            </w:pPr>
          </w:p>
        </w:tc>
        <w:tc>
          <w:tcPr>
            <w:tcW w:w="1555" w:type="dxa"/>
          </w:tcPr>
          <w:p w14:paraId="3808B3A3">
            <w:pPr>
              <w:pStyle w:val="25"/>
              <w:spacing w:before="165"/>
              <w:ind w:left="361"/>
            </w:pPr>
          </w:p>
        </w:tc>
        <w:tc>
          <w:tcPr>
            <w:tcW w:w="2302" w:type="dxa"/>
          </w:tcPr>
          <w:p w14:paraId="53F1E28A">
            <w:pPr>
              <w:pStyle w:val="25"/>
              <w:spacing w:before="135" w:line="219" w:lineRule="auto"/>
              <w:ind w:left="737"/>
            </w:pPr>
          </w:p>
        </w:tc>
        <w:tc>
          <w:tcPr>
            <w:tcW w:w="1557" w:type="dxa"/>
          </w:tcPr>
          <w:p w14:paraId="7463B5BD">
            <w:pPr>
              <w:pStyle w:val="25"/>
              <w:spacing w:before="136" w:line="220" w:lineRule="auto"/>
              <w:ind w:left="480"/>
            </w:pPr>
          </w:p>
        </w:tc>
        <w:tc>
          <w:tcPr>
            <w:tcW w:w="1953" w:type="dxa"/>
          </w:tcPr>
          <w:p w14:paraId="576A30BB">
            <w:pPr>
              <w:pStyle w:val="25"/>
              <w:spacing w:before="135" w:line="220" w:lineRule="auto"/>
              <w:ind w:left="672"/>
            </w:pPr>
          </w:p>
        </w:tc>
      </w:tr>
      <w:tr w14:paraId="118E18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58D3E39E">
            <w:pPr>
              <w:pStyle w:val="25"/>
              <w:spacing w:before="166" w:line="239" w:lineRule="auto"/>
              <w:ind w:left="638"/>
            </w:pPr>
          </w:p>
        </w:tc>
        <w:tc>
          <w:tcPr>
            <w:tcW w:w="1555" w:type="dxa"/>
          </w:tcPr>
          <w:p w14:paraId="47A0F214">
            <w:pPr>
              <w:pStyle w:val="25"/>
              <w:spacing w:before="166"/>
              <w:ind w:left="361"/>
            </w:pPr>
          </w:p>
        </w:tc>
        <w:tc>
          <w:tcPr>
            <w:tcW w:w="2302" w:type="dxa"/>
          </w:tcPr>
          <w:p w14:paraId="1474C378">
            <w:pPr>
              <w:pStyle w:val="25"/>
              <w:spacing w:before="136" w:line="219" w:lineRule="auto"/>
              <w:ind w:left="737"/>
            </w:pPr>
          </w:p>
        </w:tc>
        <w:tc>
          <w:tcPr>
            <w:tcW w:w="1557" w:type="dxa"/>
          </w:tcPr>
          <w:p w14:paraId="63466B6E">
            <w:pPr>
              <w:pStyle w:val="25"/>
              <w:spacing w:before="137" w:line="220" w:lineRule="auto"/>
              <w:ind w:left="480"/>
            </w:pPr>
          </w:p>
        </w:tc>
        <w:tc>
          <w:tcPr>
            <w:tcW w:w="1953" w:type="dxa"/>
          </w:tcPr>
          <w:p w14:paraId="4702C56F">
            <w:pPr>
              <w:pStyle w:val="25"/>
              <w:spacing w:before="136" w:line="220" w:lineRule="auto"/>
              <w:ind w:left="672"/>
            </w:pPr>
          </w:p>
        </w:tc>
      </w:tr>
      <w:tr w14:paraId="5A737B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4" w:type="dxa"/>
          </w:tcPr>
          <w:p w14:paraId="08D3B4A8">
            <w:pPr>
              <w:rPr>
                <w:rFonts w:ascii="Arial"/>
                <w:sz w:val="21"/>
              </w:rPr>
            </w:pPr>
          </w:p>
        </w:tc>
        <w:tc>
          <w:tcPr>
            <w:tcW w:w="1555" w:type="dxa"/>
          </w:tcPr>
          <w:p w14:paraId="3DB0BFCE">
            <w:pPr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0799E401">
            <w:pPr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2CBEC13A">
            <w:pPr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30CE3354">
            <w:pPr>
              <w:rPr>
                <w:rFonts w:ascii="Arial"/>
                <w:sz w:val="21"/>
              </w:rPr>
            </w:pPr>
          </w:p>
        </w:tc>
      </w:tr>
    </w:tbl>
    <w:p w14:paraId="3DD1279D">
      <w:pPr>
        <w:pStyle w:val="12"/>
        <w:spacing w:line="247" w:lineRule="auto"/>
      </w:pPr>
    </w:p>
    <w:p w14:paraId="604180EE">
      <w:pPr>
        <w:pStyle w:val="12"/>
        <w:spacing w:line="247" w:lineRule="auto"/>
      </w:pPr>
    </w:p>
    <w:p w14:paraId="248F217B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3851"/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6793E28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2F4C04C">
          <w:pPr>
            <w:pStyle w:val="16"/>
            <w:tabs>
              <w:tab w:val="right" w:leader="dot" w:pos="912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_Toc29835 </w:instrText>
          </w:r>
          <w:r>
            <w:fldChar w:fldCharType="separate"/>
          </w:r>
          <w:r>
            <w:t>连续性计划</w:t>
          </w:r>
          <w:r>
            <w:tab/>
          </w:r>
          <w:r>
            <w:fldChar w:fldCharType="begin"/>
          </w:r>
          <w:r>
            <w:instrText xml:space="preserve"> PAGEREF _Toc29835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C84A631">
          <w:pPr>
            <w:pStyle w:val="16"/>
            <w:tabs>
              <w:tab w:val="right" w:leader="dot" w:pos="9126"/>
            </w:tabs>
          </w:pPr>
          <w:r>
            <w:fldChar w:fldCharType="begin"/>
          </w:r>
          <w:r>
            <w:instrText xml:space="preserve"> HYPERLINK \l _Toc5474 </w:instrText>
          </w:r>
          <w:r>
            <w:fldChar w:fldCharType="separate"/>
          </w:r>
          <w:r>
            <w:t>甘肃国邦信息科技有限公司</w:t>
          </w:r>
          <w:r>
            <w:tab/>
          </w:r>
          <w:r>
            <w:fldChar w:fldCharType="begin"/>
          </w:r>
          <w:r>
            <w:instrText xml:space="preserve"> PAGEREF _Toc5474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8D3C800">
          <w:pPr>
            <w:pStyle w:val="16"/>
            <w:tabs>
              <w:tab w:val="right" w:leader="dot" w:pos="9126"/>
            </w:tabs>
          </w:pPr>
          <w:r>
            <w:fldChar w:fldCharType="begin"/>
          </w:r>
          <w:r>
            <w:instrText xml:space="preserve"> HYPERLINK \l _Toc27517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Cs w:val="21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_Toc27517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5B20118">
          <w:pPr>
            <w:pStyle w:val="16"/>
            <w:tabs>
              <w:tab w:val="right" w:leader="dot" w:pos="9126"/>
            </w:tabs>
          </w:pPr>
          <w:r>
            <w:fldChar w:fldCharType="begin"/>
          </w:r>
          <w:r>
            <w:instrText xml:space="preserve"> HYPERLINK \l _Toc4857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_Toc4857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D70669B">
          <w:pPr>
            <w:pStyle w:val="16"/>
            <w:tabs>
              <w:tab w:val="right" w:leader="dot" w:pos="9126"/>
            </w:tabs>
          </w:pPr>
          <w:r>
            <w:fldChar w:fldCharType="begin"/>
          </w:r>
          <w:r>
            <w:instrText xml:space="preserve"> HYPERLINK \l _Toc25614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_Toc25614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413CD89">
          <w:pPr>
            <w:pStyle w:val="16"/>
            <w:tabs>
              <w:tab w:val="right" w:leader="dot" w:pos="9126"/>
            </w:tabs>
          </w:pPr>
          <w:r>
            <w:fldChar w:fldCharType="begin"/>
          </w:r>
          <w:r>
            <w:instrText xml:space="preserve"> HYPERLINK \l _Toc2911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连续性计划</w:t>
          </w:r>
          <w:r>
            <w:tab/>
          </w:r>
          <w:r>
            <w:fldChar w:fldCharType="begin"/>
          </w:r>
          <w:r>
            <w:instrText xml:space="preserve"> PAGEREF _Toc2911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5B4A4B9">
          <w:pPr>
            <w:pStyle w:val="17"/>
            <w:tabs>
              <w:tab w:val="right" w:leader="dot" w:pos="9126"/>
            </w:tabs>
          </w:pPr>
          <w:r>
            <w:fldChar w:fldCharType="begin"/>
          </w:r>
          <w:r>
            <w:instrText xml:space="preserve"> HYPERLINK \l _Toc12845 </w:instrText>
          </w:r>
          <w:r>
            <w:fldChar w:fldCharType="separate"/>
          </w:r>
          <w:r>
            <w:rPr>
              <w:rFonts w:hint="default"/>
            </w:rPr>
            <w:t xml:space="preserve">3.1. </w:t>
          </w:r>
          <w:r>
            <w:t>计划的执行</w:t>
          </w:r>
          <w:r>
            <w:tab/>
          </w:r>
          <w:r>
            <w:fldChar w:fldCharType="begin"/>
          </w:r>
          <w:r>
            <w:instrText xml:space="preserve"> PAGEREF _Toc12845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6B6CE31">
          <w:pPr>
            <w:pStyle w:val="13"/>
            <w:tabs>
              <w:tab w:val="right" w:leader="dot" w:pos="9126"/>
            </w:tabs>
          </w:pPr>
          <w:r>
            <w:fldChar w:fldCharType="begin"/>
          </w:r>
          <w:r>
            <w:instrText xml:space="preserve"> HYPERLINK \l _Toc25143 </w:instrText>
          </w:r>
          <w:r>
            <w:fldChar w:fldCharType="separate"/>
          </w:r>
          <w:r>
            <w:rPr>
              <w:rFonts w:hint="default"/>
            </w:rPr>
            <w:t xml:space="preserve">3.1.1. </w:t>
          </w:r>
          <w:r>
            <w:t>启动恢复计划</w:t>
          </w:r>
          <w:r>
            <w:tab/>
          </w:r>
          <w:r>
            <w:fldChar w:fldCharType="begin"/>
          </w:r>
          <w:r>
            <w:instrText xml:space="preserve"> PAGEREF _Toc25143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0460FFD">
          <w:pPr>
            <w:pStyle w:val="13"/>
            <w:tabs>
              <w:tab w:val="right" w:leader="dot" w:pos="9126"/>
            </w:tabs>
          </w:pPr>
          <w:r>
            <w:fldChar w:fldCharType="begin"/>
          </w:r>
          <w:r>
            <w:instrText xml:space="preserve"> HYPERLINK \l _Toc13486 </w:instrText>
          </w:r>
          <w:r>
            <w:fldChar w:fldCharType="separate"/>
          </w:r>
          <w:r>
            <w:rPr>
              <w:rFonts w:hint="default"/>
            </w:rPr>
            <w:t xml:space="preserve">3.1.2. </w:t>
          </w:r>
          <w:r>
            <w:t>执行过程</w:t>
          </w:r>
          <w:r>
            <w:tab/>
          </w:r>
          <w:r>
            <w:fldChar w:fldCharType="begin"/>
          </w:r>
          <w:r>
            <w:instrText xml:space="preserve"> PAGEREF _Toc13486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CA90D7E">
          <w:pPr>
            <w:pStyle w:val="13"/>
            <w:tabs>
              <w:tab w:val="right" w:leader="dot" w:pos="9126"/>
            </w:tabs>
          </w:pPr>
          <w:r>
            <w:fldChar w:fldCharType="begin"/>
          </w:r>
          <w:r>
            <w:instrText xml:space="preserve"> HYPERLINK \l _Toc26037 </w:instrText>
          </w:r>
          <w:r>
            <w:fldChar w:fldCharType="separate"/>
          </w:r>
          <w:r>
            <w:rPr>
              <w:rFonts w:hint="default"/>
            </w:rPr>
            <w:t xml:space="preserve">3.1.3. </w:t>
          </w:r>
          <w:r>
            <w:t>灾难恢复计划表</w:t>
          </w:r>
          <w:r>
            <w:tab/>
          </w:r>
          <w:r>
            <w:fldChar w:fldCharType="begin"/>
          </w:r>
          <w:r>
            <w:instrText xml:space="preserve"> PAGEREF _Toc26037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2DA36DE">
          <w:pPr>
            <w:pStyle w:val="17"/>
            <w:tabs>
              <w:tab w:val="right" w:leader="dot" w:pos="9126"/>
            </w:tabs>
          </w:pPr>
          <w:r>
            <w:fldChar w:fldCharType="begin"/>
          </w:r>
          <w:r>
            <w:instrText xml:space="preserve"> HYPERLINK \l _Toc10443 </w:instrText>
          </w:r>
          <w:r>
            <w:fldChar w:fldCharType="separate"/>
          </w:r>
          <w:r>
            <w:rPr>
              <w:rFonts w:hint="default"/>
            </w:rPr>
            <w:t xml:space="preserve">3.2. </w:t>
          </w:r>
          <w:r>
            <w:t>连续性维护内容</w:t>
          </w:r>
          <w:r>
            <w:tab/>
          </w:r>
          <w:r>
            <w:fldChar w:fldCharType="begin"/>
          </w:r>
          <w:r>
            <w:instrText xml:space="preserve"> PAGEREF _Toc10443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EFBE132">
          <w:pPr>
            <w:pStyle w:val="13"/>
            <w:tabs>
              <w:tab w:val="right" w:leader="dot" w:pos="9126"/>
            </w:tabs>
          </w:pPr>
          <w:r>
            <w:fldChar w:fldCharType="begin"/>
          </w:r>
          <w:r>
            <w:instrText xml:space="preserve"> HYPERLINK \l _Toc11967 </w:instrText>
          </w:r>
          <w:r>
            <w:fldChar w:fldCharType="separate"/>
          </w:r>
          <w:r>
            <w:rPr>
              <w:rFonts w:hint="default"/>
            </w:rPr>
            <w:t xml:space="preserve">3.2.1. </w:t>
          </w:r>
          <w:r>
            <w:t>日常维护</w:t>
          </w:r>
          <w:r>
            <w:tab/>
          </w:r>
          <w:r>
            <w:fldChar w:fldCharType="begin"/>
          </w:r>
          <w:r>
            <w:instrText xml:space="preserve"> PAGEREF _Toc11967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761F8DD">
          <w:pPr>
            <w:pStyle w:val="13"/>
            <w:tabs>
              <w:tab w:val="right" w:leader="dot" w:pos="9126"/>
            </w:tabs>
          </w:pPr>
          <w:r>
            <w:fldChar w:fldCharType="begin"/>
          </w:r>
          <w:r>
            <w:instrText xml:space="preserve"> HYPERLINK \l _Toc31281 </w:instrText>
          </w:r>
          <w:r>
            <w:fldChar w:fldCharType="separate"/>
          </w:r>
          <w:r>
            <w:rPr>
              <w:rFonts w:hint="default"/>
            </w:rPr>
            <w:t xml:space="preserve">3.2.2. </w:t>
          </w:r>
          <w:r>
            <w:t>人员</w:t>
          </w:r>
          <w:r>
            <w:rPr>
              <w:rFonts w:hint="eastAsia"/>
              <w:lang w:val="en-US" w:eastAsia="zh-CN"/>
            </w:rPr>
            <w:t>储备</w:t>
          </w:r>
          <w:r>
            <w:t>计划</w:t>
          </w:r>
          <w:r>
            <w:tab/>
          </w:r>
          <w:r>
            <w:fldChar w:fldCharType="begin"/>
          </w:r>
          <w:r>
            <w:instrText xml:space="preserve"> PAGEREF _Toc31281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2B80D3D">
          <w:pPr>
            <w:pStyle w:val="13"/>
            <w:tabs>
              <w:tab w:val="right" w:leader="dot" w:pos="9126"/>
            </w:tabs>
          </w:pPr>
          <w:r>
            <w:fldChar w:fldCharType="begin"/>
          </w:r>
          <w:r>
            <w:instrText xml:space="preserve"> HYPERLINK \l _Toc24352 </w:instrText>
          </w:r>
          <w:r>
            <w:fldChar w:fldCharType="separate"/>
          </w:r>
          <w:r>
            <w:rPr>
              <w:rFonts w:hint="default"/>
            </w:rPr>
            <w:t xml:space="preserve">3.2.3. </w:t>
          </w:r>
          <w:r>
            <w:t>备用数据</w:t>
          </w:r>
          <w:r>
            <w:tab/>
          </w:r>
          <w:r>
            <w:fldChar w:fldCharType="begin"/>
          </w:r>
          <w:r>
            <w:instrText xml:space="preserve"> PAGEREF _Toc24352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66CE5B4">
          <w:pPr>
            <w:pStyle w:val="13"/>
            <w:tabs>
              <w:tab w:val="right" w:leader="dot" w:pos="9126"/>
            </w:tabs>
          </w:pPr>
          <w:r>
            <w:fldChar w:fldCharType="begin"/>
          </w:r>
          <w:r>
            <w:instrText xml:space="preserve"> HYPERLINK \l _Toc31983 </w:instrText>
          </w:r>
          <w:r>
            <w:fldChar w:fldCharType="separate"/>
          </w:r>
          <w:r>
            <w:rPr>
              <w:rFonts w:hint="default"/>
            </w:rPr>
            <w:t xml:space="preserve">3.2.4. </w:t>
          </w:r>
          <w:r>
            <w:t>计划测试</w:t>
          </w:r>
          <w:r>
            <w:tab/>
          </w:r>
          <w:r>
            <w:fldChar w:fldCharType="begin"/>
          </w:r>
          <w:r>
            <w:instrText xml:space="preserve"> PAGEREF _Toc31983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89CCD28">
          <w:pPr>
            <w:pStyle w:val="13"/>
            <w:tabs>
              <w:tab w:val="right" w:leader="dot" w:pos="9126"/>
            </w:tabs>
          </w:pPr>
          <w:r>
            <w:fldChar w:fldCharType="begin"/>
          </w:r>
          <w:r>
            <w:instrText xml:space="preserve"> HYPERLINK \l _Toc5720 </w:instrText>
          </w:r>
          <w:r>
            <w:fldChar w:fldCharType="separate"/>
          </w:r>
          <w:r>
            <w:rPr>
              <w:rFonts w:hint="default"/>
            </w:rPr>
            <w:t xml:space="preserve">3.2.5. </w:t>
          </w:r>
          <w:r>
            <w:t>计划的培训</w:t>
          </w:r>
          <w:r>
            <w:tab/>
          </w:r>
          <w:r>
            <w:fldChar w:fldCharType="begin"/>
          </w:r>
          <w:r>
            <w:instrText xml:space="preserve"> PAGEREF _Toc5720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F810503">
          <w:pPr>
            <w:pStyle w:val="12"/>
            <w:spacing w:line="248" w:lineRule="auto"/>
            <w:rPr>
              <w:rFonts w:ascii="Arial" w:hAnsi="Arial" w:eastAsia="Arial" w:cs="Arial"/>
              <w:snapToGrid w:val="0"/>
              <w:color w:val="000000"/>
              <w:kern w:val="0"/>
              <w:sz w:val="21"/>
              <w:szCs w:val="21"/>
              <w:lang w:val="en-US" w:eastAsia="en-US" w:bidi="ar-SA"/>
            </w:rPr>
          </w:pPr>
          <w:r>
            <w:fldChar w:fldCharType="end"/>
          </w:r>
        </w:p>
      </w:sdtContent>
    </w:sdt>
    <w:p w14:paraId="0C07A701">
      <w:pPr>
        <w:pStyle w:val="12"/>
        <w:spacing w:line="248" w:lineRule="auto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</w:p>
    <w:p w14:paraId="6BA12E90">
      <w:r>
        <w:br w:type="page"/>
      </w:r>
    </w:p>
    <w:p w14:paraId="38E39B87">
      <w:pPr>
        <w:pStyle w:val="12"/>
        <w:spacing w:line="248" w:lineRule="auto"/>
      </w:pPr>
    </w:p>
    <w:p w14:paraId="6ACB7947">
      <w:pPr>
        <w:pStyle w:val="26"/>
        <w:bidi w:val="0"/>
      </w:pPr>
      <w:bookmarkStart w:id="3" w:name="_Toc4857"/>
      <w:r>
        <w:t>目的</w:t>
      </w:r>
      <w:bookmarkEnd w:id="3"/>
    </w:p>
    <w:p w14:paraId="7D4F1884">
      <w:pPr>
        <w:pStyle w:val="27"/>
        <w:bidi w:val="0"/>
      </w:pPr>
      <w:r>
        <w:t>确保运维服务遭受灾难事故后能尽快恢复， 以保障</w:t>
      </w:r>
      <w:r>
        <w:rPr>
          <w:rFonts w:hint="eastAsia"/>
        </w:rPr>
        <w:t>临夏回族自治州中医医院医疗场景建设固定资产采购项目</w:t>
      </w:r>
      <w:r>
        <w:t>运维服务活动的连续性。</w:t>
      </w:r>
    </w:p>
    <w:p w14:paraId="6A858404">
      <w:pPr>
        <w:pStyle w:val="26"/>
        <w:bidi w:val="0"/>
      </w:pPr>
      <w:bookmarkStart w:id="4" w:name="_Toc25614"/>
      <w:r>
        <w:t>适用范围</w:t>
      </w:r>
      <w:bookmarkEnd w:id="4"/>
    </w:p>
    <w:p w14:paraId="54DF2C31">
      <w:pPr>
        <w:spacing w:before="175" w:line="380" w:lineRule="auto"/>
        <w:ind w:left="120" w:right="112" w:firstLine="420"/>
        <w:rPr>
          <w:rFonts w:ascii="宋体" w:hAnsi="宋体" w:eastAsia="宋体" w:cs="宋体"/>
          <w:spacing w:val="13"/>
          <w:sz w:val="24"/>
          <w:szCs w:val="24"/>
        </w:rPr>
      </w:pPr>
      <w:r>
        <w:rPr>
          <w:rFonts w:ascii="宋体" w:hAnsi="宋体" w:eastAsia="宋体" w:cs="宋体"/>
          <w:spacing w:val="13"/>
          <w:sz w:val="24"/>
          <w:szCs w:val="24"/>
        </w:rPr>
        <w:t>适用运维服务遭受灾难事故后的处理。</w:t>
      </w:r>
    </w:p>
    <w:p w14:paraId="440B0D83">
      <w:pPr>
        <w:pStyle w:val="26"/>
        <w:bidi w:val="0"/>
      </w:pPr>
      <w:bookmarkStart w:id="5" w:name="_Toc2911"/>
      <w:r>
        <w:t>连续性计划</w:t>
      </w:r>
      <w:bookmarkEnd w:id="5"/>
    </w:p>
    <w:p w14:paraId="3FAC21F4">
      <w:pPr>
        <w:pStyle w:val="28"/>
        <w:bidi w:val="0"/>
      </w:pPr>
      <w:bookmarkStart w:id="6" w:name="_Toc12845"/>
      <w:r>
        <w:t>计划的执行</w:t>
      </w:r>
      <w:bookmarkEnd w:id="6"/>
    </w:p>
    <w:p w14:paraId="3AB824BF">
      <w:pPr>
        <w:pStyle w:val="29"/>
        <w:bidi w:val="0"/>
      </w:pPr>
      <w:bookmarkStart w:id="7" w:name="_Toc25143"/>
      <w:r>
        <w:t>启动恢复计划</w:t>
      </w:r>
      <w:bookmarkEnd w:id="7"/>
    </w:p>
    <w:p w14:paraId="7A237C3E">
      <w:pPr>
        <w:spacing w:before="63" w:line="228" w:lineRule="auto"/>
        <w:ind w:left="2472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"/>
          <w:sz w:val="19"/>
          <w:szCs w:val="19"/>
        </w:rPr>
        <w:t>事</w:t>
      </w:r>
      <w:r>
        <w:rPr>
          <w:rFonts w:ascii="宋体" w:hAnsi="宋体" w:eastAsia="宋体" w:cs="宋体"/>
          <w:spacing w:val="2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"/>
          <w:sz w:val="19"/>
          <w:szCs w:val="19"/>
        </w:rPr>
        <w:t>件</w:t>
      </w:r>
    </w:p>
    <w:p w14:paraId="03BDF92E">
      <w:pPr>
        <w:pStyle w:val="12"/>
        <w:spacing w:line="283" w:lineRule="auto"/>
      </w:pPr>
    </w:p>
    <w:p w14:paraId="54B05D44">
      <w:pPr>
        <w:pStyle w:val="12"/>
        <w:spacing w:line="283" w:lineRule="auto"/>
      </w:pPr>
    </w:p>
    <w:p w14:paraId="06565975">
      <w:pPr>
        <w:pStyle w:val="12"/>
        <w:spacing w:before="55" w:line="203" w:lineRule="auto"/>
        <w:ind w:left="4231"/>
        <w:rPr>
          <w:sz w:val="19"/>
          <w:szCs w:val="19"/>
        </w:rPr>
      </w:pPr>
      <w:r>
        <w:rPr>
          <w:sz w:val="19"/>
          <w:szCs w:val="19"/>
        </w:rPr>
        <w:t>N</w:t>
      </w:r>
    </w:p>
    <w:p w14:paraId="1156D5A3">
      <w:pPr>
        <w:spacing w:before="86" w:line="229" w:lineRule="auto"/>
        <w:ind w:left="1941"/>
        <w:rPr>
          <w:rFonts w:ascii="宋体" w:hAnsi="宋体" w:eastAsia="宋体" w:cs="宋体"/>
          <w:sz w:val="19"/>
          <w:szCs w:val="19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866775</wp:posOffset>
            </wp:positionH>
            <wp:positionV relativeFrom="paragraph">
              <wp:posOffset>-737235</wp:posOffset>
            </wp:positionV>
            <wp:extent cx="3437890" cy="208915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8144" cy="2089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25" o:spid="_x0000_s1025" o:spt="202" type="#_x0000_t202" style="position:absolute;left:0pt;margin-left:261.2pt;margin-top:3.75pt;height:13.75pt;width:61.65pt;z-index:251660288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 aspectratio="f"/>
            <v:textbox inset="0mm,0mm,0mm,0mm">
              <w:txbxContent>
                <w:p w14:paraId="3B8D7F1A">
                  <w:pPr>
                    <w:spacing w:before="20" w:line="228" w:lineRule="auto"/>
                    <w:ind w:left="20"/>
                    <w:rPr>
                      <w:rFonts w:ascii="宋体" w:hAnsi="宋体" w:eastAsia="宋体" w:cs="宋体"/>
                      <w:sz w:val="19"/>
                      <w:szCs w:val="19"/>
                    </w:rPr>
                  </w:pPr>
                  <w:r>
                    <w:rPr>
                      <w:rFonts w:ascii="宋体" w:hAnsi="宋体" w:eastAsia="宋体" w:cs="宋体"/>
                      <w:spacing w:val="8"/>
                      <w:sz w:val="19"/>
                      <w:szCs w:val="19"/>
                    </w:rPr>
                    <w:t>事件处理程序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7"/>
          <w:sz w:val="19"/>
          <w:szCs w:val="19"/>
        </w:rPr>
        <w:t>属于应急事故？</w:t>
      </w:r>
    </w:p>
    <w:p w14:paraId="6B14A4E8">
      <w:pPr>
        <w:pStyle w:val="12"/>
        <w:spacing w:line="287" w:lineRule="auto"/>
      </w:pPr>
    </w:p>
    <w:p w14:paraId="24AB30BD">
      <w:pPr>
        <w:pStyle w:val="12"/>
        <w:spacing w:line="288" w:lineRule="auto"/>
      </w:pPr>
    </w:p>
    <w:p w14:paraId="13C35B3A">
      <w:pPr>
        <w:pStyle w:val="12"/>
        <w:spacing w:before="55" w:line="203" w:lineRule="auto"/>
        <w:ind w:left="1932"/>
        <w:rPr>
          <w:sz w:val="19"/>
          <w:szCs w:val="19"/>
        </w:rPr>
      </w:pPr>
      <w:r>
        <w:rPr>
          <w:spacing w:val="5"/>
          <w:sz w:val="19"/>
          <w:szCs w:val="19"/>
        </w:rPr>
        <w:t>Y</w:t>
      </w:r>
    </w:p>
    <w:p w14:paraId="565EB944">
      <w:pPr>
        <w:pStyle w:val="12"/>
        <w:spacing w:line="315" w:lineRule="auto"/>
      </w:pPr>
    </w:p>
    <w:p w14:paraId="26722431">
      <w:pPr>
        <w:spacing w:before="62" w:line="229" w:lineRule="auto"/>
        <w:ind w:left="2032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8"/>
          <w:sz w:val="19"/>
          <w:szCs w:val="19"/>
        </w:rPr>
        <w:t>启动连续性计划</w:t>
      </w:r>
    </w:p>
    <w:p w14:paraId="530AC645">
      <w:pPr>
        <w:pStyle w:val="12"/>
        <w:spacing w:line="276" w:lineRule="auto"/>
      </w:pPr>
    </w:p>
    <w:p w14:paraId="245741EE">
      <w:pPr>
        <w:pStyle w:val="12"/>
        <w:spacing w:line="276" w:lineRule="auto"/>
      </w:pPr>
    </w:p>
    <w:p w14:paraId="69C5BC33">
      <w:pPr>
        <w:pStyle w:val="29"/>
        <w:bidi w:val="0"/>
      </w:pPr>
      <w:bookmarkStart w:id="8" w:name="_Toc13486"/>
      <w:r>
        <w:t>执行过程</w:t>
      </w:r>
      <w:bookmarkEnd w:id="8"/>
    </w:p>
    <w:p w14:paraId="18D16FF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532" w:firstLineChars="200"/>
        <w:textAlignment w:val="baseline"/>
        <w:rPr>
          <w:rFonts w:hint="eastAsia" w:ascii="宋体" w:hAnsi="宋体" w:eastAsia="宋体" w:cs="宋体"/>
          <w:spacing w:val="13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13"/>
          <w:sz w:val="24"/>
          <w:szCs w:val="24"/>
          <w:lang w:val="en-US" w:eastAsia="zh-CN"/>
        </w:rPr>
        <w:t>1) 成立应急小组确定应急总指挥和小组成员；</w:t>
      </w:r>
    </w:p>
    <w:p w14:paraId="1E326BD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532" w:firstLineChars="200"/>
        <w:textAlignment w:val="baseline"/>
        <w:rPr>
          <w:rFonts w:hint="eastAsia" w:ascii="宋体" w:hAnsi="宋体" w:eastAsia="宋体" w:cs="宋体"/>
          <w:spacing w:val="13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13"/>
          <w:sz w:val="24"/>
          <w:szCs w:val="24"/>
          <w:lang w:val="en-US" w:eastAsia="zh-CN"/>
        </w:rPr>
        <w:t>2) 判断应急类型,不同类型有针对性处置；</w:t>
      </w:r>
    </w:p>
    <w:p w14:paraId="05B8759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532" w:firstLineChars="200"/>
        <w:textAlignment w:val="baseline"/>
        <w:rPr>
          <w:rFonts w:hint="eastAsia" w:ascii="宋体" w:hAnsi="宋体" w:eastAsia="宋体" w:cs="宋体"/>
          <w:spacing w:val="13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13"/>
          <w:sz w:val="24"/>
          <w:szCs w:val="24"/>
          <w:lang w:val="en-US" w:eastAsia="zh-CN"/>
        </w:rPr>
        <w:t>3) 基础设施问题,及时进行更换；</w:t>
      </w:r>
    </w:p>
    <w:p w14:paraId="77A2208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532" w:firstLineChars="200"/>
        <w:textAlignment w:val="baseline"/>
        <w:rPr>
          <w:rFonts w:hint="default" w:ascii="宋体" w:hAnsi="宋体" w:eastAsia="宋体" w:cs="宋体"/>
          <w:spacing w:val="13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13"/>
          <w:sz w:val="24"/>
          <w:szCs w:val="24"/>
          <w:lang w:val="en-US" w:eastAsia="zh-CN"/>
        </w:rPr>
        <w:t>4) 硬件问题及时从备品备件库进行更换,网络压力问题及时调优</w:t>
      </w:r>
    </w:p>
    <w:p w14:paraId="62F434B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532" w:firstLineChars="200"/>
        <w:textAlignment w:val="baseline"/>
        <w:rPr>
          <w:rFonts w:hint="eastAsia" w:ascii="宋体" w:hAnsi="宋体" w:eastAsia="宋体" w:cs="宋体"/>
          <w:spacing w:val="13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13"/>
          <w:sz w:val="24"/>
          <w:szCs w:val="24"/>
          <w:lang w:val="en-US" w:eastAsia="zh-CN"/>
        </w:rPr>
        <w:t>5) 软件数据问题及时进行数据恢复,用备份数据进行恢复</w:t>
      </w:r>
    </w:p>
    <w:p w14:paraId="759966D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532" w:firstLineChars="200"/>
        <w:textAlignment w:val="baseline"/>
        <w:rPr>
          <w:rFonts w:hint="eastAsia" w:ascii="宋体" w:hAnsi="宋体" w:eastAsia="宋体" w:cs="宋体"/>
          <w:spacing w:val="13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13"/>
          <w:sz w:val="24"/>
          <w:szCs w:val="24"/>
          <w:lang w:val="en-US" w:eastAsia="zh-CN"/>
        </w:rPr>
        <w:t>6) 重启系统测试</w:t>
      </w:r>
    </w:p>
    <w:p w14:paraId="391DFC08">
      <w:pPr>
        <w:rPr>
          <w:rFonts w:hint="eastAsia" w:ascii="宋体" w:hAnsi="宋体" w:eastAsia="宋体" w:cs="宋体"/>
          <w:spacing w:val="13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13"/>
          <w:sz w:val="24"/>
          <w:szCs w:val="24"/>
          <w:lang w:val="en-US" w:eastAsia="zh-CN"/>
        </w:rPr>
        <w:br w:type="page"/>
      </w:r>
    </w:p>
    <w:p w14:paraId="780AF89E">
      <w:pPr>
        <w:pStyle w:val="29"/>
        <w:bidi w:val="0"/>
      </w:pPr>
      <w:bookmarkStart w:id="9" w:name="_Toc26037"/>
      <w:r>
        <w:t>灾难恢复计划表</w:t>
      </w:r>
      <w:bookmarkEnd w:id="9"/>
    </w:p>
    <w:tbl>
      <w:tblPr>
        <w:tblStyle w:val="24"/>
        <w:tblW w:w="9119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37"/>
        <w:gridCol w:w="5838"/>
        <w:gridCol w:w="1444"/>
      </w:tblGrid>
      <w:tr w14:paraId="324D25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37" w:type="dxa"/>
          </w:tcPr>
          <w:p w14:paraId="695079DC">
            <w:pPr>
              <w:spacing w:before="38" w:line="210" w:lineRule="auto"/>
              <w:ind w:left="6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3"/>
                <w:sz w:val="24"/>
                <w:szCs w:val="24"/>
              </w:rPr>
              <w:t>时间</w:t>
            </w:r>
          </w:p>
        </w:tc>
        <w:tc>
          <w:tcPr>
            <w:tcW w:w="5838" w:type="dxa"/>
          </w:tcPr>
          <w:p w14:paraId="7CB36E97">
            <w:pPr>
              <w:spacing w:before="38" w:line="210" w:lineRule="auto"/>
              <w:ind w:left="24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执行内容</w:t>
            </w:r>
          </w:p>
        </w:tc>
        <w:tc>
          <w:tcPr>
            <w:tcW w:w="1444" w:type="dxa"/>
          </w:tcPr>
          <w:p w14:paraId="6CE1DF7E">
            <w:pPr>
              <w:spacing w:before="38" w:line="210" w:lineRule="auto"/>
              <w:ind w:left="37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负责人</w:t>
            </w:r>
          </w:p>
        </w:tc>
      </w:tr>
      <w:tr w14:paraId="1072C0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837" w:type="dxa"/>
          </w:tcPr>
          <w:p w14:paraId="453358B5">
            <w:pPr>
              <w:spacing w:before="34" w:line="209" w:lineRule="auto"/>
              <w:ind w:left="1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60</w:t>
            </w:r>
            <w:r>
              <w:rPr>
                <w:rFonts w:ascii="宋体" w:hAnsi="宋体" w:eastAsia="宋体" w:cs="宋体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分钟</w:t>
            </w:r>
          </w:p>
        </w:tc>
        <w:tc>
          <w:tcPr>
            <w:tcW w:w="5838" w:type="dxa"/>
          </w:tcPr>
          <w:p w14:paraId="210993C2">
            <w:pPr>
              <w:spacing w:before="54" w:line="227" w:lineRule="auto"/>
              <w:ind w:left="11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9"/>
                <w:sz w:val="19"/>
                <w:szCs w:val="19"/>
              </w:rPr>
              <w:t>发生并报告应急事件，准备有关配置文档</w:t>
            </w:r>
          </w:p>
        </w:tc>
        <w:tc>
          <w:tcPr>
            <w:tcW w:w="1444" w:type="dxa"/>
          </w:tcPr>
          <w:p w14:paraId="32AEE95E">
            <w:pPr>
              <w:spacing w:before="54" w:line="228" w:lineRule="auto"/>
              <w:ind w:left="12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hint="eastAsia"/>
              </w:rPr>
              <w:t>胡葛鹏宇</w:t>
            </w:r>
          </w:p>
        </w:tc>
      </w:tr>
      <w:tr w14:paraId="76117C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1837" w:type="dxa"/>
          </w:tcPr>
          <w:p w14:paraId="0FD9C39F">
            <w:pPr>
              <w:spacing w:before="140" w:line="219" w:lineRule="auto"/>
              <w:ind w:left="1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2</w:t>
            </w:r>
            <w:r>
              <w:rPr>
                <w:rFonts w:ascii="宋体" w:hAnsi="宋体" w:eastAsia="宋体" w:cs="宋体"/>
                <w:spacing w:val="-4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小时内</w:t>
            </w:r>
          </w:p>
        </w:tc>
        <w:tc>
          <w:tcPr>
            <w:tcW w:w="5838" w:type="dxa"/>
          </w:tcPr>
          <w:p w14:paraId="6F049DA4">
            <w:pPr>
              <w:spacing w:before="32" w:line="234" w:lineRule="auto"/>
              <w:ind w:left="119" w:right="95" w:hanging="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11"/>
                <w:sz w:val="19"/>
                <w:szCs w:val="19"/>
              </w:rPr>
              <w:t>评估恢复所需时间、业务影响方案，并以最快的速度通</w:t>
            </w:r>
            <w:r>
              <w:rPr>
                <w:rFonts w:ascii="宋体" w:hAnsi="宋体" w:eastAsia="宋体" w:cs="宋体"/>
                <w:spacing w:val="10"/>
                <w:sz w:val="19"/>
                <w:szCs w:val="19"/>
              </w:rPr>
              <w:t>知相关人</w:t>
            </w:r>
            <w:r>
              <w:rPr>
                <w:rFonts w:ascii="宋体" w:hAnsi="宋体" w:eastAsia="宋体" w:cs="宋体"/>
                <w:sz w:val="19"/>
                <w:szCs w:val="19"/>
              </w:rPr>
              <w:t>员</w:t>
            </w:r>
          </w:p>
        </w:tc>
        <w:tc>
          <w:tcPr>
            <w:tcW w:w="1444" w:type="dxa"/>
          </w:tcPr>
          <w:p w14:paraId="39463093">
            <w:pPr>
              <w:spacing w:before="161" w:line="228" w:lineRule="auto"/>
              <w:ind w:left="12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hint="eastAsia"/>
              </w:rPr>
              <w:t>胡葛鹏宇</w:t>
            </w:r>
          </w:p>
        </w:tc>
      </w:tr>
      <w:tr w14:paraId="473259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837" w:type="dxa"/>
          </w:tcPr>
          <w:p w14:paraId="6B17D27F">
            <w:pPr>
              <w:spacing w:before="35" w:line="208" w:lineRule="auto"/>
              <w:ind w:left="1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3</w:t>
            </w:r>
            <w:r>
              <w:rPr>
                <w:rFonts w:ascii="宋体" w:hAnsi="宋体" w:eastAsia="宋体" w:cs="宋体"/>
                <w:spacing w:val="-4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小时内</w:t>
            </w:r>
          </w:p>
        </w:tc>
        <w:tc>
          <w:tcPr>
            <w:tcW w:w="5838" w:type="dxa"/>
          </w:tcPr>
          <w:p w14:paraId="131164EE">
            <w:pPr>
              <w:spacing w:before="56" w:line="228" w:lineRule="auto"/>
              <w:ind w:left="115"/>
              <w:rPr>
                <w:rFonts w:hint="default" w:ascii="宋体" w:hAnsi="宋体" w:eastAsia="宋体" w:cs="宋体"/>
                <w:sz w:val="19"/>
                <w:szCs w:val="19"/>
                <w:lang w:val="en-US"/>
              </w:rPr>
            </w:pPr>
            <w:r>
              <w:rPr>
                <w:rFonts w:hint="eastAsia" w:ascii="宋体" w:hAnsi="宋体" w:eastAsia="宋体" w:cs="宋体"/>
                <w:spacing w:val="9"/>
                <w:sz w:val="19"/>
                <w:szCs w:val="19"/>
                <w:lang w:val="en-US" w:eastAsia="zh-CN"/>
              </w:rPr>
              <w:t>UPS、空调等基础设施问题及时进行维修、更换</w:t>
            </w:r>
          </w:p>
        </w:tc>
        <w:tc>
          <w:tcPr>
            <w:tcW w:w="1444" w:type="dxa"/>
          </w:tcPr>
          <w:p w14:paraId="0A182DE3">
            <w:pPr>
              <w:spacing w:before="56" w:line="228" w:lineRule="auto"/>
              <w:ind w:left="12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hint="eastAsia"/>
              </w:rPr>
              <w:t>胡葛鹏宇</w:t>
            </w:r>
          </w:p>
        </w:tc>
      </w:tr>
      <w:tr w14:paraId="2A5065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837" w:type="dxa"/>
          </w:tcPr>
          <w:p w14:paraId="73443BF2">
            <w:pPr>
              <w:spacing w:before="36" w:line="207" w:lineRule="auto"/>
              <w:ind w:left="1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3</w:t>
            </w:r>
            <w:r>
              <w:rPr>
                <w:rFonts w:ascii="宋体" w:hAnsi="宋体" w:eastAsia="宋体" w:cs="宋体"/>
                <w:spacing w:val="-4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小时内</w:t>
            </w:r>
          </w:p>
        </w:tc>
        <w:tc>
          <w:tcPr>
            <w:tcW w:w="5838" w:type="dxa"/>
          </w:tcPr>
          <w:p w14:paraId="63BF7561">
            <w:pPr>
              <w:spacing w:before="59" w:line="229" w:lineRule="auto"/>
              <w:ind w:left="113"/>
              <w:rPr>
                <w:rFonts w:hint="default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交换机、路由器、网络等硬件设备问题及时从备品库获取并更换</w:t>
            </w:r>
          </w:p>
        </w:tc>
        <w:tc>
          <w:tcPr>
            <w:tcW w:w="1444" w:type="dxa"/>
          </w:tcPr>
          <w:p w14:paraId="147F3B0A">
            <w:pPr>
              <w:spacing w:before="59" w:line="228" w:lineRule="auto"/>
              <w:ind w:left="12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hint="eastAsia"/>
              </w:rPr>
              <w:t>胡葛鹏宇</w:t>
            </w:r>
          </w:p>
        </w:tc>
      </w:tr>
      <w:tr w14:paraId="2F8277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37" w:type="dxa"/>
          </w:tcPr>
          <w:p w14:paraId="190834E7">
            <w:pPr>
              <w:spacing w:before="40" w:line="206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4</w:t>
            </w:r>
            <w:r>
              <w:rPr>
                <w:rFonts w:ascii="宋体" w:hAnsi="宋体" w:eastAsia="宋体" w:cs="宋体"/>
                <w:spacing w:val="-4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小时内</w:t>
            </w:r>
          </w:p>
        </w:tc>
        <w:tc>
          <w:tcPr>
            <w:tcW w:w="5838" w:type="dxa"/>
          </w:tcPr>
          <w:p w14:paraId="75C08DC7">
            <w:pPr>
              <w:spacing w:before="60" w:line="228" w:lineRule="auto"/>
              <w:ind w:left="113"/>
              <w:rPr>
                <w:rFonts w:hint="default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软件数据问题及时通过备份进行数据恢复</w:t>
            </w:r>
          </w:p>
        </w:tc>
        <w:tc>
          <w:tcPr>
            <w:tcW w:w="1444" w:type="dxa"/>
          </w:tcPr>
          <w:p w14:paraId="6383CC38">
            <w:pPr>
              <w:spacing w:before="60" w:line="228" w:lineRule="auto"/>
              <w:ind w:left="12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hint="eastAsia"/>
              </w:rPr>
              <w:t>胡葛鹏宇</w:t>
            </w:r>
          </w:p>
        </w:tc>
      </w:tr>
      <w:tr w14:paraId="0FA200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837" w:type="dxa"/>
          </w:tcPr>
          <w:p w14:paraId="0195F2AD">
            <w:pPr>
              <w:spacing w:before="38" w:line="209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4</w:t>
            </w:r>
            <w:r>
              <w:rPr>
                <w:rFonts w:ascii="宋体" w:hAnsi="宋体" w:eastAsia="宋体" w:cs="宋体"/>
                <w:spacing w:val="-4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小时内</w:t>
            </w:r>
          </w:p>
        </w:tc>
        <w:tc>
          <w:tcPr>
            <w:tcW w:w="5838" w:type="dxa"/>
          </w:tcPr>
          <w:p w14:paraId="1C6090B3">
            <w:pPr>
              <w:spacing w:before="59" w:line="228" w:lineRule="auto"/>
              <w:rPr>
                <w:rFonts w:hint="default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重启系统测试</w:t>
            </w:r>
          </w:p>
        </w:tc>
        <w:tc>
          <w:tcPr>
            <w:tcW w:w="1444" w:type="dxa"/>
          </w:tcPr>
          <w:p w14:paraId="27002FA3">
            <w:pPr>
              <w:spacing w:before="59" w:line="228" w:lineRule="auto"/>
              <w:ind w:left="12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hint="eastAsia"/>
              </w:rPr>
              <w:t>胡葛鹏宇</w:t>
            </w:r>
          </w:p>
        </w:tc>
      </w:tr>
    </w:tbl>
    <w:p w14:paraId="6FEA7112">
      <w:pPr>
        <w:pStyle w:val="28"/>
        <w:bidi w:val="0"/>
      </w:pPr>
      <w:bookmarkStart w:id="10" w:name="_Toc10443"/>
      <w:r>
        <w:t>连续性维护内容</w:t>
      </w:r>
      <w:bookmarkEnd w:id="10"/>
    </w:p>
    <w:p w14:paraId="26515D0A">
      <w:pPr>
        <w:pStyle w:val="29"/>
        <w:bidi w:val="0"/>
      </w:pPr>
      <w:bookmarkStart w:id="11" w:name="_Toc11967"/>
      <w:r>
        <w:t>日常维护</w:t>
      </w:r>
      <w:bookmarkEnd w:id="11"/>
    </w:p>
    <w:p w14:paraId="15DD54F6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hint="eastAsia" w:ascii="宋体" w:hAnsi="宋体" w:eastAsia="宋体" w:cs="宋体"/>
          <w:spacing w:val="13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13"/>
          <w:sz w:val="24"/>
          <w:szCs w:val="24"/>
          <w:lang w:val="en-US" w:eastAsia="zh-CN"/>
        </w:rPr>
        <w:t>操作系统和数据库运行环境必须与主机环境保持兼容；</w:t>
      </w:r>
    </w:p>
    <w:p w14:paraId="4FDA3A16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hint="eastAsia" w:ascii="宋体" w:hAnsi="宋体" w:eastAsia="宋体" w:cs="宋体"/>
          <w:spacing w:val="13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13"/>
          <w:sz w:val="24"/>
          <w:szCs w:val="24"/>
          <w:lang w:val="en-US" w:eastAsia="zh-CN"/>
        </w:rPr>
        <w:t>操作系统和应用软件的清理维护。</w:t>
      </w:r>
    </w:p>
    <w:p w14:paraId="47DDF6BB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hint="eastAsia" w:ascii="宋体" w:hAnsi="宋体" w:eastAsia="宋体" w:cs="宋体"/>
          <w:spacing w:val="13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13"/>
          <w:sz w:val="24"/>
          <w:szCs w:val="24"/>
          <w:lang w:val="en-US" w:eastAsia="zh-CN"/>
        </w:rPr>
        <w:t>服务器的清理。</w:t>
      </w:r>
    </w:p>
    <w:p w14:paraId="04DEDB8B">
      <w:pPr>
        <w:pStyle w:val="29"/>
        <w:bidi w:val="0"/>
      </w:pPr>
      <w:bookmarkStart w:id="12" w:name="_Toc31281"/>
      <w:r>
        <w:t>人员</w:t>
      </w:r>
      <w:r>
        <w:rPr>
          <w:rFonts w:hint="eastAsia"/>
          <w:lang w:val="en-US" w:eastAsia="zh-CN"/>
        </w:rPr>
        <w:t>储备</w:t>
      </w:r>
      <w:r>
        <w:t>计划</w:t>
      </w:r>
      <w:bookmarkEnd w:id="12"/>
    </w:p>
    <w:p w14:paraId="5A75532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532" w:firstLineChars="200"/>
        <w:textAlignment w:val="baseline"/>
        <w:rPr>
          <w:rFonts w:hint="eastAsia" w:ascii="宋体" w:hAnsi="宋体" w:eastAsia="宋体" w:cs="宋体"/>
          <w:spacing w:val="13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13"/>
          <w:sz w:val="24"/>
          <w:szCs w:val="24"/>
          <w:lang w:val="en-US" w:eastAsia="zh-CN"/>
        </w:rPr>
        <w:t>关键业务系统以及主要业务系统运维人员配备必须大于等于 1 人，否则，参照《招聘管理制度》执行人员招聘。</w:t>
      </w:r>
    </w:p>
    <w:tbl>
      <w:tblPr>
        <w:tblStyle w:val="24"/>
        <w:tblW w:w="9119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91"/>
        <w:gridCol w:w="1991"/>
        <w:gridCol w:w="1791"/>
        <w:gridCol w:w="1746"/>
      </w:tblGrid>
      <w:tr w14:paraId="6E0A99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  <w:jc w:val="center"/>
        </w:trPr>
        <w:tc>
          <w:tcPr>
            <w:tcW w:w="3591" w:type="dxa"/>
          </w:tcPr>
          <w:p w14:paraId="3A84D5B3">
            <w:pPr>
              <w:spacing w:before="38" w:line="208" w:lineRule="auto"/>
              <w:ind w:left="7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关键、主要系统名称</w:t>
            </w:r>
          </w:p>
        </w:tc>
        <w:tc>
          <w:tcPr>
            <w:tcW w:w="1991" w:type="dxa"/>
          </w:tcPr>
          <w:p w14:paraId="28D65E53">
            <w:pPr>
              <w:spacing w:before="38" w:line="208" w:lineRule="auto"/>
              <w:ind w:left="39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第一负责人</w:t>
            </w:r>
          </w:p>
        </w:tc>
        <w:tc>
          <w:tcPr>
            <w:tcW w:w="1791" w:type="dxa"/>
          </w:tcPr>
          <w:p w14:paraId="45F591B9">
            <w:pPr>
              <w:spacing w:before="38" w:line="208" w:lineRule="auto"/>
              <w:ind w:left="30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第二负责人</w:t>
            </w:r>
          </w:p>
        </w:tc>
        <w:tc>
          <w:tcPr>
            <w:tcW w:w="1746" w:type="dxa"/>
          </w:tcPr>
          <w:p w14:paraId="1E9806B0">
            <w:pPr>
              <w:spacing w:before="38" w:line="208" w:lineRule="auto"/>
              <w:ind w:left="28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第三负责人</w:t>
            </w:r>
          </w:p>
        </w:tc>
      </w:tr>
      <w:tr w14:paraId="1ECA75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  <w:jc w:val="center"/>
        </w:trPr>
        <w:tc>
          <w:tcPr>
            <w:tcW w:w="3591" w:type="dxa"/>
          </w:tcPr>
          <w:p w14:paraId="739B8763">
            <w:pPr>
              <w:spacing w:before="120" w:line="219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信息系统</w:t>
            </w:r>
          </w:p>
        </w:tc>
        <w:tc>
          <w:tcPr>
            <w:tcW w:w="1991" w:type="dxa"/>
          </w:tcPr>
          <w:p w14:paraId="5F1588EC">
            <w:pPr>
              <w:spacing w:before="140" w:line="228" w:lineRule="auto"/>
              <w:ind w:left="11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5"/>
                <w:sz w:val="19"/>
                <w:szCs w:val="19"/>
              </w:rPr>
              <w:t>胡葛鹏宇</w:t>
            </w:r>
          </w:p>
        </w:tc>
        <w:tc>
          <w:tcPr>
            <w:tcW w:w="1791" w:type="dxa"/>
          </w:tcPr>
          <w:p w14:paraId="433D59A7">
            <w:pPr>
              <w:spacing w:before="135" w:line="228" w:lineRule="auto"/>
              <w:ind w:left="11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  <w:t>金文莉</w:t>
            </w:r>
          </w:p>
        </w:tc>
        <w:tc>
          <w:tcPr>
            <w:tcW w:w="1746" w:type="dxa"/>
          </w:tcPr>
          <w:p w14:paraId="1977C404">
            <w:pPr>
              <w:spacing w:before="140" w:line="230" w:lineRule="auto"/>
              <w:ind w:left="117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6"/>
                <w:sz w:val="19"/>
                <w:szCs w:val="19"/>
              </w:rPr>
              <w:t>游天舒</w:t>
            </w:r>
          </w:p>
        </w:tc>
      </w:tr>
      <w:tr w14:paraId="33A6FC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  <w:jc w:val="center"/>
        </w:trPr>
        <w:tc>
          <w:tcPr>
            <w:tcW w:w="3591" w:type="dxa"/>
          </w:tcPr>
          <w:p w14:paraId="05C5CC2C">
            <w:pPr>
              <w:spacing w:before="120" w:line="219" w:lineRule="auto"/>
              <w:ind w:left="117"/>
              <w:rPr>
                <w:rFonts w:hint="default" w:ascii="宋体" w:hAnsi="宋体" w:eastAsia="宋体" w:cs="宋体"/>
                <w:spacing w:val="-3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24"/>
                <w:szCs w:val="24"/>
                <w:lang w:val="en-US" w:eastAsia="zh-CN"/>
              </w:rPr>
              <w:t>基础设施</w:t>
            </w:r>
          </w:p>
        </w:tc>
        <w:tc>
          <w:tcPr>
            <w:tcW w:w="1991" w:type="dxa"/>
            <w:shd w:val="clear" w:color="auto" w:fill="auto"/>
          </w:tcPr>
          <w:p w14:paraId="38BEEB2B">
            <w:pPr>
              <w:spacing w:before="140" w:line="228" w:lineRule="auto"/>
              <w:ind w:left="114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5"/>
                <w:sz w:val="19"/>
                <w:szCs w:val="19"/>
              </w:rPr>
              <w:t>胡葛鹏宇</w:t>
            </w:r>
          </w:p>
        </w:tc>
        <w:tc>
          <w:tcPr>
            <w:tcW w:w="1791" w:type="dxa"/>
            <w:shd w:val="clear" w:color="auto" w:fill="auto"/>
          </w:tcPr>
          <w:p w14:paraId="44A89698">
            <w:pPr>
              <w:spacing w:before="135" w:line="228" w:lineRule="auto"/>
              <w:ind w:left="115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  <w:t>金文莉</w:t>
            </w:r>
          </w:p>
        </w:tc>
        <w:tc>
          <w:tcPr>
            <w:tcW w:w="1746" w:type="dxa"/>
            <w:shd w:val="clear" w:color="auto" w:fill="auto"/>
          </w:tcPr>
          <w:p w14:paraId="6957A66C">
            <w:pPr>
              <w:spacing w:before="140" w:line="230" w:lineRule="auto"/>
              <w:ind w:left="117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6"/>
                <w:sz w:val="19"/>
                <w:szCs w:val="19"/>
              </w:rPr>
              <w:t>游天舒</w:t>
            </w:r>
          </w:p>
        </w:tc>
      </w:tr>
      <w:tr w14:paraId="4A8CC1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  <w:jc w:val="center"/>
        </w:trPr>
        <w:tc>
          <w:tcPr>
            <w:tcW w:w="3591" w:type="dxa"/>
          </w:tcPr>
          <w:p w14:paraId="2AA87414">
            <w:pPr>
              <w:spacing w:before="120" w:line="219" w:lineRule="auto"/>
              <w:ind w:left="117"/>
              <w:rPr>
                <w:rFonts w:hint="default" w:ascii="宋体" w:hAnsi="宋体" w:eastAsia="宋体" w:cs="宋体"/>
                <w:spacing w:val="-3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24"/>
                <w:szCs w:val="24"/>
                <w:lang w:val="en-US" w:eastAsia="zh-CN"/>
              </w:rPr>
              <w:t>硬件运维</w:t>
            </w:r>
          </w:p>
        </w:tc>
        <w:tc>
          <w:tcPr>
            <w:tcW w:w="1991" w:type="dxa"/>
            <w:shd w:val="clear" w:color="auto" w:fill="auto"/>
          </w:tcPr>
          <w:p w14:paraId="7183CE6B">
            <w:pPr>
              <w:spacing w:before="140" w:line="228" w:lineRule="auto"/>
              <w:ind w:left="114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5"/>
                <w:sz w:val="19"/>
                <w:szCs w:val="19"/>
              </w:rPr>
              <w:t>胡葛鹏宇</w:t>
            </w:r>
          </w:p>
        </w:tc>
        <w:tc>
          <w:tcPr>
            <w:tcW w:w="1791" w:type="dxa"/>
            <w:shd w:val="clear" w:color="auto" w:fill="auto"/>
          </w:tcPr>
          <w:p w14:paraId="54C726F9">
            <w:pPr>
              <w:spacing w:before="135" w:line="228" w:lineRule="auto"/>
              <w:ind w:left="115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  <w:t>金文莉</w:t>
            </w:r>
          </w:p>
        </w:tc>
        <w:tc>
          <w:tcPr>
            <w:tcW w:w="1746" w:type="dxa"/>
            <w:shd w:val="clear" w:color="auto" w:fill="auto"/>
          </w:tcPr>
          <w:p w14:paraId="269C0A2B">
            <w:pPr>
              <w:spacing w:before="140" w:line="230" w:lineRule="auto"/>
              <w:ind w:left="117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6"/>
                <w:sz w:val="19"/>
                <w:szCs w:val="19"/>
              </w:rPr>
              <w:t>游天舒</w:t>
            </w:r>
          </w:p>
        </w:tc>
      </w:tr>
    </w:tbl>
    <w:p w14:paraId="5CE6B83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532" w:firstLineChars="200"/>
        <w:textAlignment w:val="baseline"/>
        <w:rPr>
          <w:rFonts w:hint="eastAsia" w:ascii="宋体" w:hAnsi="宋体" w:eastAsia="宋体" w:cs="宋体"/>
          <w:spacing w:val="13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13"/>
          <w:sz w:val="24"/>
          <w:szCs w:val="24"/>
          <w:lang w:val="en-US" w:eastAsia="zh-CN"/>
        </w:rPr>
        <w:t xml:space="preserve">关键业务系统以及主要业务系统运维人员配备必须大于等于 1 人，否则， </w:t>
      </w:r>
    </w:p>
    <w:p w14:paraId="2FC256F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532" w:firstLineChars="200"/>
        <w:textAlignment w:val="baseline"/>
        <w:rPr>
          <w:rFonts w:hint="eastAsia" w:ascii="宋体" w:hAnsi="宋体" w:eastAsia="宋体" w:cs="宋体"/>
          <w:spacing w:val="13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13"/>
          <w:sz w:val="24"/>
          <w:szCs w:val="24"/>
          <w:lang w:val="en-US" w:eastAsia="zh-CN"/>
        </w:rPr>
        <w:t>参照《人力资源管理程序》执行人员招聘。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7"/>
        <w:gridCol w:w="1953"/>
        <w:gridCol w:w="2336"/>
      </w:tblGrid>
      <w:tr w14:paraId="5289B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17" w:type="dxa"/>
          </w:tcPr>
          <w:p w14:paraId="1935CA7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textAlignment w:val="baseline"/>
              <w:rPr>
                <w:rFonts w:hint="default" w:ascii="宋体" w:hAnsi="宋体" w:eastAsia="宋体" w:cs="宋体"/>
                <w:spacing w:val="13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13"/>
                <w:sz w:val="24"/>
                <w:szCs w:val="24"/>
                <w:vertAlign w:val="baseline"/>
                <w:lang w:val="en-US" w:eastAsia="zh-CN"/>
              </w:rPr>
              <w:t>关键、主要系统名称</w:t>
            </w:r>
          </w:p>
        </w:tc>
        <w:tc>
          <w:tcPr>
            <w:tcW w:w="1953" w:type="dxa"/>
          </w:tcPr>
          <w:p w14:paraId="716CCFB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textAlignment w:val="baseline"/>
              <w:rPr>
                <w:rFonts w:hint="default" w:ascii="宋体" w:hAnsi="宋体" w:eastAsia="宋体" w:cs="宋体"/>
                <w:spacing w:val="13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13"/>
                <w:sz w:val="24"/>
                <w:szCs w:val="24"/>
                <w:vertAlign w:val="baseline"/>
                <w:lang w:val="en-US" w:eastAsia="zh-CN"/>
              </w:rPr>
              <w:t>第一责任人</w:t>
            </w:r>
          </w:p>
        </w:tc>
        <w:tc>
          <w:tcPr>
            <w:tcW w:w="2336" w:type="dxa"/>
          </w:tcPr>
          <w:p w14:paraId="7F7DD69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textAlignment w:val="baseline"/>
              <w:rPr>
                <w:rFonts w:hint="default" w:ascii="宋体" w:hAnsi="宋体" w:eastAsia="宋体" w:cs="宋体"/>
                <w:spacing w:val="13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13"/>
                <w:sz w:val="24"/>
                <w:szCs w:val="24"/>
                <w:vertAlign w:val="baseline"/>
                <w:lang w:val="en-US" w:eastAsia="zh-CN"/>
              </w:rPr>
              <w:t>第二责任人</w:t>
            </w:r>
          </w:p>
        </w:tc>
      </w:tr>
      <w:tr w14:paraId="43464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17" w:type="dxa"/>
          </w:tcPr>
          <w:p w14:paraId="753CBDF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textAlignment w:val="baseline"/>
              <w:rPr>
                <w:rFonts w:hint="default" w:ascii="宋体" w:hAnsi="宋体" w:eastAsia="宋体" w:cs="宋体"/>
                <w:spacing w:val="13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pacing w:val="13"/>
                <w:sz w:val="24"/>
                <w:szCs w:val="24"/>
                <w:vertAlign w:val="baseline"/>
                <w:lang w:val="en-US" w:eastAsia="zh-CN"/>
              </w:rPr>
              <w:t>临夏州中医医院“智慧银医”项</w:t>
            </w:r>
            <w:r>
              <w:rPr>
                <w:rFonts w:hint="eastAsia" w:ascii="宋体" w:hAnsi="宋体" w:cs="宋体"/>
                <w:spacing w:val="13"/>
                <w:sz w:val="24"/>
                <w:szCs w:val="24"/>
                <w:vertAlign w:val="baseline"/>
                <w:lang w:val="en-US" w:eastAsia="zh-CN"/>
              </w:rPr>
              <w:t>目</w:t>
            </w:r>
            <w:bookmarkStart w:id="16" w:name="_GoBack"/>
            <w:bookmarkEnd w:id="16"/>
          </w:p>
        </w:tc>
        <w:tc>
          <w:tcPr>
            <w:tcW w:w="1953" w:type="dxa"/>
          </w:tcPr>
          <w:p w14:paraId="0417245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textAlignment w:val="baseline"/>
              <w:rPr>
                <w:rFonts w:hint="default" w:ascii="宋体" w:hAnsi="宋体" w:eastAsia="宋体" w:cs="宋体"/>
                <w:spacing w:val="13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13"/>
                <w:sz w:val="24"/>
                <w:szCs w:val="24"/>
                <w:vertAlign w:val="baseline"/>
                <w:lang w:val="en-US" w:eastAsia="zh-CN"/>
              </w:rPr>
              <w:t>胡葛鹏宇</w:t>
            </w:r>
          </w:p>
        </w:tc>
        <w:tc>
          <w:tcPr>
            <w:tcW w:w="2336" w:type="dxa"/>
          </w:tcPr>
          <w:p w14:paraId="77DDF66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textAlignment w:val="baseline"/>
              <w:rPr>
                <w:rFonts w:hint="default" w:ascii="宋体" w:hAnsi="宋体" w:eastAsia="宋体" w:cs="宋体"/>
                <w:spacing w:val="13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13"/>
                <w:sz w:val="24"/>
                <w:szCs w:val="24"/>
                <w:vertAlign w:val="baseline"/>
                <w:lang w:val="en-US" w:eastAsia="zh-CN"/>
              </w:rPr>
              <w:t>金文莉</w:t>
            </w:r>
          </w:p>
        </w:tc>
      </w:tr>
    </w:tbl>
    <w:p w14:paraId="5A8875AC">
      <w:pPr>
        <w:pStyle w:val="29"/>
        <w:bidi w:val="0"/>
      </w:pPr>
      <w:bookmarkStart w:id="13" w:name="_Toc24352"/>
      <w:r>
        <w:t>备用数据</w:t>
      </w:r>
      <w:bookmarkEnd w:id="13"/>
    </w:p>
    <w:p w14:paraId="311A3AC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532" w:firstLineChars="200"/>
        <w:textAlignment w:val="baseline"/>
        <w:rPr>
          <w:rFonts w:hint="eastAsia" w:ascii="宋体" w:hAnsi="宋体" w:eastAsia="宋体" w:cs="宋体"/>
          <w:spacing w:val="13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13"/>
          <w:sz w:val="24"/>
          <w:szCs w:val="24"/>
          <w:lang w:val="en-US" w:eastAsia="zh-CN"/>
        </w:rPr>
        <w:t>备用数据进行异地保存，并在发生故障时能够及时取用。备用数据定期进行恢复测试，以保证数据能够正确恢复。</w:t>
      </w:r>
    </w:p>
    <w:p w14:paraId="37F0BB32">
      <w:pPr>
        <w:pStyle w:val="29"/>
        <w:bidi w:val="0"/>
      </w:pPr>
      <w:bookmarkStart w:id="14" w:name="_Toc31983"/>
      <w:r>
        <w:t>计划测试</w:t>
      </w:r>
      <w:bookmarkEnd w:id="14"/>
    </w:p>
    <w:p w14:paraId="303D07BC">
      <w:pPr>
        <w:pStyle w:val="2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信息系统故障演练每年不少于1次，可根据需要增加频次 。每次演练可以选择不同主题（如：资料恢复；主机/主交换机模拟故障；启用应急站点等。）演练计划由总经理批准后组织实施，演练结果记录由质量部经理备案。</w:t>
      </w:r>
    </w:p>
    <w:p w14:paraId="019D7E34">
      <w:pPr>
        <w:pStyle w:val="29"/>
        <w:bidi w:val="0"/>
      </w:pPr>
      <w:bookmarkStart w:id="15" w:name="_Toc5720"/>
      <w:r>
        <w:t>计划的培训</w:t>
      </w:r>
      <w:bookmarkEnd w:id="15"/>
    </w:p>
    <w:p w14:paraId="7EF8EC7D">
      <w:pPr>
        <w:pStyle w:val="2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本计划必须对全体人员进行培训，计划重大修改、新进入部门的员工必须及时进行培训。</w:t>
      </w:r>
    </w:p>
    <w:sectPr>
      <w:headerReference r:id="rId5" w:type="default"/>
      <w:pgSz w:w="11906" w:h="16838"/>
      <w:pgMar w:top="400" w:right="1304" w:bottom="0" w:left="1476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3A2F8C">
    <w:pPr>
      <w:pStyle w:val="12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E320C04"/>
    <w:multiLevelType w:val="singleLevel"/>
    <w:tmpl w:val="AE320C0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NotTrackMoves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77F1687"/>
    <w:rsid w:val="0AB96545"/>
    <w:rsid w:val="111921EA"/>
    <w:rsid w:val="17215F32"/>
    <w:rsid w:val="39727039"/>
    <w:rsid w:val="3D9658C2"/>
    <w:rsid w:val="478163F5"/>
    <w:rsid w:val="4B751DCD"/>
    <w:rsid w:val="4D0A4797"/>
    <w:rsid w:val="67650AF0"/>
    <w:rsid w:val="67B857C2"/>
    <w:rsid w:val="6AD466B8"/>
    <w:rsid w:val="6B7439F8"/>
    <w:rsid w:val="6CD868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标题1"/>
    <w:basedOn w:val="2"/>
    <w:next w:val="27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link w:val="31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character" w:customStyle="1" w:styleId="31">
    <w:name w:val="柴_标题2 Char"/>
    <w:link w:val="28"/>
    <w:qFormat/>
    <w:uiPriority w:val="0"/>
    <w:rPr>
      <w:rFonts w:ascii="Arial" w:hAnsi="Arial" w:eastAsia="宋体"/>
      <w:sz w:val="28"/>
    </w:rPr>
  </w:style>
  <w:style w:type="paragraph" w:customStyle="1" w:styleId="32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3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6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1057</Words>
  <Characters>1146</Characters>
  <Lines>0</Lines>
  <Paragraphs>0</Paragraphs>
  <TotalTime>0</TotalTime>
  <ScaleCrop>false</ScaleCrop>
  <LinksUpToDate>false</LinksUpToDate>
  <CharactersWithSpaces>1224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2025-08-21T06:34:00Z</dcterms:created>
  <dc:creator>18442</dc:creator>
  <cp:lastModifiedBy>郝宇</cp:lastModifiedBy>
  <dcterms:modified xsi:type="dcterms:W3CDTF">2026-01-04T01:08:44Z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2025-08-21T14:29:57Z</vt:filetime>
  </property>
  <property fmtid="{D5CDD505-2E9C-101B-9397-08002B2CF9AE}" pid="3" name="CRO">
    <vt:lpwstr>wqlLaW5nc29mdCBQREYgdG8gV1BTIDExNQ</vt:lpwstr>
  </property>
  <property fmtid="{D5CDD505-2E9C-101B-9397-08002B2CF9AE}" pid="4" name="ICV">
    <vt:lpwstr>EF62900E8A5F4C22A076E4E5A05B6A1E_12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